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CE9A5D" w14:textId="77777777" w:rsidR="00066BB6" w:rsidRDefault="00066BB6" w:rsidP="00DA466D">
      <w:pPr>
        <w:spacing w:line="20" w:lineRule="atLeast"/>
        <w:jc w:val="center"/>
        <w:rPr>
          <w:rFonts w:ascii="Arial" w:hAnsi="Arial"/>
          <w:b/>
          <w:sz w:val="24"/>
        </w:rPr>
      </w:pPr>
      <w:bookmarkStart w:id="0" w:name="_GoBack"/>
      <w:bookmarkEnd w:id="0"/>
    </w:p>
    <w:p w14:paraId="5904E2A9" w14:textId="1F30CF02" w:rsidR="005622C6" w:rsidRDefault="005622C6" w:rsidP="005622C6">
      <w:pPr>
        <w:widowControl w:val="0"/>
        <w:spacing w:line="20" w:lineRule="atLeast"/>
        <w:jc w:val="center"/>
        <w:rPr>
          <w:rFonts w:ascii="Helvetica" w:hAnsi="Helvetica"/>
          <w:b/>
          <w:spacing w:val="10"/>
          <w:sz w:val="24"/>
        </w:rPr>
      </w:pPr>
      <w:r>
        <w:rPr>
          <w:rFonts w:ascii="Helvetica" w:hAnsi="Helvetica"/>
          <w:b/>
          <w:spacing w:val="10"/>
          <w:sz w:val="24"/>
        </w:rPr>
        <w:t>Application of very high resolution Numerical Weather Prediction to assessing wind damage during TC Winston</w:t>
      </w:r>
    </w:p>
    <w:p w14:paraId="2B78576B" w14:textId="0EA37A1A" w:rsidR="00066BB6" w:rsidRDefault="00066BB6" w:rsidP="00DA466D">
      <w:pPr>
        <w:widowControl w:val="0"/>
        <w:spacing w:line="20" w:lineRule="atLeast"/>
        <w:jc w:val="center"/>
        <w:rPr>
          <w:rFonts w:ascii="Helvetica" w:hAnsi="Helvetica"/>
          <w:b/>
          <w:spacing w:val="10"/>
          <w:sz w:val="24"/>
        </w:rPr>
      </w:pPr>
    </w:p>
    <w:p w14:paraId="42BE7E89" w14:textId="77777777" w:rsidR="00066BB6" w:rsidRDefault="00066BB6" w:rsidP="00DA466D">
      <w:pPr>
        <w:spacing w:line="20" w:lineRule="atLeast"/>
        <w:jc w:val="center"/>
        <w:rPr>
          <w:rFonts w:ascii="Arial" w:hAnsi="Arial"/>
          <w:b/>
          <w:sz w:val="28"/>
        </w:rPr>
      </w:pPr>
    </w:p>
    <w:p w14:paraId="21091F5E" w14:textId="47387B31" w:rsidR="00066BB6" w:rsidRPr="00714B6E" w:rsidRDefault="005622C6" w:rsidP="00DA466D">
      <w:pPr>
        <w:spacing w:line="20" w:lineRule="atLeast"/>
        <w:jc w:val="center"/>
        <w:rPr>
          <w:rFonts w:ascii="Arial" w:hAnsi="Arial"/>
          <w:b/>
          <w:vertAlign w:val="superscript"/>
        </w:rPr>
      </w:pPr>
      <w:r>
        <w:rPr>
          <w:rFonts w:ascii="Arial" w:hAnsi="Arial"/>
          <w:b/>
        </w:rPr>
        <w:t>Stuart Moore</w:t>
      </w:r>
      <w:r w:rsidR="00066BB6">
        <w:rPr>
          <w:rFonts w:ascii="Arial" w:hAnsi="Arial"/>
          <w:b/>
          <w:vertAlign w:val="superscript"/>
        </w:rPr>
        <w:t>1</w:t>
      </w:r>
      <w:r w:rsidR="00714B6E">
        <w:rPr>
          <w:rFonts w:ascii="Arial" w:hAnsi="Arial"/>
          <w:b/>
        </w:rPr>
        <w:t xml:space="preserve">, </w:t>
      </w:r>
      <w:r>
        <w:rPr>
          <w:rFonts w:ascii="Arial" w:hAnsi="Arial"/>
          <w:b/>
        </w:rPr>
        <w:t>Richard Turner</w:t>
      </w:r>
      <w:r>
        <w:rPr>
          <w:rFonts w:ascii="Arial" w:hAnsi="Arial"/>
          <w:b/>
          <w:vertAlign w:val="superscript"/>
        </w:rPr>
        <w:t>1</w:t>
      </w:r>
    </w:p>
    <w:p w14:paraId="1261410E" w14:textId="77777777" w:rsidR="005622C6" w:rsidRDefault="00066BB6" w:rsidP="005622C6">
      <w:pPr>
        <w:spacing w:line="20" w:lineRule="atLeast"/>
        <w:jc w:val="center"/>
        <w:rPr>
          <w:rFonts w:ascii="Arial" w:hAnsi="Arial"/>
        </w:rPr>
      </w:pPr>
      <w:r>
        <w:rPr>
          <w:rFonts w:ascii="Arial" w:hAnsi="Arial"/>
          <w:b/>
          <w:vertAlign w:val="superscript"/>
        </w:rPr>
        <w:t>1</w:t>
      </w:r>
      <w:r w:rsidR="005622C6">
        <w:rPr>
          <w:rFonts w:ascii="Arial" w:hAnsi="Arial"/>
        </w:rPr>
        <w:t xml:space="preserve">Meteorology and Remote Sensing </w:t>
      </w:r>
    </w:p>
    <w:p w14:paraId="26F5B339" w14:textId="571F7A2A" w:rsidR="005622C6" w:rsidRDefault="005622C6" w:rsidP="005622C6">
      <w:pPr>
        <w:spacing w:line="20" w:lineRule="atLeast"/>
        <w:jc w:val="center"/>
        <w:rPr>
          <w:rFonts w:ascii="Arial" w:hAnsi="Arial"/>
        </w:rPr>
      </w:pPr>
      <w:r>
        <w:rPr>
          <w:rFonts w:ascii="Arial" w:hAnsi="Arial"/>
        </w:rPr>
        <w:t>NIWA, 301 Evans Bay Parade, Greta Point, Wellington, 6021, New Zealand</w:t>
      </w:r>
    </w:p>
    <w:p w14:paraId="0649DA9D" w14:textId="77777777" w:rsidR="00BD207E" w:rsidRDefault="00BD207E" w:rsidP="00DA466D">
      <w:pPr>
        <w:spacing w:after="120" w:line="20" w:lineRule="atLeast"/>
        <w:jc w:val="center"/>
        <w:rPr>
          <w:rFonts w:ascii="Arial" w:hAnsi="Arial"/>
        </w:rPr>
      </w:pPr>
    </w:p>
    <w:p w14:paraId="5A5465B1" w14:textId="77777777" w:rsidR="00776F36" w:rsidRDefault="00776F36" w:rsidP="00DA466D">
      <w:pPr>
        <w:spacing w:after="120" w:line="20" w:lineRule="atLeast"/>
        <w:jc w:val="center"/>
        <w:rPr>
          <w:rFonts w:ascii="Arial" w:hAnsi="Arial"/>
        </w:rPr>
        <w:sectPr w:rsidR="00776F36">
          <w:headerReference w:type="first" r:id="rId7"/>
          <w:footnotePr>
            <w:pos w:val="beneathText"/>
          </w:footnotePr>
          <w:pgSz w:w="11905" w:h="16837"/>
          <w:pgMar w:top="1440" w:right="851" w:bottom="1134" w:left="851" w:header="1440" w:footer="1134" w:gutter="0"/>
          <w:cols w:space="720"/>
          <w:titlePg/>
          <w:docGrid w:linePitch="360"/>
        </w:sectPr>
      </w:pPr>
    </w:p>
    <w:p w14:paraId="72CE1B07" w14:textId="77777777" w:rsidR="00066BB6" w:rsidRDefault="00066BB6" w:rsidP="00DA466D">
      <w:pPr>
        <w:spacing w:after="120" w:line="20" w:lineRule="atLeast"/>
        <w:jc w:val="both"/>
        <w:rPr>
          <w:rFonts w:ascii="Arial" w:hAnsi="Arial"/>
          <w:b/>
          <w:sz w:val="18"/>
        </w:rPr>
      </w:pPr>
      <w:r>
        <w:rPr>
          <w:rFonts w:ascii="Arial" w:hAnsi="Arial"/>
          <w:b/>
          <w:sz w:val="18"/>
        </w:rPr>
        <w:t>Abstract</w:t>
      </w:r>
    </w:p>
    <w:p w14:paraId="0EA4FC34" w14:textId="2369F2D2" w:rsidR="005A27D1" w:rsidRDefault="005A27D1" w:rsidP="00DA466D">
      <w:pPr>
        <w:spacing w:after="120" w:line="20" w:lineRule="atLeast"/>
        <w:jc w:val="both"/>
        <w:rPr>
          <w:sz w:val="18"/>
        </w:rPr>
      </w:pPr>
      <w:r w:rsidRPr="00EC6959">
        <w:rPr>
          <w:sz w:val="18"/>
        </w:rPr>
        <w:t>On the 20</w:t>
      </w:r>
      <w:r w:rsidRPr="005D487C">
        <w:rPr>
          <w:sz w:val="18"/>
          <w:vertAlign w:val="superscript"/>
        </w:rPr>
        <w:t>th</w:t>
      </w:r>
      <w:r w:rsidR="005D487C">
        <w:rPr>
          <w:sz w:val="18"/>
        </w:rPr>
        <w:t xml:space="preserve"> </w:t>
      </w:r>
      <w:r w:rsidRPr="00EC6959">
        <w:rPr>
          <w:sz w:val="18"/>
        </w:rPr>
        <w:t xml:space="preserve">February 2016 the Category 5 severe tropical storm TC Winston made landfall in Fiji causing substantial damage to buildings and local infrastructure. 44 people were killed and over 50,000 people evacuated </w:t>
      </w:r>
      <w:r w:rsidR="008E3028">
        <w:rPr>
          <w:sz w:val="18"/>
        </w:rPr>
        <w:t>and an estimated US$1.0</w:t>
      </w:r>
      <w:r w:rsidR="00F22B2A">
        <w:rPr>
          <w:sz w:val="18"/>
        </w:rPr>
        <w:t xml:space="preserve"> billion of damage was done</w:t>
      </w:r>
      <w:r w:rsidR="00AE7BED">
        <w:rPr>
          <w:sz w:val="18"/>
        </w:rPr>
        <w:t xml:space="preserve"> </w:t>
      </w:r>
      <w:r w:rsidR="0037281F">
        <w:rPr>
          <w:sz w:val="18"/>
        </w:rPr>
        <w:t>[3]</w:t>
      </w:r>
      <w:r w:rsidRPr="00EC6959">
        <w:rPr>
          <w:sz w:val="18"/>
        </w:rPr>
        <w:t>.</w:t>
      </w:r>
      <w:r>
        <w:rPr>
          <w:sz w:val="18"/>
        </w:rPr>
        <w:t xml:space="preserve">  With events such as these, accurate forecasting of the storm strength, storm track, timing and lifespan is vital to aide preparedness and to mitigate against possible damage and loss.</w:t>
      </w:r>
    </w:p>
    <w:p w14:paraId="77B6DDB0" w14:textId="3EB37530" w:rsidR="005A27D1" w:rsidRDefault="00FE60DF" w:rsidP="00DA466D">
      <w:pPr>
        <w:spacing w:after="120" w:line="20" w:lineRule="atLeast"/>
        <w:jc w:val="both"/>
        <w:rPr>
          <w:sz w:val="18"/>
        </w:rPr>
      </w:pPr>
      <w:r>
        <w:rPr>
          <w:sz w:val="18"/>
        </w:rPr>
        <w:t xml:space="preserve">Part of the solution to </w:t>
      </w:r>
      <w:r w:rsidR="00F22B2A">
        <w:rPr>
          <w:sz w:val="18"/>
        </w:rPr>
        <w:t xml:space="preserve">achieving </w:t>
      </w:r>
      <w:r>
        <w:rPr>
          <w:sz w:val="18"/>
        </w:rPr>
        <w:t xml:space="preserve">this is being able to run Numerical Weather Prediction (NWP) models </w:t>
      </w:r>
      <w:r w:rsidR="00F22B2A">
        <w:rPr>
          <w:sz w:val="18"/>
        </w:rPr>
        <w:t xml:space="preserve">in a timely manner </w:t>
      </w:r>
      <w:r>
        <w:rPr>
          <w:sz w:val="18"/>
        </w:rPr>
        <w:t xml:space="preserve">at horizontal resolutions that not only properly resolve the processes most important to cyclone development and propagation, but also </w:t>
      </w:r>
      <w:r w:rsidR="00F22B2A">
        <w:rPr>
          <w:sz w:val="18"/>
        </w:rPr>
        <w:t>make use</w:t>
      </w:r>
      <w:r w:rsidR="0086222C">
        <w:rPr>
          <w:sz w:val="18"/>
        </w:rPr>
        <w:t>, where possible,</w:t>
      </w:r>
      <w:r w:rsidR="00F22B2A">
        <w:rPr>
          <w:sz w:val="18"/>
        </w:rPr>
        <w:t xml:space="preserve"> of</w:t>
      </w:r>
      <w:r>
        <w:rPr>
          <w:sz w:val="18"/>
        </w:rPr>
        <w:t xml:space="preserve"> </w:t>
      </w:r>
      <w:r w:rsidR="00F22B2A">
        <w:rPr>
          <w:sz w:val="18"/>
        </w:rPr>
        <w:t xml:space="preserve">high resolution </w:t>
      </w:r>
      <w:r w:rsidR="00207C6F">
        <w:rPr>
          <w:sz w:val="18"/>
        </w:rPr>
        <w:t>ancillary data</w:t>
      </w:r>
      <w:r>
        <w:rPr>
          <w:sz w:val="18"/>
        </w:rPr>
        <w:t xml:space="preserve"> such as terrain data</w:t>
      </w:r>
      <w:r w:rsidR="00F22B2A">
        <w:rPr>
          <w:sz w:val="18"/>
        </w:rPr>
        <w:t xml:space="preserve">.  </w:t>
      </w:r>
    </w:p>
    <w:p w14:paraId="3DF835AD" w14:textId="2D4DB1A9" w:rsidR="00F22B2A" w:rsidRDefault="00F22B2A" w:rsidP="00DA466D">
      <w:pPr>
        <w:spacing w:after="120" w:line="20" w:lineRule="atLeast"/>
        <w:jc w:val="both"/>
        <w:rPr>
          <w:sz w:val="18"/>
        </w:rPr>
      </w:pPr>
      <w:r>
        <w:rPr>
          <w:sz w:val="18"/>
        </w:rPr>
        <w:t xml:space="preserve">Today’s supercomputers are now capable of doing just this and in this presentation we describe work that looks </w:t>
      </w:r>
      <w:r w:rsidR="00207C6F">
        <w:rPr>
          <w:sz w:val="18"/>
        </w:rPr>
        <w:t>at how well a modern</w:t>
      </w:r>
      <w:r>
        <w:rPr>
          <w:sz w:val="18"/>
        </w:rPr>
        <w:t xml:space="preserve"> NWP model running with horizontal resolutions of 1.5</w:t>
      </w:r>
      <w:r w:rsidR="000C1986">
        <w:rPr>
          <w:sz w:val="18"/>
        </w:rPr>
        <w:t> </w:t>
      </w:r>
      <w:r>
        <w:rPr>
          <w:sz w:val="18"/>
        </w:rPr>
        <w:t>km down to 100</w:t>
      </w:r>
      <w:r w:rsidR="000C1986">
        <w:rPr>
          <w:sz w:val="18"/>
        </w:rPr>
        <w:t> </w:t>
      </w:r>
      <w:r w:rsidR="00C74784">
        <w:rPr>
          <w:sz w:val="18"/>
        </w:rPr>
        <w:t>m can forecast an event such as</w:t>
      </w:r>
      <w:r>
        <w:rPr>
          <w:sz w:val="18"/>
        </w:rPr>
        <w:t xml:space="preserve"> TC Winston, focussing on the key storm features such as wind speed (mean and gusts), landfall timing and location and storm track.</w:t>
      </w:r>
    </w:p>
    <w:p w14:paraId="67EFD2AD" w14:textId="527FB30C" w:rsidR="00066BB6" w:rsidRDefault="00F22B2A" w:rsidP="00DA466D">
      <w:pPr>
        <w:spacing w:after="120" w:line="20" w:lineRule="atLeast"/>
        <w:jc w:val="both"/>
        <w:rPr>
          <w:sz w:val="18"/>
        </w:rPr>
      </w:pPr>
      <w:r>
        <w:rPr>
          <w:sz w:val="18"/>
        </w:rPr>
        <w:t>In addition, we investigate how NWP model output, namely the surface and lower level winds, can be used to estimate the likely wind damage to be expected by a storm and the possible economic and infrastructure dam</w:t>
      </w:r>
      <w:r w:rsidR="00CD608E">
        <w:rPr>
          <w:sz w:val="18"/>
        </w:rPr>
        <w:t>age via application of the RiskS</w:t>
      </w:r>
      <w:r>
        <w:rPr>
          <w:sz w:val="18"/>
        </w:rPr>
        <w:t xml:space="preserve">cape </w:t>
      </w:r>
      <w:r w:rsidR="00CD608E">
        <w:rPr>
          <w:sz w:val="18"/>
        </w:rPr>
        <w:t>natural hazard impact and loss evaluation tool, jointly developed by NIWA and GNS Science in New Zealand.</w:t>
      </w:r>
    </w:p>
    <w:p w14:paraId="76722FDB" w14:textId="77777777" w:rsidR="006A7B52" w:rsidRDefault="00066BB6" w:rsidP="00DA466D">
      <w:pPr>
        <w:spacing w:after="120" w:line="20" w:lineRule="atLeast"/>
        <w:jc w:val="both"/>
        <w:rPr>
          <w:sz w:val="18"/>
        </w:rPr>
      </w:pPr>
      <w:r>
        <w:rPr>
          <w:rFonts w:ascii="Arial" w:hAnsi="Arial"/>
          <w:b/>
          <w:sz w:val="18"/>
        </w:rPr>
        <w:t>Introduction</w:t>
      </w:r>
      <w:r>
        <w:rPr>
          <w:sz w:val="18"/>
        </w:rPr>
        <w:t xml:space="preserve"> </w:t>
      </w:r>
    </w:p>
    <w:p w14:paraId="27B85FE1" w14:textId="5B625E2F" w:rsidR="000C1986" w:rsidRDefault="000C1986" w:rsidP="00EC6959">
      <w:pPr>
        <w:spacing w:after="120" w:line="20" w:lineRule="atLeast"/>
        <w:jc w:val="both"/>
        <w:rPr>
          <w:sz w:val="18"/>
        </w:rPr>
      </w:pPr>
      <w:r>
        <w:rPr>
          <w:sz w:val="18"/>
        </w:rPr>
        <w:t xml:space="preserve">Only in recent years, with ever-improving supercomputer resources, have </w:t>
      </w:r>
      <w:r w:rsidRPr="00A01FD1">
        <w:rPr>
          <w:sz w:val="18"/>
        </w:rPr>
        <w:t xml:space="preserve">Numerical Weather Prediction </w:t>
      </w:r>
      <w:r w:rsidR="00207C6F">
        <w:rPr>
          <w:sz w:val="18"/>
        </w:rPr>
        <w:t xml:space="preserve">(NWP) </w:t>
      </w:r>
      <w:r>
        <w:rPr>
          <w:sz w:val="18"/>
        </w:rPr>
        <w:t>models begun</w:t>
      </w:r>
      <w:r w:rsidRPr="00A01FD1">
        <w:rPr>
          <w:sz w:val="18"/>
        </w:rPr>
        <w:t xml:space="preserve"> to </w:t>
      </w:r>
      <w:r>
        <w:rPr>
          <w:sz w:val="18"/>
        </w:rPr>
        <w:t>be run at resolutions that explicitly resolve the wind flow interactions</w:t>
      </w:r>
      <w:r w:rsidRPr="00A01FD1">
        <w:rPr>
          <w:sz w:val="18"/>
        </w:rPr>
        <w:t xml:space="preserve"> over complex terrain</w:t>
      </w:r>
      <w:r>
        <w:rPr>
          <w:sz w:val="18"/>
        </w:rPr>
        <w:t xml:space="preserve">.  </w:t>
      </w:r>
      <w:r w:rsidRPr="00A01FD1">
        <w:rPr>
          <w:sz w:val="18"/>
        </w:rPr>
        <w:t>Now, supercomputing resources are such that fine-scale NWP on scales O(100</w:t>
      </w:r>
      <w:r w:rsidR="009E126F">
        <w:rPr>
          <w:sz w:val="18"/>
        </w:rPr>
        <w:t> </w:t>
      </w:r>
      <w:r w:rsidRPr="00A01FD1">
        <w:rPr>
          <w:sz w:val="18"/>
        </w:rPr>
        <w:t xml:space="preserve">m) is very possible and we can begin, for </w:t>
      </w:r>
      <w:r w:rsidR="00CB777E" w:rsidRPr="00A01FD1">
        <w:rPr>
          <w:sz w:val="18"/>
        </w:rPr>
        <w:t>example, to</w:t>
      </w:r>
      <w:r w:rsidRPr="00A01FD1">
        <w:rPr>
          <w:sz w:val="18"/>
        </w:rPr>
        <w:t xml:space="preserve"> use these models to confidently simulate the proces</w:t>
      </w:r>
      <w:r>
        <w:rPr>
          <w:sz w:val="18"/>
        </w:rPr>
        <w:t>ses, lifecycles and impacts of tropical c</w:t>
      </w:r>
      <w:r w:rsidRPr="00A01FD1">
        <w:rPr>
          <w:sz w:val="18"/>
        </w:rPr>
        <w:t>yclones</w:t>
      </w:r>
      <w:r>
        <w:rPr>
          <w:sz w:val="18"/>
        </w:rPr>
        <w:t>.</w:t>
      </w:r>
    </w:p>
    <w:p w14:paraId="7CACAFC7" w14:textId="624D8721" w:rsidR="002A0B89" w:rsidRDefault="00563939" w:rsidP="00EC6959">
      <w:pPr>
        <w:spacing w:after="120" w:line="20" w:lineRule="atLeast"/>
        <w:jc w:val="both"/>
        <w:rPr>
          <w:sz w:val="18"/>
        </w:rPr>
      </w:pPr>
      <w:r>
        <w:rPr>
          <w:sz w:val="18"/>
        </w:rPr>
        <w:t>TC Winston is considered the most costly cyclone in South Pacific history with a central low pressure minimum of just 915 hPa and 10-minute susta</w:t>
      </w:r>
      <w:r w:rsidR="006215E7">
        <w:rPr>
          <w:sz w:val="18"/>
        </w:rPr>
        <w:t>ined winds of 230 kph (~63 m/</w:t>
      </w:r>
      <w:r w:rsidR="00CB777E">
        <w:rPr>
          <w:sz w:val="18"/>
        </w:rPr>
        <w:t>s) (</w:t>
      </w:r>
      <w:r w:rsidR="006215E7">
        <w:rPr>
          <w:sz w:val="18"/>
        </w:rPr>
        <w:t xml:space="preserve">see </w:t>
      </w:r>
      <w:hyperlink r:id="rId8" w:history="1">
        <w:r w:rsidR="006215E7" w:rsidRPr="00F8755D">
          <w:rPr>
            <w:rStyle w:val="Hyperlink"/>
            <w:sz w:val="18"/>
          </w:rPr>
          <w:t>https://en.wikipedia.org/wiki/Cyclone_Winston</w:t>
        </w:r>
      </w:hyperlink>
      <w:r w:rsidR="006215E7">
        <w:rPr>
          <w:sz w:val="18"/>
        </w:rPr>
        <w:t xml:space="preserve"> and references therein).</w:t>
      </w:r>
      <w:r>
        <w:rPr>
          <w:sz w:val="18"/>
        </w:rPr>
        <w:t xml:space="preserve"> </w:t>
      </w:r>
      <w:r w:rsidR="006215E7">
        <w:rPr>
          <w:sz w:val="18"/>
        </w:rPr>
        <w:t xml:space="preserve"> </w:t>
      </w:r>
      <w:r w:rsidR="000C1986">
        <w:rPr>
          <w:sz w:val="18"/>
        </w:rPr>
        <w:t>T</w:t>
      </w:r>
      <w:r w:rsidR="000C1986" w:rsidRPr="005622C6">
        <w:rPr>
          <w:sz w:val="18"/>
        </w:rPr>
        <w:t>he passage of the eye of TC Winston over Vanua</w:t>
      </w:r>
      <w:r w:rsidR="00B26C3D">
        <w:rPr>
          <w:sz w:val="18"/>
        </w:rPr>
        <w:t xml:space="preserve"> B</w:t>
      </w:r>
      <w:r w:rsidR="000C1986" w:rsidRPr="005622C6">
        <w:rPr>
          <w:sz w:val="18"/>
        </w:rPr>
        <w:t xml:space="preserve">alavu, Fiji, during which a potential South Pacific Basin record </w:t>
      </w:r>
      <w:r w:rsidR="002A0B89">
        <w:rPr>
          <w:sz w:val="18"/>
        </w:rPr>
        <w:t xml:space="preserve">wind gust of 85m/s </w:t>
      </w:r>
      <w:r w:rsidR="00B53E13">
        <w:rPr>
          <w:sz w:val="18"/>
        </w:rPr>
        <w:t xml:space="preserve">(approx. 305 kph) </w:t>
      </w:r>
      <w:r w:rsidR="002A0B89">
        <w:rPr>
          <w:sz w:val="18"/>
        </w:rPr>
        <w:t>was recorded, provides a recent case where such fine-scale NWP can be tested.</w:t>
      </w:r>
      <w:r w:rsidR="00B53E13">
        <w:rPr>
          <w:sz w:val="18"/>
        </w:rPr>
        <w:t xml:space="preserve">  </w:t>
      </w:r>
    </w:p>
    <w:p w14:paraId="2A4D07E3" w14:textId="4B5FD924" w:rsidR="00B53E13" w:rsidRDefault="00B53E13" w:rsidP="00EC6959">
      <w:pPr>
        <w:spacing w:after="120" w:line="20" w:lineRule="atLeast"/>
        <w:jc w:val="both"/>
        <w:rPr>
          <w:sz w:val="18"/>
        </w:rPr>
      </w:pPr>
      <w:r>
        <w:rPr>
          <w:sz w:val="18"/>
        </w:rPr>
        <w:t>Using the UK Met Office Unified Model (hereafter UM</w:t>
      </w:r>
      <w:r w:rsidR="006A71CF">
        <w:rPr>
          <w:sz w:val="18"/>
        </w:rPr>
        <w:t xml:space="preserve">, see description in </w:t>
      </w:r>
      <w:r w:rsidR="000B42E9">
        <w:rPr>
          <w:sz w:val="18"/>
        </w:rPr>
        <w:t>[8</w:t>
      </w:r>
      <w:r w:rsidR="0037281F">
        <w:rPr>
          <w:sz w:val="18"/>
        </w:rPr>
        <w:t>]</w:t>
      </w:r>
      <w:r w:rsidR="00805DF0">
        <w:rPr>
          <w:sz w:val="18"/>
        </w:rPr>
        <w:t xml:space="preserve"> and </w:t>
      </w:r>
      <w:r w:rsidR="0037281F">
        <w:rPr>
          <w:sz w:val="18"/>
        </w:rPr>
        <w:t>[1]</w:t>
      </w:r>
      <w:r w:rsidR="002528F4">
        <w:rPr>
          <w:sz w:val="18"/>
        </w:rPr>
        <w:t xml:space="preserve">) as the chosen </w:t>
      </w:r>
      <w:r>
        <w:rPr>
          <w:sz w:val="18"/>
        </w:rPr>
        <w:t xml:space="preserve">NWP model, we will present the results of work that investigates how well modern NWP models, when run at horizontal resolutions approaching 1 km and higher, can simulate an event such as TC Winston, the </w:t>
      </w:r>
      <w:r>
        <w:rPr>
          <w:sz w:val="18"/>
        </w:rPr>
        <w:t>effects that ancillary data such as high resolution terrain data can have on the simulations and attempt to apply the mo</w:t>
      </w:r>
      <w:r w:rsidR="00207C6F">
        <w:rPr>
          <w:sz w:val="18"/>
        </w:rPr>
        <w:t>delled wind fields to the RiskSc</w:t>
      </w:r>
      <w:r>
        <w:rPr>
          <w:sz w:val="18"/>
        </w:rPr>
        <w:t>ape</w:t>
      </w:r>
      <w:r w:rsidR="00AE7BED">
        <w:rPr>
          <w:sz w:val="18"/>
        </w:rPr>
        <w:t xml:space="preserve"> </w:t>
      </w:r>
      <w:r w:rsidR="00DF0FA9">
        <w:rPr>
          <w:sz w:val="18"/>
        </w:rPr>
        <w:t>[6</w:t>
      </w:r>
      <w:r w:rsidR="0037281F">
        <w:rPr>
          <w:sz w:val="18"/>
        </w:rPr>
        <w:t>]</w:t>
      </w:r>
      <w:r>
        <w:rPr>
          <w:sz w:val="18"/>
        </w:rPr>
        <w:t xml:space="preserve"> natural hazard impact and loss tool to assess the likely built infrastructure and economic losses TC Winston would have caused.  Comparison against observed meteorological observations</w:t>
      </w:r>
      <w:r w:rsidR="00207C6F">
        <w:rPr>
          <w:sz w:val="18"/>
        </w:rPr>
        <w:t xml:space="preserve"> and</w:t>
      </w:r>
      <w:r>
        <w:rPr>
          <w:sz w:val="18"/>
        </w:rPr>
        <w:t xml:space="preserve"> actual loss figures will be made too</w:t>
      </w:r>
      <w:r w:rsidR="00207C6F">
        <w:rPr>
          <w:sz w:val="18"/>
        </w:rPr>
        <w:t>.</w:t>
      </w:r>
    </w:p>
    <w:p w14:paraId="1BCC652B" w14:textId="4F4323DF" w:rsidR="00375D2F" w:rsidRPr="00375D2F" w:rsidRDefault="00375D2F" w:rsidP="00EC6959">
      <w:pPr>
        <w:spacing w:after="120" w:line="20" w:lineRule="atLeast"/>
        <w:jc w:val="both"/>
        <w:rPr>
          <w:rFonts w:ascii="Arial" w:hAnsi="Arial" w:cs="Arial"/>
          <w:b/>
          <w:sz w:val="18"/>
        </w:rPr>
      </w:pPr>
      <w:r w:rsidRPr="00375D2F">
        <w:rPr>
          <w:rFonts w:ascii="Arial" w:hAnsi="Arial" w:cs="Arial"/>
          <w:b/>
          <w:sz w:val="18"/>
        </w:rPr>
        <w:t>The NWP Model</w:t>
      </w:r>
    </w:p>
    <w:p w14:paraId="7A9A6A90" w14:textId="4D21063F" w:rsidR="00375D2F" w:rsidRDefault="00375D2F" w:rsidP="00EC6959">
      <w:pPr>
        <w:spacing w:after="120" w:line="20" w:lineRule="atLeast"/>
        <w:jc w:val="both"/>
        <w:rPr>
          <w:sz w:val="18"/>
        </w:rPr>
      </w:pPr>
      <w:r>
        <w:rPr>
          <w:sz w:val="18"/>
        </w:rPr>
        <w:t xml:space="preserve">The UM is a state-of-the-art NWP model now widely used by many national meteorological centres around the world, and collaboratively developed under the guidance of the Unified Model Partnership.  NIWA is a member of this Partnership and uses the UM as the primary tool in </w:t>
      </w:r>
      <w:r w:rsidR="00E52632">
        <w:rPr>
          <w:sz w:val="18"/>
        </w:rPr>
        <w:t xml:space="preserve">its </w:t>
      </w:r>
      <w:r>
        <w:rPr>
          <w:sz w:val="18"/>
        </w:rPr>
        <w:t>EcoConnect hazard forecasting system with output from the UM used to drive many downstream models covering hydrology, storm surge, and wave forecasting applications, and is run in two configurations</w:t>
      </w:r>
      <w:r w:rsidR="00E52632">
        <w:rPr>
          <w:sz w:val="18"/>
        </w:rPr>
        <w:t>;</w:t>
      </w:r>
      <w:r>
        <w:rPr>
          <w:sz w:val="18"/>
        </w:rPr>
        <w:t xml:space="preserve"> a 12 km resolution New Zealand Limited Area Model (NZLAM) set up that covers the New Zealand and wider Tasman area including the eastern Australia coastal region, and the 1.5 km resolution convection-permitting New Zealand Convection-Scale Model (NZCSM).</w:t>
      </w:r>
    </w:p>
    <w:p w14:paraId="78ECDAAC" w14:textId="1C8BC47D" w:rsidR="00207C6F" w:rsidRDefault="00207C6F" w:rsidP="00EC6959">
      <w:pPr>
        <w:spacing w:after="120" w:line="20" w:lineRule="atLeast"/>
        <w:jc w:val="both"/>
        <w:rPr>
          <w:sz w:val="18"/>
        </w:rPr>
      </w:pPr>
      <w:r>
        <w:rPr>
          <w:sz w:val="18"/>
        </w:rPr>
        <w:t xml:space="preserve">In this work, a one-way nested configuration of the UM is used whereby a </w:t>
      </w:r>
      <w:r w:rsidR="006F1C6A">
        <w:rPr>
          <w:sz w:val="18"/>
        </w:rPr>
        <w:t>Global configuration of the UM with ~23</w:t>
      </w:r>
      <w:r w:rsidR="00AC3EBF">
        <w:rPr>
          <w:sz w:val="18"/>
        </w:rPr>
        <w:t> </w:t>
      </w:r>
      <w:r w:rsidR="006F1C6A">
        <w:rPr>
          <w:sz w:val="18"/>
        </w:rPr>
        <w:t>km horizont</w:t>
      </w:r>
      <w:r w:rsidR="005448DD">
        <w:rPr>
          <w:sz w:val="18"/>
        </w:rPr>
        <w:t xml:space="preserve">al resolution </w:t>
      </w:r>
      <w:r w:rsidR="00E1151A">
        <w:rPr>
          <w:sz w:val="18"/>
        </w:rPr>
        <w:t>at t</w:t>
      </w:r>
      <w:r w:rsidR="006F1C6A">
        <w:rPr>
          <w:sz w:val="18"/>
        </w:rPr>
        <w:t>ropic</w:t>
      </w:r>
      <w:r w:rsidR="00E1151A">
        <w:rPr>
          <w:sz w:val="18"/>
        </w:rPr>
        <w:t>al latitudes</w:t>
      </w:r>
      <w:r w:rsidR="006F1C6A">
        <w:rPr>
          <w:sz w:val="18"/>
        </w:rPr>
        <w:t xml:space="preserve"> is used to generate lateral boundary conditions for a 1.5 km configuration of the UM centred on Fiji using a </w:t>
      </w:r>
      <w:r w:rsidR="00480549">
        <w:rPr>
          <w:sz w:val="18"/>
        </w:rPr>
        <w:t xml:space="preserve">600 </w:t>
      </w:r>
      <w:r w:rsidR="0090333A">
        <w:rPr>
          <w:sz w:val="18"/>
        </w:rPr>
        <w:t>×</w:t>
      </w:r>
      <w:r w:rsidR="00480549">
        <w:rPr>
          <w:sz w:val="18"/>
        </w:rPr>
        <w:t xml:space="preserve"> 600 </w:t>
      </w:r>
      <w:r w:rsidR="0090333A">
        <w:rPr>
          <w:sz w:val="18"/>
        </w:rPr>
        <w:t>×</w:t>
      </w:r>
      <w:r w:rsidR="00480549">
        <w:rPr>
          <w:sz w:val="18"/>
        </w:rPr>
        <w:t xml:space="preserve"> 70 domain.  This model is run for 48 hours and in</w:t>
      </w:r>
      <w:r w:rsidR="00E1151A">
        <w:rPr>
          <w:sz w:val="18"/>
        </w:rPr>
        <w:t xml:space="preserve"> turn is configured to generate</w:t>
      </w:r>
      <w:r w:rsidR="00480549">
        <w:rPr>
          <w:sz w:val="18"/>
        </w:rPr>
        <w:t xml:space="preserve"> initial and lateral boundary conditions for higher resolution configurations of the UM, down to ~100 m.  </w:t>
      </w:r>
      <w:r w:rsidR="00E1151A">
        <w:rPr>
          <w:sz w:val="18"/>
        </w:rPr>
        <w:t>From each UM forecast</w:t>
      </w:r>
      <w:r w:rsidR="00480549">
        <w:rPr>
          <w:sz w:val="18"/>
        </w:rPr>
        <w:t xml:space="preserve">, meteorological fields are output to enable qualitative comparison against available satellite imagery and quantitative verification against available ground-based observations.  </w:t>
      </w:r>
    </w:p>
    <w:p w14:paraId="5382DF5E" w14:textId="1C2F4A06" w:rsidR="00480549" w:rsidRDefault="00480549" w:rsidP="00EC6959">
      <w:pPr>
        <w:spacing w:after="120" w:line="20" w:lineRule="atLeast"/>
        <w:jc w:val="both"/>
        <w:rPr>
          <w:sz w:val="18"/>
        </w:rPr>
      </w:pPr>
      <w:r>
        <w:rPr>
          <w:sz w:val="18"/>
        </w:rPr>
        <w:t xml:space="preserve">Where available, </w:t>
      </w:r>
      <w:r w:rsidR="00367F16">
        <w:rPr>
          <w:sz w:val="18"/>
        </w:rPr>
        <w:t xml:space="preserve">land use and </w:t>
      </w:r>
      <w:r>
        <w:rPr>
          <w:sz w:val="18"/>
        </w:rPr>
        <w:t xml:space="preserve">terrain data is sourced from the </w:t>
      </w:r>
      <w:r w:rsidR="00DF0FA9">
        <w:rPr>
          <w:sz w:val="18"/>
        </w:rPr>
        <w:t>IGBP [5] and CCI [2]</w:t>
      </w:r>
      <w:r w:rsidR="00BC1D81">
        <w:rPr>
          <w:sz w:val="18"/>
        </w:rPr>
        <w:t xml:space="preserve"> and </w:t>
      </w:r>
      <w:r w:rsidR="00DF0FA9">
        <w:rPr>
          <w:sz w:val="18"/>
        </w:rPr>
        <w:t>GLOBE [4]</w:t>
      </w:r>
      <w:r w:rsidR="00367F16">
        <w:rPr>
          <w:sz w:val="18"/>
        </w:rPr>
        <w:t xml:space="preserve"> and Shuttle Radar</w:t>
      </w:r>
      <w:r w:rsidR="00DF0FA9">
        <w:rPr>
          <w:sz w:val="18"/>
        </w:rPr>
        <w:t xml:space="preserve"> Topography Mission [7]</w:t>
      </w:r>
      <w:r w:rsidR="00BC1D81">
        <w:rPr>
          <w:sz w:val="18"/>
        </w:rPr>
        <w:t xml:space="preserve"> projects respectively.</w:t>
      </w:r>
    </w:p>
    <w:p w14:paraId="382B5641" w14:textId="0589125B" w:rsidR="00BC1D81" w:rsidRPr="00BC1D81" w:rsidRDefault="00BC1D81" w:rsidP="00EC6959">
      <w:pPr>
        <w:spacing w:after="120" w:line="20" w:lineRule="atLeast"/>
        <w:jc w:val="both"/>
        <w:rPr>
          <w:rFonts w:ascii="Arial" w:hAnsi="Arial" w:cs="Arial"/>
          <w:b/>
          <w:sz w:val="18"/>
        </w:rPr>
      </w:pPr>
      <w:r w:rsidRPr="00BC1D81">
        <w:rPr>
          <w:rFonts w:ascii="Arial" w:hAnsi="Arial" w:cs="Arial"/>
          <w:b/>
          <w:sz w:val="18"/>
        </w:rPr>
        <w:t>Simulating TC Winston</w:t>
      </w:r>
    </w:p>
    <w:p w14:paraId="34EAE6DF" w14:textId="20CE3FF6" w:rsidR="00BC1D81" w:rsidRDefault="001901DD" w:rsidP="00EC6959">
      <w:pPr>
        <w:spacing w:after="120" w:line="20" w:lineRule="atLeast"/>
        <w:jc w:val="both"/>
        <w:rPr>
          <w:sz w:val="18"/>
        </w:rPr>
      </w:pPr>
      <w:r>
        <w:rPr>
          <w:sz w:val="18"/>
        </w:rPr>
        <w:t xml:space="preserve">Being able to forecast the track, central pressure, and associated wind speeds of a Tropical </w:t>
      </w:r>
      <w:r w:rsidR="002E00E9">
        <w:rPr>
          <w:sz w:val="18"/>
        </w:rPr>
        <w:t>Cyclone</w:t>
      </w:r>
      <w:r>
        <w:rPr>
          <w:sz w:val="18"/>
        </w:rPr>
        <w:t xml:space="preserve"> would greatly assist in the preparing for the arrival of the storm, and, after the event, assist in planning of damage surveys and in better understanding how the built infrastructure was affected.</w:t>
      </w:r>
    </w:p>
    <w:p w14:paraId="06DC14CB" w14:textId="71355441" w:rsidR="001901DD" w:rsidRDefault="001901DD" w:rsidP="00EC6959">
      <w:pPr>
        <w:spacing w:after="120" w:line="20" w:lineRule="atLeast"/>
        <w:jc w:val="both"/>
        <w:rPr>
          <w:sz w:val="18"/>
        </w:rPr>
      </w:pPr>
      <w:r>
        <w:rPr>
          <w:sz w:val="18"/>
        </w:rPr>
        <w:t>From a forecast started at midnight UTC on the 19</w:t>
      </w:r>
      <w:r w:rsidRPr="001901DD">
        <w:rPr>
          <w:sz w:val="18"/>
          <w:vertAlign w:val="superscript"/>
        </w:rPr>
        <w:t>th</w:t>
      </w:r>
      <w:r>
        <w:rPr>
          <w:sz w:val="18"/>
        </w:rPr>
        <w:t xml:space="preserve"> February 2016, Figure 1 shows the forecast size, location and associated wind speeds of TC Winston as it approaches the island of Fiji at 0500 UTC on 20</w:t>
      </w:r>
      <w:r w:rsidRPr="001901DD">
        <w:rPr>
          <w:sz w:val="18"/>
          <w:vertAlign w:val="superscript"/>
        </w:rPr>
        <w:t>th</w:t>
      </w:r>
      <w:r>
        <w:rPr>
          <w:sz w:val="18"/>
        </w:rPr>
        <w:t xml:space="preserve"> February 2016</w:t>
      </w:r>
      <w:r w:rsidR="002F45F0">
        <w:rPr>
          <w:sz w:val="18"/>
        </w:rPr>
        <w:t xml:space="preserve"> from the 1.5 km model</w:t>
      </w:r>
      <w:r>
        <w:rPr>
          <w:sz w:val="18"/>
        </w:rPr>
        <w:t>.  The size and location of the modelled storm can be compared to the Himawari 8 cloud top temperature imagery in the bottom panel.</w:t>
      </w:r>
    </w:p>
    <w:p w14:paraId="34424B59" w14:textId="6E5165E1" w:rsidR="008F299F" w:rsidRDefault="008F299F" w:rsidP="008F299F">
      <w:pPr>
        <w:spacing w:after="120" w:line="20" w:lineRule="atLeast"/>
        <w:jc w:val="center"/>
        <w:rPr>
          <w:sz w:val="18"/>
        </w:rPr>
      </w:pPr>
      <w:r>
        <w:rPr>
          <w:noProof/>
          <w:lang w:val="en-NZ" w:eastAsia="zh-CN"/>
        </w:rPr>
        <w:lastRenderedPageBreak/>
        <w:drawing>
          <wp:inline distT="0" distB="0" distL="0" distR="0" wp14:anchorId="43BE4CB1" wp14:editId="76910820">
            <wp:extent cx="2428541" cy="2846567"/>
            <wp:effectExtent l="19050" t="19050" r="10160" b="1143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2005" r="58787" b="20770"/>
                    <a:stretch/>
                  </pic:blipFill>
                  <pic:spPr bwMode="auto">
                    <a:xfrm>
                      <a:off x="0" y="0"/>
                      <a:ext cx="2635012" cy="3088578"/>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14:paraId="34F1AE0F" w14:textId="6F74D225" w:rsidR="008F299F" w:rsidRDefault="008F299F" w:rsidP="008F299F">
      <w:pPr>
        <w:spacing w:after="120" w:line="20" w:lineRule="atLeast"/>
        <w:jc w:val="center"/>
        <w:rPr>
          <w:sz w:val="18"/>
        </w:rPr>
      </w:pPr>
      <w:r>
        <w:rPr>
          <w:noProof/>
          <w:lang w:val="en-NZ" w:eastAsia="zh-CN"/>
        </w:rPr>
        <w:drawing>
          <wp:inline distT="0" distB="0" distL="0" distR="0" wp14:anchorId="6FAECF0C" wp14:editId="2049F812">
            <wp:extent cx="2433099" cy="2792418"/>
            <wp:effectExtent l="19050" t="19050" r="24765" b="273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Himawari-0500.jpg"/>
                    <pic:cNvPicPr/>
                  </pic:nvPicPr>
                  <pic:blipFill rotWithShape="1">
                    <a:blip r:embed="rId10">
                      <a:extLst>
                        <a:ext uri="{28A0092B-C50C-407E-A947-70E740481C1C}">
                          <a14:useLocalDpi xmlns:a14="http://schemas.microsoft.com/office/drawing/2010/main" val="0"/>
                        </a:ext>
                      </a:extLst>
                    </a:blip>
                    <a:srcRect l="35040" t="19070" r="21706" b="21301"/>
                    <a:stretch/>
                  </pic:blipFill>
                  <pic:spPr bwMode="auto">
                    <a:xfrm>
                      <a:off x="0" y="0"/>
                      <a:ext cx="2514691" cy="288605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F6ECF07" w14:textId="1AFEFEBC" w:rsidR="008F299F" w:rsidRPr="008F299F" w:rsidRDefault="008F299F" w:rsidP="008F299F">
      <w:pPr>
        <w:pStyle w:val="Caption"/>
        <w:jc w:val="both"/>
        <w:rPr>
          <w:i w:val="0"/>
          <w:sz w:val="16"/>
          <w:szCs w:val="16"/>
        </w:rPr>
      </w:pPr>
      <w:r w:rsidRPr="008F299F">
        <w:rPr>
          <w:i w:val="0"/>
          <w:sz w:val="16"/>
          <w:szCs w:val="16"/>
        </w:rPr>
        <w:t>Figure 1. Comparison of TC Winston eye positioning and size valid at 0500 UTC on 20</w:t>
      </w:r>
      <w:r w:rsidRPr="007C0D94">
        <w:rPr>
          <w:i w:val="0"/>
          <w:sz w:val="16"/>
          <w:szCs w:val="16"/>
          <w:vertAlign w:val="superscript"/>
        </w:rPr>
        <w:t>th</w:t>
      </w:r>
      <w:r w:rsidR="007C0D94">
        <w:rPr>
          <w:i w:val="0"/>
          <w:sz w:val="16"/>
          <w:szCs w:val="16"/>
        </w:rPr>
        <w:t xml:space="preserve"> </w:t>
      </w:r>
      <w:r w:rsidRPr="008F299F">
        <w:rPr>
          <w:i w:val="0"/>
          <w:sz w:val="16"/>
          <w:szCs w:val="16"/>
        </w:rPr>
        <w:t>February 2016.  Top panel is the simulated 10m maximum wind gust speed from the 1.5</w:t>
      </w:r>
      <w:r>
        <w:rPr>
          <w:i w:val="0"/>
          <w:sz w:val="16"/>
          <w:szCs w:val="16"/>
        </w:rPr>
        <w:t> </w:t>
      </w:r>
      <w:r w:rsidR="00257860">
        <w:rPr>
          <w:i w:val="0"/>
          <w:sz w:val="16"/>
          <w:szCs w:val="16"/>
        </w:rPr>
        <w:t xml:space="preserve">km </w:t>
      </w:r>
      <w:r w:rsidRPr="008F299F">
        <w:rPr>
          <w:i w:val="0"/>
          <w:sz w:val="16"/>
          <w:szCs w:val="16"/>
        </w:rPr>
        <w:t>UM and the bottom panel is Himawari 8 cloud top temperature imagery.</w:t>
      </w:r>
    </w:p>
    <w:p w14:paraId="25EE42DE" w14:textId="526DC970" w:rsidR="002F45F0" w:rsidRDefault="00BE7E9E" w:rsidP="00EC6959">
      <w:pPr>
        <w:spacing w:after="120" w:line="20" w:lineRule="atLeast"/>
        <w:jc w:val="both"/>
        <w:rPr>
          <w:sz w:val="18"/>
        </w:rPr>
      </w:pPr>
      <w:r>
        <w:rPr>
          <w:sz w:val="18"/>
        </w:rPr>
        <w:t>Qualitatively, the 1.5 km model has done a very good job of forecasting the storm location and size, even 31 hours out from the data validity time.  From the same model forecast, modelled wind and pressure values were also compared against ground-based observations.  Table 1 compares these for Vanua Balavu, Levuka and Ba.</w:t>
      </w:r>
    </w:p>
    <w:p w14:paraId="7F26EA5B" w14:textId="31A04422" w:rsidR="00D324B6" w:rsidRDefault="00CB777E" w:rsidP="00EC6959">
      <w:pPr>
        <w:spacing w:after="120" w:line="20" w:lineRule="atLeast"/>
        <w:jc w:val="both"/>
        <w:rPr>
          <w:sz w:val="18"/>
        </w:rPr>
      </w:pPr>
      <w:r>
        <w:rPr>
          <w:sz w:val="18"/>
        </w:rPr>
        <w:t xml:space="preserve">From Table 1, it is clear </w:t>
      </w:r>
      <w:r w:rsidR="00BE7E9E">
        <w:rPr>
          <w:sz w:val="18"/>
        </w:rPr>
        <w:t xml:space="preserve">the 1.5 km model is quantitatively capable </w:t>
      </w:r>
      <w:r w:rsidR="00D324B6">
        <w:rPr>
          <w:sz w:val="18"/>
        </w:rPr>
        <w:t>of forecasting</w:t>
      </w:r>
      <w:r w:rsidR="00BE7E9E">
        <w:rPr>
          <w:sz w:val="18"/>
        </w:rPr>
        <w:t xml:space="preserve"> some of </w:t>
      </w:r>
      <w:r w:rsidR="00D324B6">
        <w:rPr>
          <w:sz w:val="18"/>
        </w:rPr>
        <w:t>the key elements of TC Winston,</w:t>
      </w:r>
      <w:r w:rsidR="007D26F5">
        <w:rPr>
          <w:sz w:val="18"/>
        </w:rPr>
        <w:t xml:space="preserve"> albeit </w:t>
      </w:r>
      <w:r w:rsidR="007D26F5" w:rsidRPr="005622C6">
        <w:rPr>
          <w:sz w:val="18"/>
        </w:rPr>
        <w:t xml:space="preserve">the peak observed gusts are simulated </w:t>
      </w:r>
      <w:r w:rsidR="00F5502D">
        <w:rPr>
          <w:sz w:val="18"/>
        </w:rPr>
        <w:t xml:space="preserve">slightly </w:t>
      </w:r>
      <w:r w:rsidR="007D26F5" w:rsidRPr="005622C6">
        <w:rPr>
          <w:sz w:val="18"/>
        </w:rPr>
        <w:t xml:space="preserve">too low and the simulated low pressure centre </w:t>
      </w:r>
      <w:r w:rsidR="0055629E">
        <w:rPr>
          <w:sz w:val="18"/>
        </w:rPr>
        <w:t xml:space="preserve">a </w:t>
      </w:r>
      <w:r w:rsidR="007D26F5" w:rsidRPr="005622C6">
        <w:rPr>
          <w:sz w:val="18"/>
        </w:rPr>
        <w:t>too high</w:t>
      </w:r>
      <w:r w:rsidR="007D26F5">
        <w:rPr>
          <w:sz w:val="18"/>
        </w:rPr>
        <w:t>.</w:t>
      </w:r>
      <w:r w:rsidR="00D324B6">
        <w:rPr>
          <w:sz w:val="18"/>
        </w:rPr>
        <w:t xml:space="preserve"> </w:t>
      </w:r>
      <w:r w:rsidR="00F5502D">
        <w:rPr>
          <w:sz w:val="18"/>
        </w:rPr>
        <w:t xml:space="preserve"> Regardless </w:t>
      </w:r>
      <w:r w:rsidR="0055629E">
        <w:rPr>
          <w:sz w:val="18"/>
        </w:rPr>
        <w:t xml:space="preserve">such a forecast </w:t>
      </w:r>
      <w:r w:rsidR="00F5502D">
        <w:rPr>
          <w:sz w:val="18"/>
        </w:rPr>
        <w:t>is still</w:t>
      </w:r>
      <w:r w:rsidR="0055629E">
        <w:rPr>
          <w:sz w:val="18"/>
        </w:rPr>
        <w:t xml:space="preserve"> a useful</w:t>
      </w:r>
      <w:r w:rsidR="00D324B6">
        <w:rPr>
          <w:sz w:val="18"/>
        </w:rPr>
        <w:t xml:space="preserve"> in corroborating aerial or ground-based photo assessment</w:t>
      </w:r>
      <w:r w:rsidR="00F5502D">
        <w:rPr>
          <w:sz w:val="18"/>
        </w:rPr>
        <w:t>s</w:t>
      </w:r>
      <w:r w:rsidR="00D324B6">
        <w:rPr>
          <w:sz w:val="18"/>
        </w:rPr>
        <w:t xml:space="preserve"> of storm damage where local observations are not available.</w:t>
      </w:r>
    </w:p>
    <w:p w14:paraId="02F8815D" w14:textId="1C49FD1C" w:rsidR="00BE7E9E" w:rsidRDefault="00D22834" w:rsidP="00EC6959">
      <w:pPr>
        <w:spacing w:after="120" w:line="20" w:lineRule="atLeast"/>
        <w:jc w:val="both"/>
        <w:rPr>
          <w:sz w:val="18"/>
        </w:rPr>
      </w:pPr>
      <w:r>
        <w:rPr>
          <w:sz w:val="18"/>
        </w:rPr>
        <w:t>A horizontal</w:t>
      </w:r>
      <w:r w:rsidR="00BE7E9E">
        <w:rPr>
          <w:sz w:val="18"/>
        </w:rPr>
        <w:t xml:space="preserve"> resolution of 1.5 km is likely still too coarse to be able to </w:t>
      </w:r>
      <w:r w:rsidR="00CB777E">
        <w:rPr>
          <w:sz w:val="18"/>
        </w:rPr>
        <w:t>resolve</w:t>
      </w:r>
      <w:r w:rsidR="00BE7E9E">
        <w:rPr>
          <w:sz w:val="18"/>
        </w:rPr>
        <w:t xml:space="preserve"> the topographic features of Fiji and its outlying islands which will have played a dominant role </w:t>
      </w:r>
      <w:r w:rsidR="00D324B6">
        <w:rPr>
          <w:sz w:val="18"/>
        </w:rPr>
        <w:t>determining</w:t>
      </w:r>
      <w:r w:rsidR="00BE7E9E">
        <w:rPr>
          <w:sz w:val="18"/>
        </w:rPr>
        <w:t xml:space="preserve"> </w:t>
      </w:r>
      <w:r w:rsidR="00D324B6">
        <w:rPr>
          <w:sz w:val="18"/>
        </w:rPr>
        <w:t xml:space="preserve">the near surface wind field.  To counter this, additional forecast runs of the UM are made at horizontal </w:t>
      </w:r>
    </w:p>
    <w:tbl>
      <w:tblPr>
        <w:tblStyle w:val="TableGrid"/>
        <w:tblW w:w="0" w:type="auto"/>
        <w:jc w:val="center"/>
        <w:tblLook w:val="04A0" w:firstRow="1" w:lastRow="0" w:firstColumn="1" w:lastColumn="0" w:noHBand="0" w:noVBand="1"/>
      </w:tblPr>
      <w:tblGrid>
        <w:gridCol w:w="947"/>
        <w:gridCol w:w="947"/>
        <w:gridCol w:w="947"/>
        <w:gridCol w:w="948"/>
        <w:gridCol w:w="948"/>
      </w:tblGrid>
      <w:tr w:rsidR="00BE7E9E" w14:paraId="2CED9E6D" w14:textId="77777777" w:rsidTr="00BE7E9E">
        <w:trPr>
          <w:jc w:val="center"/>
        </w:trPr>
        <w:tc>
          <w:tcPr>
            <w:tcW w:w="947" w:type="dxa"/>
            <w:vMerge w:val="restart"/>
            <w:vAlign w:val="bottom"/>
          </w:tcPr>
          <w:p w14:paraId="3DAF20AC" w14:textId="77777777" w:rsidR="00BE7E9E" w:rsidRPr="005D487C" w:rsidRDefault="00BE7E9E" w:rsidP="00FE403E">
            <w:pPr>
              <w:rPr>
                <w:b/>
                <w:sz w:val="18"/>
                <w:szCs w:val="18"/>
              </w:rPr>
            </w:pPr>
            <w:r w:rsidRPr="005D487C">
              <w:rPr>
                <w:b/>
                <w:sz w:val="18"/>
                <w:szCs w:val="18"/>
              </w:rPr>
              <w:t>Site</w:t>
            </w:r>
          </w:p>
        </w:tc>
        <w:tc>
          <w:tcPr>
            <w:tcW w:w="1894" w:type="dxa"/>
            <w:gridSpan w:val="2"/>
          </w:tcPr>
          <w:p w14:paraId="02852AD3" w14:textId="77777777" w:rsidR="00BE7E9E" w:rsidRPr="005D487C" w:rsidRDefault="00BE7E9E" w:rsidP="00FE403E">
            <w:pPr>
              <w:jc w:val="center"/>
              <w:rPr>
                <w:b/>
                <w:sz w:val="18"/>
                <w:szCs w:val="18"/>
              </w:rPr>
            </w:pPr>
            <w:r w:rsidRPr="005D487C">
              <w:rPr>
                <w:b/>
                <w:sz w:val="18"/>
                <w:szCs w:val="18"/>
              </w:rPr>
              <w:t>Observed</w:t>
            </w:r>
          </w:p>
        </w:tc>
        <w:tc>
          <w:tcPr>
            <w:tcW w:w="1896" w:type="dxa"/>
            <w:gridSpan w:val="2"/>
          </w:tcPr>
          <w:p w14:paraId="49C886F1" w14:textId="77777777" w:rsidR="00BE7E9E" w:rsidRPr="005D487C" w:rsidRDefault="00BE7E9E" w:rsidP="00FE403E">
            <w:pPr>
              <w:jc w:val="center"/>
              <w:rPr>
                <w:b/>
                <w:sz w:val="18"/>
                <w:szCs w:val="18"/>
              </w:rPr>
            </w:pPr>
            <w:r w:rsidRPr="005D487C">
              <w:rPr>
                <w:b/>
                <w:sz w:val="18"/>
                <w:szCs w:val="18"/>
              </w:rPr>
              <w:t>Modelled</w:t>
            </w:r>
          </w:p>
        </w:tc>
      </w:tr>
      <w:tr w:rsidR="00BE7E9E" w14:paraId="5E78BCCB" w14:textId="77777777" w:rsidTr="00BE7E9E">
        <w:trPr>
          <w:jc w:val="center"/>
        </w:trPr>
        <w:tc>
          <w:tcPr>
            <w:tcW w:w="947" w:type="dxa"/>
            <w:vMerge/>
          </w:tcPr>
          <w:p w14:paraId="32E38208" w14:textId="77777777" w:rsidR="00BE7E9E" w:rsidRPr="005D487C" w:rsidRDefault="00BE7E9E" w:rsidP="00FE403E">
            <w:pPr>
              <w:rPr>
                <w:sz w:val="18"/>
                <w:szCs w:val="18"/>
              </w:rPr>
            </w:pPr>
          </w:p>
        </w:tc>
        <w:tc>
          <w:tcPr>
            <w:tcW w:w="947" w:type="dxa"/>
          </w:tcPr>
          <w:p w14:paraId="5D003CDA" w14:textId="77777777" w:rsidR="00BE7E9E" w:rsidRPr="005D487C" w:rsidRDefault="00BE7E9E" w:rsidP="00FE403E">
            <w:pPr>
              <w:jc w:val="center"/>
              <w:rPr>
                <w:sz w:val="18"/>
                <w:szCs w:val="18"/>
              </w:rPr>
            </w:pPr>
            <w:r w:rsidRPr="005D487C">
              <w:rPr>
                <w:sz w:val="18"/>
                <w:szCs w:val="18"/>
              </w:rPr>
              <w:t>Min sfc pressure (hPa)</w:t>
            </w:r>
          </w:p>
        </w:tc>
        <w:tc>
          <w:tcPr>
            <w:tcW w:w="947" w:type="dxa"/>
          </w:tcPr>
          <w:p w14:paraId="6D2B7021" w14:textId="77777777" w:rsidR="00BE7E9E" w:rsidRPr="005D487C" w:rsidRDefault="00BE7E9E" w:rsidP="00FE403E">
            <w:pPr>
              <w:jc w:val="center"/>
              <w:rPr>
                <w:sz w:val="18"/>
                <w:szCs w:val="18"/>
              </w:rPr>
            </w:pPr>
            <w:r w:rsidRPr="005D487C">
              <w:rPr>
                <w:sz w:val="18"/>
                <w:szCs w:val="18"/>
              </w:rPr>
              <w:t>Max 10m 3s gust (ms</w:t>
            </w:r>
            <w:r w:rsidRPr="005D487C">
              <w:rPr>
                <w:sz w:val="18"/>
                <w:szCs w:val="18"/>
                <w:vertAlign w:val="superscript"/>
              </w:rPr>
              <w:t>-1</w:t>
            </w:r>
            <w:r w:rsidRPr="005D487C">
              <w:rPr>
                <w:sz w:val="18"/>
                <w:szCs w:val="18"/>
              </w:rPr>
              <w:t>)</w:t>
            </w:r>
          </w:p>
        </w:tc>
        <w:tc>
          <w:tcPr>
            <w:tcW w:w="948" w:type="dxa"/>
          </w:tcPr>
          <w:p w14:paraId="36798246" w14:textId="77777777" w:rsidR="00BE7E9E" w:rsidRPr="005D487C" w:rsidRDefault="00BE7E9E" w:rsidP="00FE403E">
            <w:pPr>
              <w:jc w:val="center"/>
              <w:rPr>
                <w:sz w:val="18"/>
                <w:szCs w:val="18"/>
              </w:rPr>
            </w:pPr>
            <w:r w:rsidRPr="005D487C">
              <w:rPr>
                <w:sz w:val="18"/>
                <w:szCs w:val="18"/>
              </w:rPr>
              <w:t>Min sfc pressure (hPa)</w:t>
            </w:r>
          </w:p>
        </w:tc>
        <w:tc>
          <w:tcPr>
            <w:tcW w:w="948" w:type="dxa"/>
          </w:tcPr>
          <w:p w14:paraId="6E877AA3" w14:textId="77777777" w:rsidR="00BE7E9E" w:rsidRPr="005D487C" w:rsidRDefault="00BE7E9E" w:rsidP="00FE403E">
            <w:pPr>
              <w:jc w:val="center"/>
              <w:rPr>
                <w:sz w:val="18"/>
                <w:szCs w:val="18"/>
              </w:rPr>
            </w:pPr>
            <w:r w:rsidRPr="005D487C">
              <w:rPr>
                <w:sz w:val="18"/>
                <w:szCs w:val="18"/>
              </w:rPr>
              <w:t>Max 10m 3s gust (ms</w:t>
            </w:r>
            <w:r w:rsidRPr="005D487C">
              <w:rPr>
                <w:sz w:val="18"/>
                <w:szCs w:val="18"/>
                <w:vertAlign w:val="superscript"/>
              </w:rPr>
              <w:t>-1</w:t>
            </w:r>
            <w:r w:rsidRPr="005D487C">
              <w:rPr>
                <w:sz w:val="18"/>
                <w:szCs w:val="18"/>
              </w:rPr>
              <w:t>)</w:t>
            </w:r>
          </w:p>
        </w:tc>
      </w:tr>
      <w:tr w:rsidR="00BE7E9E" w14:paraId="522BCE2E" w14:textId="77777777" w:rsidTr="00BE7E9E">
        <w:trPr>
          <w:jc w:val="center"/>
        </w:trPr>
        <w:tc>
          <w:tcPr>
            <w:tcW w:w="947" w:type="dxa"/>
            <w:vAlign w:val="center"/>
          </w:tcPr>
          <w:p w14:paraId="58EFA211" w14:textId="77777777" w:rsidR="00BE7E9E" w:rsidRPr="005D487C" w:rsidRDefault="00BE7E9E" w:rsidP="00FE403E">
            <w:pPr>
              <w:rPr>
                <w:sz w:val="18"/>
                <w:szCs w:val="18"/>
              </w:rPr>
            </w:pPr>
            <w:r w:rsidRPr="005D487C">
              <w:rPr>
                <w:sz w:val="18"/>
                <w:szCs w:val="18"/>
              </w:rPr>
              <w:t>Vanua Balavu</w:t>
            </w:r>
          </w:p>
        </w:tc>
        <w:tc>
          <w:tcPr>
            <w:tcW w:w="947" w:type="dxa"/>
            <w:vAlign w:val="center"/>
          </w:tcPr>
          <w:p w14:paraId="7C295CB6" w14:textId="77777777" w:rsidR="00BE7E9E" w:rsidRPr="005D487C" w:rsidRDefault="00BE7E9E" w:rsidP="00FE403E">
            <w:pPr>
              <w:jc w:val="center"/>
              <w:rPr>
                <w:sz w:val="18"/>
                <w:szCs w:val="18"/>
              </w:rPr>
            </w:pPr>
            <w:r w:rsidRPr="005D487C">
              <w:rPr>
                <w:sz w:val="18"/>
                <w:szCs w:val="18"/>
              </w:rPr>
              <w:t>929.5</w:t>
            </w:r>
          </w:p>
        </w:tc>
        <w:tc>
          <w:tcPr>
            <w:tcW w:w="947" w:type="dxa"/>
            <w:vAlign w:val="center"/>
          </w:tcPr>
          <w:p w14:paraId="59D69998" w14:textId="77777777" w:rsidR="00BE7E9E" w:rsidRPr="005D487C" w:rsidRDefault="00BE7E9E" w:rsidP="00FE403E">
            <w:pPr>
              <w:jc w:val="center"/>
              <w:rPr>
                <w:sz w:val="18"/>
                <w:szCs w:val="18"/>
              </w:rPr>
            </w:pPr>
            <w:r w:rsidRPr="005D487C">
              <w:rPr>
                <w:sz w:val="18"/>
                <w:szCs w:val="18"/>
              </w:rPr>
              <w:t>85.0</w:t>
            </w:r>
          </w:p>
        </w:tc>
        <w:tc>
          <w:tcPr>
            <w:tcW w:w="948" w:type="dxa"/>
            <w:vAlign w:val="center"/>
          </w:tcPr>
          <w:p w14:paraId="18CF3037" w14:textId="77777777" w:rsidR="00BE7E9E" w:rsidRPr="005D487C" w:rsidRDefault="00BE7E9E" w:rsidP="00FE403E">
            <w:pPr>
              <w:jc w:val="center"/>
              <w:rPr>
                <w:sz w:val="18"/>
                <w:szCs w:val="18"/>
              </w:rPr>
            </w:pPr>
            <w:r w:rsidRPr="005D487C">
              <w:rPr>
                <w:sz w:val="18"/>
                <w:szCs w:val="18"/>
              </w:rPr>
              <w:t>936</w:t>
            </w:r>
          </w:p>
        </w:tc>
        <w:tc>
          <w:tcPr>
            <w:tcW w:w="948" w:type="dxa"/>
            <w:vAlign w:val="center"/>
          </w:tcPr>
          <w:p w14:paraId="5F797935" w14:textId="77777777" w:rsidR="00BE7E9E" w:rsidRPr="005D487C" w:rsidRDefault="00BE7E9E" w:rsidP="00FE403E">
            <w:pPr>
              <w:jc w:val="center"/>
              <w:rPr>
                <w:sz w:val="18"/>
                <w:szCs w:val="18"/>
              </w:rPr>
            </w:pPr>
            <w:r w:rsidRPr="005D487C">
              <w:rPr>
                <w:sz w:val="18"/>
                <w:szCs w:val="18"/>
              </w:rPr>
              <w:t>74</w:t>
            </w:r>
          </w:p>
        </w:tc>
      </w:tr>
      <w:tr w:rsidR="00BE7E9E" w14:paraId="7F7701AA" w14:textId="77777777" w:rsidTr="00BE7E9E">
        <w:trPr>
          <w:jc w:val="center"/>
        </w:trPr>
        <w:tc>
          <w:tcPr>
            <w:tcW w:w="947" w:type="dxa"/>
            <w:vAlign w:val="center"/>
          </w:tcPr>
          <w:p w14:paraId="75919213" w14:textId="77777777" w:rsidR="00BE7E9E" w:rsidRPr="005D487C" w:rsidRDefault="00BE7E9E" w:rsidP="00FE403E">
            <w:pPr>
              <w:rPr>
                <w:sz w:val="18"/>
                <w:szCs w:val="18"/>
              </w:rPr>
            </w:pPr>
            <w:r w:rsidRPr="005D487C">
              <w:rPr>
                <w:sz w:val="18"/>
                <w:szCs w:val="18"/>
              </w:rPr>
              <w:t>Levuka</w:t>
            </w:r>
          </w:p>
        </w:tc>
        <w:tc>
          <w:tcPr>
            <w:tcW w:w="947" w:type="dxa"/>
            <w:vAlign w:val="center"/>
          </w:tcPr>
          <w:p w14:paraId="6C9DDB29" w14:textId="77777777" w:rsidR="00BE7E9E" w:rsidRPr="005D487C" w:rsidRDefault="00BE7E9E" w:rsidP="00FE403E">
            <w:pPr>
              <w:jc w:val="center"/>
              <w:rPr>
                <w:sz w:val="18"/>
                <w:szCs w:val="18"/>
              </w:rPr>
            </w:pPr>
            <w:r w:rsidRPr="005D487C">
              <w:rPr>
                <w:sz w:val="18"/>
                <w:szCs w:val="18"/>
              </w:rPr>
              <w:t>954.9</w:t>
            </w:r>
          </w:p>
        </w:tc>
        <w:tc>
          <w:tcPr>
            <w:tcW w:w="947" w:type="dxa"/>
            <w:vAlign w:val="center"/>
          </w:tcPr>
          <w:p w14:paraId="7EEDA243" w14:textId="77777777" w:rsidR="00BE7E9E" w:rsidRPr="005D487C" w:rsidRDefault="00BE7E9E" w:rsidP="00FE403E">
            <w:pPr>
              <w:jc w:val="center"/>
              <w:rPr>
                <w:sz w:val="18"/>
                <w:szCs w:val="18"/>
              </w:rPr>
            </w:pPr>
            <w:r w:rsidRPr="005D487C">
              <w:rPr>
                <w:sz w:val="18"/>
                <w:szCs w:val="18"/>
              </w:rPr>
              <w:t>67.0</w:t>
            </w:r>
          </w:p>
        </w:tc>
        <w:tc>
          <w:tcPr>
            <w:tcW w:w="948" w:type="dxa"/>
            <w:vAlign w:val="center"/>
          </w:tcPr>
          <w:p w14:paraId="7D76D39B" w14:textId="77777777" w:rsidR="00BE7E9E" w:rsidRPr="005D487C" w:rsidRDefault="00BE7E9E" w:rsidP="00FE403E">
            <w:pPr>
              <w:jc w:val="center"/>
              <w:rPr>
                <w:sz w:val="18"/>
                <w:szCs w:val="18"/>
              </w:rPr>
            </w:pPr>
            <w:r w:rsidRPr="005D487C">
              <w:rPr>
                <w:sz w:val="18"/>
                <w:szCs w:val="18"/>
              </w:rPr>
              <w:t>960</w:t>
            </w:r>
          </w:p>
        </w:tc>
        <w:tc>
          <w:tcPr>
            <w:tcW w:w="948" w:type="dxa"/>
            <w:vAlign w:val="center"/>
          </w:tcPr>
          <w:p w14:paraId="52A0D778" w14:textId="77777777" w:rsidR="00BE7E9E" w:rsidRPr="005D487C" w:rsidRDefault="00BE7E9E" w:rsidP="00FE403E">
            <w:pPr>
              <w:jc w:val="center"/>
              <w:rPr>
                <w:sz w:val="18"/>
                <w:szCs w:val="18"/>
              </w:rPr>
            </w:pPr>
            <w:r w:rsidRPr="005D487C">
              <w:rPr>
                <w:sz w:val="18"/>
                <w:szCs w:val="18"/>
              </w:rPr>
              <w:t>64</w:t>
            </w:r>
          </w:p>
        </w:tc>
      </w:tr>
      <w:tr w:rsidR="00BE7E9E" w14:paraId="341A569D" w14:textId="77777777" w:rsidTr="00BE7E9E">
        <w:trPr>
          <w:jc w:val="center"/>
        </w:trPr>
        <w:tc>
          <w:tcPr>
            <w:tcW w:w="947" w:type="dxa"/>
            <w:vAlign w:val="center"/>
          </w:tcPr>
          <w:p w14:paraId="1387C641" w14:textId="77777777" w:rsidR="00BE7E9E" w:rsidRPr="005D487C" w:rsidRDefault="00BE7E9E" w:rsidP="00FE403E">
            <w:pPr>
              <w:rPr>
                <w:sz w:val="18"/>
                <w:szCs w:val="18"/>
              </w:rPr>
            </w:pPr>
            <w:r w:rsidRPr="005D487C">
              <w:rPr>
                <w:sz w:val="18"/>
                <w:szCs w:val="18"/>
              </w:rPr>
              <w:t>Ba</w:t>
            </w:r>
          </w:p>
        </w:tc>
        <w:tc>
          <w:tcPr>
            <w:tcW w:w="947" w:type="dxa"/>
            <w:vAlign w:val="center"/>
          </w:tcPr>
          <w:p w14:paraId="5ACD69E1" w14:textId="77777777" w:rsidR="00BE7E9E" w:rsidRPr="005D487C" w:rsidRDefault="00BE7E9E" w:rsidP="00FE403E">
            <w:pPr>
              <w:jc w:val="center"/>
              <w:rPr>
                <w:sz w:val="18"/>
                <w:szCs w:val="18"/>
              </w:rPr>
            </w:pPr>
            <w:r w:rsidRPr="005D487C">
              <w:rPr>
                <w:sz w:val="18"/>
                <w:szCs w:val="18"/>
              </w:rPr>
              <w:t>956.7</w:t>
            </w:r>
          </w:p>
        </w:tc>
        <w:tc>
          <w:tcPr>
            <w:tcW w:w="947" w:type="dxa"/>
            <w:vAlign w:val="center"/>
          </w:tcPr>
          <w:p w14:paraId="1563B468" w14:textId="77777777" w:rsidR="00BE7E9E" w:rsidRPr="005D487C" w:rsidRDefault="00BE7E9E" w:rsidP="00FE403E">
            <w:pPr>
              <w:jc w:val="center"/>
              <w:rPr>
                <w:sz w:val="18"/>
                <w:szCs w:val="18"/>
              </w:rPr>
            </w:pPr>
            <w:r w:rsidRPr="005D487C">
              <w:rPr>
                <w:sz w:val="18"/>
                <w:szCs w:val="18"/>
              </w:rPr>
              <w:t>52.7</w:t>
            </w:r>
          </w:p>
        </w:tc>
        <w:tc>
          <w:tcPr>
            <w:tcW w:w="948" w:type="dxa"/>
            <w:vAlign w:val="center"/>
          </w:tcPr>
          <w:p w14:paraId="2D0CC130" w14:textId="77777777" w:rsidR="00BE7E9E" w:rsidRPr="005D487C" w:rsidRDefault="00BE7E9E" w:rsidP="00FE403E">
            <w:pPr>
              <w:jc w:val="center"/>
              <w:rPr>
                <w:sz w:val="18"/>
                <w:szCs w:val="18"/>
              </w:rPr>
            </w:pPr>
            <w:r w:rsidRPr="005D487C">
              <w:rPr>
                <w:sz w:val="18"/>
                <w:szCs w:val="18"/>
              </w:rPr>
              <w:t>940</w:t>
            </w:r>
          </w:p>
        </w:tc>
        <w:tc>
          <w:tcPr>
            <w:tcW w:w="948" w:type="dxa"/>
            <w:vAlign w:val="center"/>
          </w:tcPr>
          <w:p w14:paraId="5D5C2C3F" w14:textId="77777777" w:rsidR="00BE7E9E" w:rsidRPr="005D487C" w:rsidRDefault="00BE7E9E" w:rsidP="00FE403E">
            <w:pPr>
              <w:jc w:val="center"/>
              <w:rPr>
                <w:sz w:val="18"/>
                <w:szCs w:val="18"/>
              </w:rPr>
            </w:pPr>
            <w:r w:rsidRPr="005D487C">
              <w:rPr>
                <w:sz w:val="18"/>
                <w:szCs w:val="18"/>
              </w:rPr>
              <w:t>70</w:t>
            </w:r>
          </w:p>
        </w:tc>
      </w:tr>
    </w:tbl>
    <w:p w14:paraId="58D5AFFE" w14:textId="5DC317BB" w:rsidR="00BE7E9E" w:rsidRPr="00BE7E9E" w:rsidRDefault="00BE7E9E" w:rsidP="00EC6959">
      <w:pPr>
        <w:spacing w:after="120" w:line="20" w:lineRule="atLeast"/>
        <w:jc w:val="both"/>
        <w:rPr>
          <w:sz w:val="16"/>
          <w:szCs w:val="16"/>
        </w:rPr>
      </w:pPr>
      <w:r w:rsidRPr="00BE7E9E">
        <w:rPr>
          <w:sz w:val="16"/>
          <w:szCs w:val="16"/>
        </w:rPr>
        <w:t>Table 1. Comparison of observed and modelled minimum surface pressures and 10m 3-second gusts at Vanua Balavu, Levuka, and Ba on 20</w:t>
      </w:r>
      <w:r w:rsidRPr="00BE7E9E">
        <w:rPr>
          <w:sz w:val="16"/>
          <w:szCs w:val="16"/>
          <w:vertAlign w:val="superscript"/>
        </w:rPr>
        <w:t>th</w:t>
      </w:r>
      <w:r w:rsidRPr="00BE7E9E">
        <w:rPr>
          <w:sz w:val="16"/>
          <w:szCs w:val="16"/>
        </w:rPr>
        <w:t xml:space="preserve"> February 2016.  To account for forecast timing and track errors, the modelled estimates are for forecast hours within 2 hours of minimum central pressure being recorded at each site and for grid-cells located in a similar position relative to the eye.</w:t>
      </w:r>
    </w:p>
    <w:p w14:paraId="3C08FA4D" w14:textId="0CDD57C1" w:rsidR="00D324B6" w:rsidRDefault="00FB7C69" w:rsidP="00EC6959">
      <w:pPr>
        <w:spacing w:after="120" w:line="20" w:lineRule="atLeast"/>
        <w:jc w:val="both"/>
        <w:rPr>
          <w:sz w:val="18"/>
        </w:rPr>
      </w:pPr>
      <w:r>
        <w:rPr>
          <w:sz w:val="18"/>
        </w:rPr>
        <w:t xml:space="preserve">resolutions as high as 100m using underlying topography data at similar resolutions in an attempt to capture the local near surface </w:t>
      </w:r>
      <w:r w:rsidR="00D324B6">
        <w:rPr>
          <w:sz w:val="18"/>
        </w:rPr>
        <w:t>wind field as well as possible.  Forecasts from multiple initial times also, giving a lagged ensemble of forecasts to capture the forecast variability of the storm</w:t>
      </w:r>
      <w:r w:rsidR="00285A69">
        <w:rPr>
          <w:sz w:val="18"/>
        </w:rPr>
        <w:t>, are also completed.  An ensemble of forecast wind speeds and central pressures enables confidence intervals to be generated that can be used downstream to assess both conservative and best-case damage scenarios.</w:t>
      </w:r>
      <w:r w:rsidR="00D324B6">
        <w:rPr>
          <w:sz w:val="18"/>
        </w:rPr>
        <w:t xml:space="preserve"> </w:t>
      </w:r>
      <w:r w:rsidR="0065617E">
        <w:rPr>
          <w:sz w:val="18"/>
        </w:rPr>
        <w:t xml:space="preserve"> </w:t>
      </w:r>
      <w:r w:rsidR="00D324B6">
        <w:rPr>
          <w:sz w:val="18"/>
        </w:rPr>
        <w:t>This work is ongoing.</w:t>
      </w:r>
    </w:p>
    <w:p w14:paraId="23BA65CE" w14:textId="129C6016" w:rsidR="004A4E40" w:rsidRPr="004A4E40" w:rsidRDefault="004A4E40" w:rsidP="00EC6959">
      <w:pPr>
        <w:spacing w:after="120" w:line="20" w:lineRule="atLeast"/>
        <w:jc w:val="both"/>
        <w:rPr>
          <w:rFonts w:ascii="Arial" w:hAnsi="Arial" w:cs="Arial"/>
          <w:b/>
          <w:sz w:val="18"/>
        </w:rPr>
      </w:pPr>
      <w:r>
        <w:rPr>
          <w:rFonts w:ascii="Arial" w:hAnsi="Arial" w:cs="Arial"/>
          <w:b/>
          <w:sz w:val="18"/>
        </w:rPr>
        <w:t>Hill Shape and Terrain Category Modelling</w:t>
      </w:r>
    </w:p>
    <w:p w14:paraId="694C6AC0" w14:textId="0C97776D" w:rsidR="0065617E" w:rsidRDefault="0065617E" w:rsidP="00EC6959">
      <w:pPr>
        <w:spacing w:after="120" w:line="20" w:lineRule="atLeast"/>
        <w:jc w:val="both"/>
        <w:rPr>
          <w:sz w:val="18"/>
        </w:rPr>
      </w:pPr>
      <w:r>
        <w:rPr>
          <w:sz w:val="18"/>
        </w:rPr>
        <w:t xml:space="preserve">A further benefit of running the NWP model to resolutions approaching 100 m, where the local terrain is more accurately resolved, is that estimates of </w:t>
      </w:r>
      <w:r w:rsidR="009F4F75">
        <w:rPr>
          <w:sz w:val="18"/>
        </w:rPr>
        <w:t xml:space="preserve">the hill shape effects and terrain category, components regularly used in </w:t>
      </w:r>
      <w:r w:rsidR="00DD6DCA">
        <w:rPr>
          <w:sz w:val="18"/>
        </w:rPr>
        <w:t xml:space="preserve">wind action </w:t>
      </w:r>
      <w:r w:rsidR="00CB777E">
        <w:rPr>
          <w:sz w:val="18"/>
        </w:rPr>
        <w:t>calculations</w:t>
      </w:r>
      <w:r w:rsidR="009F4F75">
        <w:rPr>
          <w:sz w:val="18"/>
        </w:rPr>
        <w:t xml:space="preserve">, can be directly modelled and compared against those calculated from the Standards themselves.  When accompanied by the modelled wind fields, in particular the modelled surface wind gust, forecast estimates of point-of-damage wind speeds can be calculated for individual properties that have been surveyed post-event. </w:t>
      </w:r>
    </w:p>
    <w:p w14:paraId="5C8049FC" w14:textId="44180ECC" w:rsidR="009F4F75" w:rsidRDefault="009F4F75" w:rsidP="00EC6959">
      <w:pPr>
        <w:spacing w:after="120" w:line="20" w:lineRule="atLeast"/>
        <w:jc w:val="both"/>
        <w:rPr>
          <w:sz w:val="18"/>
        </w:rPr>
      </w:pPr>
      <w:r>
        <w:rPr>
          <w:sz w:val="18"/>
        </w:rPr>
        <w:t xml:space="preserve">Using UM forecast output, these factors are being evaluated </w:t>
      </w:r>
      <w:r w:rsidR="00CB777E">
        <w:rPr>
          <w:sz w:val="18"/>
        </w:rPr>
        <w:t>per</w:t>
      </w:r>
      <w:r>
        <w:rPr>
          <w:sz w:val="18"/>
        </w:rPr>
        <w:t xml:space="preserve"> the AS/NZS 1170.2 (2011) Standards on Wind Actions and will inform on both the validity of the Standards in terms of the wind speeds that should be expected over a given terrain or region and in validating the outcomes of loss/damage disaster analysis tools such as RiskScape.</w:t>
      </w:r>
    </w:p>
    <w:p w14:paraId="1E56830B" w14:textId="2CB7CE8D" w:rsidR="009F4F75" w:rsidRDefault="009F4F75" w:rsidP="00EC6959">
      <w:pPr>
        <w:spacing w:after="120" w:line="20" w:lineRule="atLeast"/>
        <w:jc w:val="both"/>
        <w:rPr>
          <w:rFonts w:ascii="Arial" w:hAnsi="Arial" w:cs="Arial"/>
          <w:b/>
          <w:sz w:val="18"/>
        </w:rPr>
      </w:pPr>
      <w:r>
        <w:rPr>
          <w:rFonts w:ascii="Arial" w:hAnsi="Arial" w:cs="Arial"/>
          <w:b/>
          <w:sz w:val="18"/>
        </w:rPr>
        <w:t>Evaluating the loss and damage impact of TC Winston</w:t>
      </w:r>
    </w:p>
    <w:p w14:paraId="227BB950" w14:textId="2DA070FC" w:rsidR="009F4F75" w:rsidRPr="009F4F75" w:rsidRDefault="00F5502D" w:rsidP="00EC6959">
      <w:pPr>
        <w:spacing w:after="120" w:line="20" w:lineRule="atLeast"/>
        <w:jc w:val="both"/>
        <w:rPr>
          <w:sz w:val="18"/>
        </w:rPr>
      </w:pPr>
      <w:r>
        <w:rPr>
          <w:sz w:val="18"/>
        </w:rPr>
        <w:t>Vulnerability models are one way of forecasting the likely impact, both on built infrastructure and economic loss, a given event will impart.  For natural hazard events, NIWA, in conjunction with GNS Science, has developed the RiskScape impact and loss evalua</w:t>
      </w:r>
      <w:r w:rsidR="006D460E">
        <w:rPr>
          <w:sz w:val="18"/>
        </w:rPr>
        <w:t>tion tool</w:t>
      </w:r>
      <w:r>
        <w:rPr>
          <w:sz w:val="18"/>
        </w:rPr>
        <w:t xml:space="preserve">.  </w:t>
      </w:r>
    </w:p>
    <w:p w14:paraId="4947AAC8" w14:textId="1A1820C3" w:rsidR="00285A69" w:rsidRDefault="006B2308" w:rsidP="00EC6959">
      <w:pPr>
        <w:spacing w:after="120" w:line="20" w:lineRule="atLeast"/>
        <w:jc w:val="both"/>
        <w:rPr>
          <w:sz w:val="18"/>
        </w:rPr>
      </w:pPr>
      <w:r>
        <w:rPr>
          <w:sz w:val="18"/>
        </w:rPr>
        <w:t>In quiet times, these models can be used to evaluate worst-case scenarios based on hypothetical events, advising on how new infrastructure projects could be developed to minimise against large losses.  In post-event use, on-</w:t>
      </w:r>
      <w:r w:rsidR="00DD6DCA">
        <w:rPr>
          <w:sz w:val="18"/>
        </w:rPr>
        <w:t>the-ground damage surveys, coupled with event observations</w:t>
      </w:r>
      <w:r>
        <w:rPr>
          <w:sz w:val="18"/>
        </w:rPr>
        <w:t xml:space="preserve"> and more recently high resolution NWP forecasts of surface winds, </w:t>
      </w:r>
      <w:r w:rsidR="00DD6DCA">
        <w:rPr>
          <w:sz w:val="18"/>
        </w:rPr>
        <w:t xml:space="preserve">can be used as input to </w:t>
      </w:r>
      <w:r>
        <w:rPr>
          <w:sz w:val="18"/>
        </w:rPr>
        <w:t xml:space="preserve">the vulnerability models and damage functions for various building types and materials can be more </w:t>
      </w:r>
      <w:r w:rsidR="00DD6DCA">
        <w:rPr>
          <w:sz w:val="18"/>
        </w:rPr>
        <w:t xml:space="preserve">rigorously tested and </w:t>
      </w:r>
      <w:r>
        <w:rPr>
          <w:sz w:val="18"/>
        </w:rPr>
        <w:t>updated</w:t>
      </w:r>
      <w:r w:rsidR="00DD6DCA">
        <w:rPr>
          <w:sz w:val="18"/>
        </w:rPr>
        <w:t xml:space="preserve"> accordingly</w:t>
      </w:r>
      <w:r>
        <w:rPr>
          <w:sz w:val="18"/>
        </w:rPr>
        <w:t xml:space="preserve">.  </w:t>
      </w:r>
    </w:p>
    <w:p w14:paraId="16D04C9F" w14:textId="5FF0AF1A" w:rsidR="006B2308" w:rsidRDefault="006B2308" w:rsidP="00EC6959">
      <w:pPr>
        <w:spacing w:after="120" w:line="20" w:lineRule="atLeast"/>
        <w:jc w:val="both"/>
        <w:rPr>
          <w:sz w:val="18"/>
        </w:rPr>
      </w:pPr>
      <w:r>
        <w:rPr>
          <w:sz w:val="18"/>
        </w:rPr>
        <w:t xml:space="preserve">Here, the RiskScape tool’s wind damage module will be run to generate pre- and post-event damage estimates using both UM forecast and observed winds.  These simulations will assess the capabilities of the existing damage functions in RiskScape and inform on future developments, where a variety of stakeholders, from regional civil </w:t>
      </w:r>
      <w:r w:rsidR="00F9519E">
        <w:rPr>
          <w:sz w:val="18"/>
        </w:rPr>
        <w:t>defence</w:t>
      </w:r>
      <w:r>
        <w:rPr>
          <w:sz w:val="18"/>
        </w:rPr>
        <w:t xml:space="preserve"> authorities, governments and insurance companies will have a vested interest.</w:t>
      </w:r>
    </w:p>
    <w:p w14:paraId="4278062F" w14:textId="77777777" w:rsidR="007464E4" w:rsidRDefault="007464E4" w:rsidP="00EC6959">
      <w:pPr>
        <w:spacing w:after="120" w:line="20" w:lineRule="atLeast"/>
        <w:jc w:val="both"/>
        <w:rPr>
          <w:rFonts w:ascii="Arial" w:hAnsi="Arial" w:cs="Arial"/>
          <w:b/>
          <w:sz w:val="18"/>
        </w:rPr>
      </w:pPr>
    </w:p>
    <w:p w14:paraId="3F7727F3" w14:textId="60675A7C" w:rsidR="00D324B6" w:rsidRDefault="00F9519E" w:rsidP="00EC6959">
      <w:pPr>
        <w:spacing w:after="120" w:line="20" w:lineRule="atLeast"/>
        <w:jc w:val="both"/>
        <w:rPr>
          <w:rFonts w:ascii="Arial" w:hAnsi="Arial" w:cs="Arial"/>
          <w:b/>
          <w:sz w:val="18"/>
        </w:rPr>
      </w:pPr>
      <w:r>
        <w:rPr>
          <w:rFonts w:ascii="Arial" w:hAnsi="Arial" w:cs="Arial"/>
          <w:b/>
          <w:sz w:val="18"/>
        </w:rPr>
        <w:lastRenderedPageBreak/>
        <w:t>Conclusions</w:t>
      </w:r>
    </w:p>
    <w:p w14:paraId="06A76F59" w14:textId="07255672" w:rsidR="00F9519E" w:rsidRPr="00F9519E" w:rsidRDefault="00462871" w:rsidP="00EC6959">
      <w:pPr>
        <w:spacing w:after="120" w:line="20" w:lineRule="atLeast"/>
        <w:jc w:val="both"/>
        <w:rPr>
          <w:sz w:val="18"/>
        </w:rPr>
      </w:pPr>
      <w:r>
        <w:rPr>
          <w:sz w:val="18"/>
        </w:rPr>
        <w:t xml:space="preserve">Initial results from a </w:t>
      </w:r>
      <w:r w:rsidRPr="00462871">
        <w:rPr>
          <w:sz w:val="18"/>
        </w:rPr>
        <w:t>1.5km resolution NWP model used to simulate the passage of TC Winston over Fiji in late February 2016</w:t>
      </w:r>
      <w:r>
        <w:rPr>
          <w:sz w:val="18"/>
        </w:rPr>
        <w:t xml:space="preserve"> have been shown</w:t>
      </w:r>
      <w:r w:rsidRPr="00462871">
        <w:rPr>
          <w:sz w:val="18"/>
        </w:rPr>
        <w:t xml:space="preserve">.  </w:t>
      </w:r>
      <w:r>
        <w:rPr>
          <w:sz w:val="18"/>
        </w:rPr>
        <w:t>T</w:t>
      </w:r>
      <w:r w:rsidRPr="00462871">
        <w:rPr>
          <w:sz w:val="18"/>
        </w:rPr>
        <w:t>he model was able to well simulate the storm track and forecast surface pressures and wind gust speeds compared to observations.</w:t>
      </w:r>
      <w:r>
        <w:rPr>
          <w:sz w:val="18"/>
        </w:rPr>
        <w:t xml:space="preserve">  </w:t>
      </w:r>
      <w:r w:rsidRPr="00462871">
        <w:rPr>
          <w:sz w:val="18"/>
        </w:rPr>
        <w:t xml:space="preserve">Output from these </w:t>
      </w:r>
      <w:r>
        <w:rPr>
          <w:sz w:val="18"/>
        </w:rPr>
        <w:t>and planned future model simulations</w:t>
      </w:r>
      <w:r w:rsidRPr="00462871">
        <w:rPr>
          <w:sz w:val="18"/>
        </w:rPr>
        <w:t>, including simulations at resolutions as high as 100</w:t>
      </w:r>
      <w:r w:rsidR="004C0280">
        <w:rPr>
          <w:sz w:val="18"/>
        </w:rPr>
        <w:t> </w:t>
      </w:r>
      <w:r w:rsidRPr="00462871">
        <w:rPr>
          <w:sz w:val="18"/>
        </w:rPr>
        <w:t>m</w:t>
      </w:r>
      <w:r>
        <w:rPr>
          <w:sz w:val="18"/>
        </w:rPr>
        <w:t xml:space="preserve"> with appropriately resolved terrain data</w:t>
      </w:r>
      <w:r w:rsidRPr="00462871">
        <w:rPr>
          <w:sz w:val="18"/>
        </w:rPr>
        <w:t xml:space="preserve">, will be used </w:t>
      </w:r>
      <w:r>
        <w:rPr>
          <w:sz w:val="18"/>
        </w:rPr>
        <w:t>in future work to estimate and compare against the terrain category and hill shape effects that inform the design wind estimates used in building design and in testing the accuracy and</w:t>
      </w:r>
      <w:r w:rsidRPr="00462871">
        <w:rPr>
          <w:sz w:val="18"/>
        </w:rPr>
        <w:t xml:space="preserve"> reliab</w:t>
      </w:r>
      <w:r>
        <w:rPr>
          <w:sz w:val="18"/>
        </w:rPr>
        <w:t>ility</w:t>
      </w:r>
      <w:r w:rsidRPr="00462871">
        <w:rPr>
          <w:sz w:val="18"/>
        </w:rPr>
        <w:t xml:space="preserve"> </w:t>
      </w:r>
      <w:r>
        <w:rPr>
          <w:sz w:val="18"/>
        </w:rPr>
        <w:t xml:space="preserve">of natural hazard disaster risk/loss tools such as RiskScape.  Used in conjunction with results from post-event damage surveys and observations, we will show how high resolution NWP </w:t>
      </w:r>
      <w:r w:rsidR="0049762E">
        <w:rPr>
          <w:sz w:val="18"/>
        </w:rPr>
        <w:t xml:space="preserve">can aide </w:t>
      </w:r>
      <w:r w:rsidRPr="00462871">
        <w:rPr>
          <w:sz w:val="18"/>
        </w:rPr>
        <w:t xml:space="preserve">the </w:t>
      </w:r>
      <w:r>
        <w:rPr>
          <w:sz w:val="18"/>
        </w:rPr>
        <w:t xml:space="preserve">continued </w:t>
      </w:r>
      <w:r w:rsidRPr="00462871">
        <w:rPr>
          <w:sz w:val="18"/>
        </w:rPr>
        <w:t>development of vulnerability models</w:t>
      </w:r>
      <w:r>
        <w:rPr>
          <w:sz w:val="18"/>
        </w:rPr>
        <w:t xml:space="preserve"> and damage functions for different types </w:t>
      </w:r>
      <w:r w:rsidR="00011D69">
        <w:rPr>
          <w:sz w:val="18"/>
        </w:rPr>
        <w:t xml:space="preserve">of </w:t>
      </w:r>
      <w:r>
        <w:rPr>
          <w:sz w:val="18"/>
        </w:rPr>
        <w:t xml:space="preserve">built infrastructure </w:t>
      </w:r>
      <w:r w:rsidR="0049762E">
        <w:rPr>
          <w:sz w:val="18"/>
        </w:rPr>
        <w:t>which are</w:t>
      </w:r>
      <w:r>
        <w:rPr>
          <w:sz w:val="18"/>
        </w:rPr>
        <w:t xml:space="preserve"> needed</w:t>
      </w:r>
      <w:r w:rsidRPr="00462871">
        <w:rPr>
          <w:sz w:val="18"/>
        </w:rPr>
        <w:t xml:space="preserve"> for better planning and mitigat</w:t>
      </w:r>
      <w:r>
        <w:rPr>
          <w:sz w:val="18"/>
        </w:rPr>
        <w:t>ion against events of this type.</w:t>
      </w:r>
    </w:p>
    <w:p w14:paraId="3917A712" w14:textId="77777777" w:rsidR="00066BB6" w:rsidRDefault="00066BB6" w:rsidP="00DA466D">
      <w:pPr>
        <w:spacing w:after="120" w:line="20" w:lineRule="atLeast"/>
        <w:jc w:val="both"/>
        <w:rPr>
          <w:rFonts w:ascii="Arial" w:hAnsi="Arial"/>
          <w:b/>
          <w:sz w:val="18"/>
        </w:rPr>
      </w:pPr>
      <w:r>
        <w:rPr>
          <w:rFonts w:ascii="Arial" w:hAnsi="Arial"/>
          <w:b/>
          <w:sz w:val="18"/>
        </w:rPr>
        <w:t>References</w:t>
      </w:r>
    </w:p>
    <w:p w14:paraId="2378B40B" w14:textId="520D2559" w:rsidR="002F00A8" w:rsidRDefault="002F00A8" w:rsidP="002F00A8">
      <w:pPr>
        <w:numPr>
          <w:ilvl w:val="0"/>
          <w:numId w:val="2"/>
        </w:numPr>
        <w:spacing w:after="120" w:line="20" w:lineRule="atLeast"/>
        <w:jc w:val="both"/>
        <w:rPr>
          <w:sz w:val="18"/>
          <w:szCs w:val="18"/>
        </w:rPr>
      </w:pPr>
      <w:r w:rsidRPr="00805DF0">
        <w:rPr>
          <w:sz w:val="18"/>
          <w:szCs w:val="18"/>
        </w:rPr>
        <w:t>Davies</w:t>
      </w:r>
      <w:r w:rsidR="00070356">
        <w:rPr>
          <w:sz w:val="18"/>
          <w:szCs w:val="18"/>
        </w:rPr>
        <w:t>,</w:t>
      </w:r>
      <w:r w:rsidRPr="00805DF0">
        <w:rPr>
          <w:sz w:val="18"/>
          <w:szCs w:val="18"/>
        </w:rPr>
        <w:t xml:space="preserve"> T</w:t>
      </w:r>
      <w:r w:rsidR="00070356">
        <w:rPr>
          <w:sz w:val="18"/>
          <w:szCs w:val="18"/>
        </w:rPr>
        <w:t>.</w:t>
      </w:r>
      <w:r w:rsidRPr="00805DF0">
        <w:rPr>
          <w:sz w:val="18"/>
          <w:szCs w:val="18"/>
        </w:rPr>
        <w:t>, Cullen</w:t>
      </w:r>
      <w:r w:rsidR="00070356">
        <w:rPr>
          <w:sz w:val="18"/>
          <w:szCs w:val="18"/>
        </w:rPr>
        <w:t>,</w:t>
      </w:r>
      <w:r w:rsidRPr="00805DF0">
        <w:rPr>
          <w:sz w:val="18"/>
          <w:szCs w:val="18"/>
        </w:rPr>
        <w:t xml:space="preserve"> M</w:t>
      </w:r>
      <w:r w:rsidR="00070356">
        <w:rPr>
          <w:sz w:val="18"/>
          <w:szCs w:val="18"/>
        </w:rPr>
        <w:t>.</w:t>
      </w:r>
      <w:r w:rsidRPr="00805DF0">
        <w:rPr>
          <w:sz w:val="18"/>
          <w:szCs w:val="18"/>
        </w:rPr>
        <w:t>J</w:t>
      </w:r>
      <w:r w:rsidR="00070356">
        <w:rPr>
          <w:sz w:val="18"/>
          <w:szCs w:val="18"/>
        </w:rPr>
        <w:t>.</w:t>
      </w:r>
      <w:r w:rsidRPr="00805DF0">
        <w:rPr>
          <w:sz w:val="18"/>
          <w:szCs w:val="18"/>
        </w:rPr>
        <w:t>P</w:t>
      </w:r>
      <w:r w:rsidR="00070356">
        <w:rPr>
          <w:sz w:val="18"/>
          <w:szCs w:val="18"/>
        </w:rPr>
        <w:t>.</w:t>
      </w:r>
      <w:r w:rsidRPr="00805DF0">
        <w:rPr>
          <w:sz w:val="18"/>
          <w:szCs w:val="18"/>
        </w:rPr>
        <w:t>, Malcolm</w:t>
      </w:r>
      <w:r w:rsidR="00070356">
        <w:rPr>
          <w:sz w:val="18"/>
          <w:szCs w:val="18"/>
        </w:rPr>
        <w:t>,</w:t>
      </w:r>
      <w:r w:rsidRPr="00805DF0">
        <w:rPr>
          <w:sz w:val="18"/>
          <w:szCs w:val="18"/>
        </w:rPr>
        <w:t xml:space="preserve"> A</w:t>
      </w:r>
      <w:r w:rsidR="00070356">
        <w:rPr>
          <w:sz w:val="18"/>
          <w:szCs w:val="18"/>
        </w:rPr>
        <w:t>.</w:t>
      </w:r>
      <w:r w:rsidRPr="00805DF0">
        <w:rPr>
          <w:sz w:val="18"/>
          <w:szCs w:val="18"/>
        </w:rPr>
        <w:t>, Mawson</w:t>
      </w:r>
      <w:r w:rsidR="00070356">
        <w:rPr>
          <w:sz w:val="18"/>
          <w:szCs w:val="18"/>
        </w:rPr>
        <w:t>,</w:t>
      </w:r>
      <w:r w:rsidRPr="00805DF0">
        <w:rPr>
          <w:sz w:val="18"/>
          <w:szCs w:val="18"/>
        </w:rPr>
        <w:t xml:space="preserve"> M</w:t>
      </w:r>
      <w:r w:rsidR="00070356">
        <w:rPr>
          <w:sz w:val="18"/>
          <w:szCs w:val="18"/>
        </w:rPr>
        <w:t>.</w:t>
      </w:r>
      <w:r w:rsidRPr="00805DF0">
        <w:rPr>
          <w:sz w:val="18"/>
          <w:szCs w:val="18"/>
        </w:rPr>
        <w:t>H</w:t>
      </w:r>
      <w:r w:rsidR="00070356">
        <w:rPr>
          <w:sz w:val="18"/>
          <w:szCs w:val="18"/>
        </w:rPr>
        <w:t>.</w:t>
      </w:r>
      <w:r w:rsidRPr="00805DF0">
        <w:rPr>
          <w:sz w:val="18"/>
          <w:szCs w:val="18"/>
        </w:rPr>
        <w:t>, Staniforth</w:t>
      </w:r>
      <w:r w:rsidR="00070356">
        <w:rPr>
          <w:sz w:val="18"/>
          <w:szCs w:val="18"/>
        </w:rPr>
        <w:t xml:space="preserve">, A., White, A.A. and Wood, N., </w:t>
      </w:r>
      <w:r w:rsidRPr="00805DF0">
        <w:rPr>
          <w:sz w:val="18"/>
          <w:szCs w:val="18"/>
        </w:rPr>
        <w:t xml:space="preserve">A  new dynamical core for the Met Office’s global and regional modelling of the atmosphere, </w:t>
      </w:r>
      <w:r w:rsidRPr="00070356">
        <w:rPr>
          <w:i/>
          <w:sz w:val="18"/>
          <w:szCs w:val="18"/>
        </w:rPr>
        <w:t>Q. J. R. Meteorol. Soc.</w:t>
      </w:r>
      <w:r w:rsidR="00070356">
        <w:rPr>
          <w:sz w:val="18"/>
          <w:szCs w:val="18"/>
        </w:rPr>
        <w:t>,</w:t>
      </w:r>
      <w:r w:rsidRPr="00805DF0">
        <w:rPr>
          <w:sz w:val="18"/>
          <w:szCs w:val="18"/>
        </w:rPr>
        <w:t xml:space="preserve"> </w:t>
      </w:r>
      <w:r w:rsidRPr="00070356">
        <w:rPr>
          <w:b/>
          <w:sz w:val="18"/>
          <w:szCs w:val="18"/>
        </w:rPr>
        <w:t>131</w:t>
      </w:r>
      <w:r w:rsidR="00070356">
        <w:rPr>
          <w:sz w:val="18"/>
          <w:szCs w:val="18"/>
        </w:rPr>
        <w:t xml:space="preserve">, 2005, </w:t>
      </w:r>
      <w:r w:rsidRPr="00805DF0">
        <w:rPr>
          <w:sz w:val="18"/>
          <w:szCs w:val="18"/>
        </w:rPr>
        <w:t>1759-1782</w:t>
      </w:r>
      <w:r w:rsidR="00070356">
        <w:rPr>
          <w:sz w:val="18"/>
          <w:szCs w:val="18"/>
        </w:rPr>
        <w:t>.</w:t>
      </w:r>
    </w:p>
    <w:p w14:paraId="5917B386" w14:textId="4F27CFCD" w:rsidR="002F00A8" w:rsidRPr="002F00A8" w:rsidRDefault="002F00A8" w:rsidP="002F00A8">
      <w:pPr>
        <w:numPr>
          <w:ilvl w:val="0"/>
          <w:numId w:val="2"/>
        </w:numPr>
        <w:spacing w:after="120" w:line="20" w:lineRule="atLeast"/>
        <w:jc w:val="both"/>
        <w:rPr>
          <w:sz w:val="18"/>
        </w:rPr>
      </w:pPr>
      <w:r>
        <w:rPr>
          <w:sz w:val="18"/>
        </w:rPr>
        <w:t xml:space="preserve">ESA Climate Change Initiate Land Cover Dataset, </w:t>
      </w:r>
      <w:hyperlink r:id="rId11" w:history="1">
        <w:r w:rsidRPr="00BC02C4">
          <w:rPr>
            <w:rStyle w:val="Hyperlink"/>
            <w:sz w:val="18"/>
          </w:rPr>
          <w:t>https://www.esa-landcover-cci.org/</w:t>
        </w:r>
      </w:hyperlink>
      <w:r>
        <w:rPr>
          <w:sz w:val="18"/>
        </w:rPr>
        <w:t xml:space="preserve"> (Accessed 28</w:t>
      </w:r>
      <w:r w:rsidRPr="000B262C">
        <w:rPr>
          <w:sz w:val="18"/>
          <w:vertAlign w:val="superscript"/>
        </w:rPr>
        <w:t>th</w:t>
      </w:r>
      <w:r>
        <w:rPr>
          <w:sz w:val="18"/>
        </w:rPr>
        <w:t xml:space="preserve"> April 2017)</w:t>
      </w:r>
    </w:p>
    <w:p w14:paraId="4A8ED4F1" w14:textId="59F69128" w:rsidR="008E3028" w:rsidRPr="00FF6210" w:rsidRDefault="000B78E7" w:rsidP="00DA466D">
      <w:pPr>
        <w:numPr>
          <w:ilvl w:val="0"/>
          <w:numId w:val="2"/>
        </w:numPr>
        <w:tabs>
          <w:tab w:val="left" w:pos="340"/>
        </w:tabs>
        <w:spacing w:after="120" w:line="20" w:lineRule="atLeast"/>
        <w:jc w:val="both"/>
        <w:rPr>
          <w:sz w:val="18"/>
        </w:rPr>
      </w:pPr>
      <w:r>
        <w:rPr>
          <w:sz w:val="18"/>
        </w:rPr>
        <w:t>Esler, S.</w:t>
      </w:r>
      <w:r w:rsidR="00FF6210">
        <w:rPr>
          <w:sz w:val="18"/>
        </w:rPr>
        <w:t>,</w:t>
      </w:r>
      <w:r>
        <w:rPr>
          <w:sz w:val="18"/>
        </w:rPr>
        <w:t xml:space="preserve"> Post-Disaster Needs Assessment: Tropical Cyclone Winston February 20 2016, </w:t>
      </w:r>
      <w:hyperlink r:id="rId12" w:history="1">
        <w:r w:rsidR="008E3028" w:rsidRPr="00AE69AE">
          <w:rPr>
            <w:rStyle w:val="Hyperlink"/>
            <w:sz w:val="18"/>
          </w:rPr>
          <w:t>http://www.ndmo.gov.fj/images/AllDisasterReports/Post-Disaster-Needs-Assessments-CYCLONE-WINSTON-Fiji-2016-Online-Version.pdf</w:t>
        </w:r>
      </w:hyperlink>
      <w:r w:rsidR="008E3028">
        <w:rPr>
          <w:sz w:val="18"/>
        </w:rPr>
        <w:t xml:space="preserve"> (Accessed 27th April 2017)</w:t>
      </w:r>
    </w:p>
    <w:p w14:paraId="183A60FC" w14:textId="35882731" w:rsidR="00BC1D81" w:rsidRPr="002C2A62" w:rsidRDefault="00BC1D81" w:rsidP="00FF6210">
      <w:pPr>
        <w:numPr>
          <w:ilvl w:val="0"/>
          <w:numId w:val="2"/>
        </w:numPr>
        <w:spacing w:after="120" w:line="20" w:lineRule="atLeast"/>
        <w:jc w:val="both"/>
        <w:rPr>
          <w:rStyle w:val="HTMLCite"/>
          <w:iCs w:val="0"/>
          <w:sz w:val="18"/>
          <w:szCs w:val="18"/>
        </w:rPr>
      </w:pPr>
      <w:r w:rsidRPr="00FF6210">
        <w:rPr>
          <w:rStyle w:val="HTMLCite"/>
          <w:i w:val="0"/>
          <w:sz w:val="18"/>
          <w:szCs w:val="18"/>
        </w:rPr>
        <w:t>GLOBE Task Team and others (Hastings, David A., Paula K. Dunbar, Gerald M. Elphingstone, Mark Bootz, Hiroshi Murakami, Hiroshi Maruyama, Hiroshi Masaharu, Peter Holland, John Payne, Nevin A. Bryant, Thomas L. Logan, J.-P. Muller, Gunter Schreier, and John S. MacDonald), eds., 1999. The Global Land One-kilometer Base Elevation (GLOBE) Digital Elevation Model, Version 1.0. National Oceanic and Atmospheric Administration, National Geophysical Data Center, 325 Broadway, Boulder, Colorado 80305-3328, U.S.A. Digital data base on the World Wide Web (URL: http://www.ngdc.noaa.gov/mgg/topo/globe.html) and CD-ROMs.</w:t>
      </w:r>
    </w:p>
    <w:p w14:paraId="7E439306" w14:textId="6BECA003" w:rsidR="002C2A62" w:rsidRPr="002C2A62" w:rsidRDefault="002C2A62" w:rsidP="002C2A62">
      <w:pPr>
        <w:numPr>
          <w:ilvl w:val="0"/>
          <w:numId w:val="2"/>
        </w:numPr>
        <w:spacing w:after="120" w:line="20" w:lineRule="atLeast"/>
        <w:jc w:val="both"/>
        <w:rPr>
          <w:rStyle w:val="HTMLCite"/>
          <w:i w:val="0"/>
          <w:iCs w:val="0"/>
          <w:sz w:val="18"/>
          <w:szCs w:val="18"/>
        </w:rPr>
      </w:pPr>
      <w:r>
        <w:rPr>
          <w:rStyle w:val="HTMLCite"/>
          <w:i w:val="0"/>
          <w:iCs w:val="0"/>
          <w:sz w:val="18"/>
          <w:szCs w:val="18"/>
        </w:rPr>
        <w:t>IGBP,</w:t>
      </w:r>
      <w:r w:rsidRPr="002C2A62">
        <w:rPr>
          <w:rStyle w:val="HTMLCite"/>
          <w:i w:val="0"/>
          <w:iCs w:val="0"/>
          <w:sz w:val="18"/>
          <w:szCs w:val="18"/>
        </w:rPr>
        <w:t xml:space="preserve"> The International Geosphere–Biosphere Programme: a study of global change— the initial core project. IGBP Global Change Report no. 12, International Geosphere–Biosphere Programme, Stockholm, Sweden</w:t>
      </w:r>
      <w:r>
        <w:rPr>
          <w:rStyle w:val="HTMLCite"/>
          <w:i w:val="0"/>
          <w:iCs w:val="0"/>
          <w:sz w:val="18"/>
          <w:szCs w:val="18"/>
        </w:rPr>
        <w:t>, 1990</w:t>
      </w:r>
    </w:p>
    <w:p w14:paraId="6B1811F8" w14:textId="623C7C61" w:rsidR="002F00A8" w:rsidRPr="002F00A8" w:rsidRDefault="002F00A8" w:rsidP="002F00A8">
      <w:pPr>
        <w:numPr>
          <w:ilvl w:val="0"/>
          <w:numId w:val="2"/>
        </w:numPr>
        <w:spacing w:after="120" w:line="20" w:lineRule="atLeast"/>
        <w:jc w:val="both"/>
        <w:rPr>
          <w:rStyle w:val="HTMLCite"/>
          <w:i w:val="0"/>
          <w:iCs w:val="0"/>
          <w:sz w:val="18"/>
          <w:szCs w:val="18"/>
        </w:rPr>
      </w:pPr>
      <w:r>
        <w:rPr>
          <w:sz w:val="18"/>
          <w:szCs w:val="18"/>
        </w:rPr>
        <w:t>Schmidt, J., Matcham, I., Reese, S., King, A., Bell, R., Henderson.</w:t>
      </w:r>
      <w:r w:rsidR="002D6420">
        <w:rPr>
          <w:sz w:val="18"/>
          <w:szCs w:val="18"/>
        </w:rPr>
        <w:t xml:space="preserve"> R.</w:t>
      </w:r>
      <w:r>
        <w:rPr>
          <w:sz w:val="18"/>
          <w:szCs w:val="18"/>
        </w:rPr>
        <w:t xml:space="preserve">, Smart, G., Cousins, J., Smith, W. and Heron, D., Quantitative multi-risk analysis for natural hazards: a framework for multi-risk modelling, </w:t>
      </w:r>
      <w:r w:rsidRPr="00F5502D">
        <w:rPr>
          <w:i/>
          <w:sz w:val="18"/>
          <w:szCs w:val="18"/>
        </w:rPr>
        <w:t>Natural Hazards</w:t>
      </w:r>
      <w:r>
        <w:rPr>
          <w:sz w:val="18"/>
          <w:szCs w:val="18"/>
        </w:rPr>
        <w:t xml:space="preserve">, </w:t>
      </w:r>
      <w:r w:rsidRPr="00F5502D">
        <w:rPr>
          <w:b/>
          <w:sz w:val="18"/>
          <w:szCs w:val="18"/>
        </w:rPr>
        <w:t>58</w:t>
      </w:r>
      <w:r>
        <w:rPr>
          <w:sz w:val="18"/>
          <w:szCs w:val="18"/>
        </w:rPr>
        <w:t>, 2011, 1169-1192.</w:t>
      </w:r>
    </w:p>
    <w:p w14:paraId="0BBC4C22" w14:textId="58657DA5" w:rsidR="00E539C7" w:rsidRDefault="00D14914" w:rsidP="00E539C7">
      <w:pPr>
        <w:numPr>
          <w:ilvl w:val="0"/>
          <w:numId w:val="2"/>
        </w:numPr>
        <w:spacing w:after="120" w:line="20" w:lineRule="atLeast"/>
        <w:jc w:val="both"/>
        <w:rPr>
          <w:sz w:val="18"/>
          <w:szCs w:val="18"/>
        </w:rPr>
      </w:pPr>
      <w:r>
        <w:rPr>
          <w:sz w:val="18"/>
          <w:szCs w:val="18"/>
        </w:rPr>
        <w:t>USGS</w:t>
      </w:r>
      <w:r w:rsidR="00777B7A">
        <w:rPr>
          <w:sz w:val="18"/>
          <w:szCs w:val="18"/>
        </w:rPr>
        <w:t xml:space="preserve"> (2004)</w:t>
      </w:r>
      <w:r>
        <w:rPr>
          <w:sz w:val="18"/>
          <w:szCs w:val="18"/>
        </w:rPr>
        <w:t xml:space="preserve">, </w:t>
      </w:r>
      <w:r w:rsidR="00E539C7" w:rsidRPr="00E539C7">
        <w:rPr>
          <w:sz w:val="18"/>
          <w:szCs w:val="18"/>
        </w:rPr>
        <w:t>Shuttle Radar Topography Mission, 1 Arc Second scene SRTM_u03_n008e004, Unfilled Unfinished 2.0, Global Land Cover Facility, University of Maryland, College Park, Maryland, February 2000</w:t>
      </w:r>
    </w:p>
    <w:p w14:paraId="03B6288B" w14:textId="746B634E" w:rsidR="006A71CF" w:rsidRDefault="006A71CF" w:rsidP="006A71CF">
      <w:pPr>
        <w:numPr>
          <w:ilvl w:val="0"/>
          <w:numId w:val="2"/>
        </w:numPr>
        <w:spacing w:after="120" w:line="20" w:lineRule="atLeast"/>
        <w:jc w:val="both"/>
        <w:rPr>
          <w:sz w:val="18"/>
          <w:szCs w:val="18"/>
        </w:rPr>
      </w:pPr>
      <w:r w:rsidRPr="006A71CF">
        <w:rPr>
          <w:sz w:val="18"/>
          <w:szCs w:val="18"/>
        </w:rPr>
        <w:t>Webster</w:t>
      </w:r>
      <w:r w:rsidR="00070356">
        <w:rPr>
          <w:sz w:val="18"/>
          <w:szCs w:val="18"/>
        </w:rPr>
        <w:t>,</w:t>
      </w:r>
      <w:r w:rsidRPr="006A71CF">
        <w:rPr>
          <w:sz w:val="18"/>
          <w:szCs w:val="18"/>
        </w:rPr>
        <w:t xml:space="preserve"> S</w:t>
      </w:r>
      <w:r w:rsidR="00070356">
        <w:rPr>
          <w:sz w:val="18"/>
          <w:szCs w:val="18"/>
        </w:rPr>
        <w:t>.</w:t>
      </w:r>
      <w:r w:rsidRPr="006A71CF">
        <w:rPr>
          <w:sz w:val="18"/>
          <w:szCs w:val="18"/>
        </w:rPr>
        <w:t>, Brown</w:t>
      </w:r>
      <w:r w:rsidR="00070356">
        <w:rPr>
          <w:sz w:val="18"/>
          <w:szCs w:val="18"/>
        </w:rPr>
        <w:t>,</w:t>
      </w:r>
      <w:r w:rsidRPr="006A71CF">
        <w:rPr>
          <w:sz w:val="18"/>
          <w:szCs w:val="18"/>
        </w:rPr>
        <w:t xml:space="preserve"> A</w:t>
      </w:r>
      <w:r w:rsidR="00070356">
        <w:rPr>
          <w:sz w:val="18"/>
          <w:szCs w:val="18"/>
        </w:rPr>
        <w:t>.</w:t>
      </w:r>
      <w:r w:rsidRPr="006A71CF">
        <w:rPr>
          <w:sz w:val="18"/>
          <w:szCs w:val="18"/>
        </w:rPr>
        <w:t>R</w:t>
      </w:r>
      <w:r w:rsidR="00070356">
        <w:rPr>
          <w:sz w:val="18"/>
          <w:szCs w:val="18"/>
        </w:rPr>
        <w:t>., Cameron, D.R. and Jones, C.P.,</w:t>
      </w:r>
      <w:r w:rsidRPr="006A71CF">
        <w:rPr>
          <w:sz w:val="18"/>
          <w:szCs w:val="18"/>
        </w:rPr>
        <w:t xml:space="preserve"> Improvements to the representation of orography in the Met Office Unified Mode</w:t>
      </w:r>
      <w:r w:rsidR="00070356">
        <w:rPr>
          <w:sz w:val="18"/>
          <w:szCs w:val="18"/>
        </w:rPr>
        <w:t xml:space="preserve">l, </w:t>
      </w:r>
      <w:r w:rsidR="00070356" w:rsidRPr="00070356">
        <w:rPr>
          <w:i/>
          <w:sz w:val="18"/>
          <w:szCs w:val="18"/>
        </w:rPr>
        <w:t>Q. J. R. Meteorol. Soc.</w:t>
      </w:r>
      <w:r w:rsidR="00070356">
        <w:rPr>
          <w:sz w:val="18"/>
          <w:szCs w:val="18"/>
        </w:rPr>
        <w:t xml:space="preserve">, </w:t>
      </w:r>
      <w:r w:rsidR="00070356" w:rsidRPr="00070356">
        <w:rPr>
          <w:b/>
          <w:sz w:val="18"/>
          <w:szCs w:val="18"/>
        </w:rPr>
        <w:t>129</w:t>
      </w:r>
      <w:r w:rsidR="00070356">
        <w:rPr>
          <w:sz w:val="18"/>
          <w:szCs w:val="18"/>
        </w:rPr>
        <w:t xml:space="preserve">, 2003, </w:t>
      </w:r>
      <w:r w:rsidRPr="006A71CF">
        <w:rPr>
          <w:sz w:val="18"/>
          <w:szCs w:val="18"/>
        </w:rPr>
        <w:t>1989-2010</w:t>
      </w:r>
    </w:p>
    <w:p w14:paraId="3C360785" w14:textId="394EF3A9" w:rsidR="00066BB6" w:rsidRDefault="00066BB6" w:rsidP="00DA466D">
      <w:pPr>
        <w:numPr>
          <w:ilvl w:val="0"/>
          <w:numId w:val="2"/>
        </w:numPr>
        <w:tabs>
          <w:tab w:val="left" w:pos="340"/>
        </w:tabs>
        <w:spacing w:after="120" w:line="20" w:lineRule="atLeast"/>
        <w:jc w:val="both"/>
        <w:rPr>
          <w:sz w:val="18"/>
        </w:rPr>
        <w:sectPr w:rsidR="00066BB6">
          <w:footnotePr>
            <w:pos w:val="beneathText"/>
          </w:footnotePr>
          <w:type w:val="continuous"/>
          <w:pgSz w:w="11905" w:h="16837"/>
          <w:pgMar w:top="1440" w:right="851" w:bottom="1134" w:left="851" w:header="720" w:footer="1134" w:gutter="0"/>
          <w:cols w:num="2" w:space="708"/>
          <w:docGrid w:linePitch="360"/>
        </w:sectPr>
      </w:pPr>
    </w:p>
    <w:p w14:paraId="7FCB4358" w14:textId="77777777" w:rsidR="00066BB6" w:rsidRDefault="00066BB6" w:rsidP="00DA466D">
      <w:pPr>
        <w:spacing w:after="120" w:line="20" w:lineRule="atLeast"/>
      </w:pPr>
    </w:p>
    <w:sectPr w:rsidR="00066BB6" w:rsidSect="007A4510">
      <w:footnotePr>
        <w:pos w:val="beneathText"/>
      </w:footnotePr>
      <w:type w:val="continuous"/>
      <w:pgSz w:w="11905" w:h="16837"/>
      <w:pgMar w:top="1440" w:right="851" w:bottom="1134" w:left="851" w:header="144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1E3B" w14:textId="77777777" w:rsidR="00F079C0" w:rsidRDefault="00F079C0">
      <w:r>
        <w:separator/>
      </w:r>
    </w:p>
  </w:endnote>
  <w:endnote w:type="continuationSeparator" w:id="0">
    <w:p w14:paraId="47525BD2" w14:textId="77777777" w:rsidR="00F079C0" w:rsidRDefault="00F0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any AMT">
    <w:altName w:val="Arial"/>
    <w:charset w:val="00"/>
    <w:family w:val="swiss"/>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1FB5" w14:textId="77777777" w:rsidR="00F079C0" w:rsidRDefault="00F079C0">
      <w:r>
        <w:separator/>
      </w:r>
    </w:p>
  </w:footnote>
  <w:footnote w:type="continuationSeparator" w:id="0">
    <w:p w14:paraId="08358A54" w14:textId="77777777" w:rsidR="00F079C0" w:rsidRDefault="00F0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76F5" w14:textId="77777777" w:rsidR="00066BB6" w:rsidRDefault="0032366F">
    <w:pPr>
      <w:pStyle w:val="Header"/>
      <w:rPr>
        <w:sz w:val="18"/>
      </w:rPr>
    </w:pPr>
    <w:r>
      <w:rPr>
        <w:sz w:val="18"/>
      </w:rPr>
      <w:t>9</w:t>
    </w:r>
    <w:r w:rsidR="00066BB6">
      <w:rPr>
        <w:sz w:val="18"/>
        <w:vertAlign w:val="superscript"/>
      </w:rPr>
      <w:t>th</w:t>
    </w:r>
    <w:r w:rsidR="00066BB6">
      <w:rPr>
        <w:sz w:val="18"/>
      </w:rPr>
      <w:t xml:space="preserve"> A</w:t>
    </w:r>
    <w:r>
      <w:rPr>
        <w:sz w:val="18"/>
      </w:rPr>
      <w:t>sia-Pacific Conference on Wind Engineering</w:t>
    </w:r>
  </w:p>
  <w:p w14:paraId="50B87968" w14:textId="77777777" w:rsidR="00066BB6" w:rsidRDefault="00966EC3">
    <w:pPr>
      <w:pStyle w:val="Header"/>
      <w:rPr>
        <w:sz w:val="18"/>
      </w:rPr>
    </w:pPr>
    <w:r>
      <w:rPr>
        <w:sz w:val="18"/>
      </w:rPr>
      <w:t>Auckland, New Zealand</w:t>
    </w:r>
  </w:p>
  <w:p w14:paraId="501673E8" w14:textId="77777777" w:rsidR="00066BB6" w:rsidRDefault="0032366F">
    <w:pPr>
      <w:pStyle w:val="Header"/>
      <w:rPr>
        <w:sz w:val="18"/>
      </w:rPr>
    </w:pPr>
    <w:r>
      <w:rPr>
        <w:sz w:val="18"/>
      </w:rPr>
      <w:t>3</w:t>
    </w:r>
    <w:r w:rsidR="00066BB6">
      <w:rPr>
        <w:sz w:val="18"/>
      </w:rPr>
      <w:t>-</w:t>
    </w:r>
    <w:r>
      <w:rPr>
        <w:sz w:val="18"/>
      </w:rPr>
      <w:t>7</w:t>
    </w:r>
    <w:r w:rsidR="00066BB6">
      <w:rPr>
        <w:sz w:val="18"/>
      </w:rPr>
      <w:t xml:space="preserve"> December 20</w:t>
    </w:r>
    <w:r w:rsidR="00966EC3">
      <w:rPr>
        <w:sz w:val="18"/>
      </w:rPr>
      <w:t>1</w:t>
    </w:r>
    <w:r>
      <w:rPr>
        <w:sz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27542B34"/>
    <w:name w:val="WW8Num2"/>
    <w:lvl w:ilvl="0">
      <w:start w:val="1"/>
      <w:numFmt w:val="decimal"/>
      <w:lvlText w:val="[%1]"/>
      <w:lvlJc w:val="left"/>
      <w:pPr>
        <w:tabs>
          <w:tab w:val="num" w:pos="340"/>
        </w:tabs>
        <w:ind w:left="340" w:hanging="340"/>
      </w:pPr>
      <w:rPr>
        <w:i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C3"/>
    <w:rsid w:val="00006EED"/>
    <w:rsid w:val="00011D69"/>
    <w:rsid w:val="00026B50"/>
    <w:rsid w:val="00047218"/>
    <w:rsid w:val="00066BB6"/>
    <w:rsid w:val="00070356"/>
    <w:rsid w:val="00080121"/>
    <w:rsid w:val="000821BB"/>
    <w:rsid w:val="00086E73"/>
    <w:rsid w:val="000911A6"/>
    <w:rsid w:val="000B262C"/>
    <w:rsid w:val="000B42E9"/>
    <w:rsid w:val="000B613D"/>
    <w:rsid w:val="000B78E7"/>
    <w:rsid w:val="000C1986"/>
    <w:rsid w:val="000C4E21"/>
    <w:rsid w:val="000D643F"/>
    <w:rsid w:val="001143CD"/>
    <w:rsid w:val="001901DD"/>
    <w:rsid w:val="00207C6F"/>
    <w:rsid w:val="002528F4"/>
    <w:rsid w:val="00257860"/>
    <w:rsid w:val="00285A69"/>
    <w:rsid w:val="00287A49"/>
    <w:rsid w:val="002A0B89"/>
    <w:rsid w:val="002C2A62"/>
    <w:rsid w:val="002D6420"/>
    <w:rsid w:val="002E00E9"/>
    <w:rsid w:val="002F00A8"/>
    <w:rsid w:val="002F45F0"/>
    <w:rsid w:val="0032366F"/>
    <w:rsid w:val="003455DE"/>
    <w:rsid w:val="00367F16"/>
    <w:rsid w:val="0037281F"/>
    <w:rsid w:val="00375D2F"/>
    <w:rsid w:val="00384592"/>
    <w:rsid w:val="003B262D"/>
    <w:rsid w:val="003C0878"/>
    <w:rsid w:val="00404081"/>
    <w:rsid w:val="00462871"/>
    <w:rsid w:val="00480549"/>
    <w:rsid w:val="0049762E"/>
    <w:rsid w:val="004A4E40"/>
    <w:rsid w:val="004C0280"/>
    <w:rsid w:val="004E0911"/>
    <w:rsid w:val="00531FCD"/>
    <w:rsid w:val="00535907"/>
    <w:rsid w:val="005448DD"/>
    <w:rsid w:val="00551C1E"/>
    <w:rsid w:val="0055629E"/>
    <w:rsid w:val="005622C6"/>
    <w:rsid w:val="00563939"/>
    <w:rsid w:val="0058721A"/>
    <w:rsid w:val="0059412E"/>
    <w:rsid w:val="005A27D1"/>
    <w:rsid w:val="005C371B"/>
    <w:rsid w:val="005D4032"/>
    <w:rsid w:val="005D487C"/>
    <w:rsid w:val="00603F8A"/>
    <w:rsid w:val="006215E7"/>
    <w:rsid w:val="0065617E"/>
    <w:rsid w:val="006A71CF"/>
    <w:rsid w:val="006A7B52"/>
    <w:rsid w:val="006B2308"/>
    <w:rsid w:val="006D460E"/>
    <w:rsid w:val="006F1C6A"/>
    <w:rsid w:val="00714B6E"/>
    <w:rsid w:val="00724D46"/>
    <w:rsid w:val="007464E4"/>
    <w:rsid w:val="00776F36"/>
    <w:rsid w:val="00777B7A"/>
    <w:rsid w:val="007A4510"/>
    <w:rsid w:val="007C0D94"/>
    <w:rsid w:val="007D26F5"/>
    <w:rsid w:val="007F4C8E"/>
    <w:rsid w:val="00805DF0"/>
    <w:rsid w:val="0086222C"/>
    <w:rsid w:val="008E3028"/>
    <w:rsid w:val="008F299F"/>
    <w:rsid w:val="0090333A"/>
    <w:rsid w:val="00966EC3"/>
    <w:rsid w:val="0099288B"/>
    <w:rsid w:val="009E126F"/>
    <w:rsid w:val="009F4F75"/>
    <w:rsid w:val="00A01FD1"/>
    <w:rsid w:val="00A46FA9"/>
    <w:rsid w:val="00AA4B2D"/>
    <w:rsid w:val="00AC3EBF"/>
    <w:rsid w:val="00AD5572"/>
    <w:rsid w:val="00AE7BED"/>
    <w:rsid w:val="00B22BA5"/>
    <w:rsid w:val="00B26C3D"/>
    <w:rsid w:val="00B53E13"/>
    <w:rsid w:val="00BC1D81"/>
    <w:rsid w:val="00BD207E"/>
    <w:rsid w:val="00BE7E9E"/>
    <w:rsid w:val="00C1241B"/>
    <w:rsid w:val="00C74784"/>
    <w:rsid w:val="00C80BBD"/>
    <w:rsid w:val="00CB777E"/>
    <w:rsid w:val="00CC4A8D"/>
    <w:rsid w:val="00CD608E"/>
    <w:rsid w:val="00D14914"/>
    <w:rsid w:val="00D20952"/>
    <w:rsid w:val="00D22834"/>
    <w:rsid w:val="00D324B6"/>
    <w:rsid w:val="00D6745F"/>
    <w:rsid w:val="00D92E13"/>
    <w:rsid w:val="00DA466D"/>
    <w:rsid w:val="00DD6DCA"/>
    <w:rsid w:val="00DE4699"/>
    <w:rsid w:val="00DF0FA9"/>
    <w:rsid w:val="00E1151A"/>
    <w:rsid w:val="00E52632"/>
    <w:rsid w:val="00E539C7"/>
    <w:rsid w:val="00EC6959"/>
    <w:rsid w:val="00F079C0"/>
    <w:rsid w:val="00F22B2A"/>
    <w:rsid w:val="00F33BA2"/>
    <w:rsid w:val="00F5502D"/>
    <w:rsid w:val="00F9519E"/>
    <w:rsid w:val="00FA4920"/>
    <w:rsid w:val="00FB7C69"/>
    <w:rsid w:val="00FE60DF"/>
    <w:rsid w:val="00FF621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40CC9"/>
  <w15:docId w15:val="{47CD6882-DCE8-4896-8276-2B27FBB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10"/>
    <w:pPr>
      <w:suppressAutoHyphens/>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A4510"/>
    <w:rPr>
      <w:rFonts w:ascii="Symbol" w:hAnsi="Symbol"/>
    </w:rPr>
  </w:style>
  <w:style w:type="character" w:customStyle="1" w:styleId="WW8Num3z0">
    <w:name w:val="WW8Num3z0"/>
    <w:rsid w:val="007A4510"/>
    <w:rPr>
      <w:rFonts w:ascii="Symbol" w:hAnsi="Symbol"/>
    </w:rPr>
  </w:style>
  <w:style w:type="character" w:customStyle="1" w:styleId="WW8Num4z0">
    <w:name w:val="WW8Num4z0"/>
    <w:rsid w:val="007A4510"/>
    <w:rPr>
      <w:rFonts w:ascii="Symbol" w:hAnsi="Symbol"/>
    </w:rPr>
  </w:style>
  <w:style w:type="character" w:customStyle="1" w:styleId="WW8Num5z0">
    <w:name w:val="WW8Num5z0"/>
    <w:rsid w:val="007A4510"/>
    <w:rPr>
      <w:rFonts w:ascii="Symbol" w:hAnsi="Symbol"/>
    </w:rPr>
  </w:style>
  <w:style w:type="character" w:customStyle="1" w:styleId="WW8Num6z0">
    <w:name w:val="WW8Num6z0"/>
    <w:rsid w:val="007A4510"/>
    <w:rPr>
      <w:rFonts w:ascii="Symbol" w:hAnsi="Symbol"/>
    </w:rPr>
  </w:style>
  <w:style w:type="character" w:customStyle="1" w:styleId="Absatz-Standardschriftart">
    <w:name w:val="Absatz-Standardschriftart"/>
    <w:rsid w:val="007A4510"/>
  </w:style>
  <w:style w:type="character" w:customStyle="1" w:styleId="WW-DefaultParagraphFont">
    <w:name w:val="WW-Default Paragraph Font"/>
    <w:rsid w:val="007A4510"/>
  </w:style>
  <w:style w:type="character" w:customStyle="1" w:styleId="FootnoteSymbol">
    <w:name w:val="Footnote Symbol"/>
    <w:basedOn w:val="WW-DefaultParagraphFont"/>
    <w:rsid w:val="007A4510"/>
    <w:rPr>
      <w:vertAlign w:val="superscript"/>
    </w:rPr>
  </w:style>
  <w:style w:type="character" w:styleId="Hyperlink">
    <w:name w:val="Hyperlink"/>
    <w:basedOn w:val="WW-DefaultParagraphFont"/>
    <w:semiHidden/>
    <w:rsid w:val="007A4510"/>
    <w:rPr>
      <w:color w:val="0000FF"/>
      <w:u w:val="single"/>
    </w:rPr>
  </w:style>
  <w:style w:type="character" w:customStyle="1" w:styleId="WW8Num2z0">
    <w:name w:val="WW8Num2z0"/>
    <w:rsid w:val="007A4510"/>
    <w:rPr>
      <w:rFonts w:ascii="Symbol" w:hAnsi="Symbol"/>
    </w:rPr>
  </w:style>
  <w:style w:type="character" w:customStyle="1" w:styleId="WW8Num7z0">
    <w:name w:val="WW8Num7z0"/>
    <w:rsid w:val="007A4510"/>
    <w:rPr>
      <w:rFonts w:ascii="Symbol" w:hAnsi="Symbol"/>
    </w:rPr>
  </w:style>
  <w:style w:type="paragraph" w:customStyle="1" w:styleId="Heading">
    <w:name w:val="Heading"/>
    <w:basedOn w:val="Normal"/>
    <w:next w:val="BodyText"/>
    <w:rsid w:val="007A4510"/>
    <w:pPr>
      <w:keepNext/>
      <w:spacing w:before="240" w:after="120"/>
    </w:pPr>
    <w:rPr>
      <w:rFonts w:ascii="Albany AMT" w:eastAsia="Albany AMT" w:hAnsi="Albany AMT" w:cs="Lucidasans"/>
      <w:sz w:val="28"/>
      <w:szCs w:val="28"/>
    </w:rPr>
  </w:style>
  <w:style w:type="paragraph" w:styleId="BodyText">
    <w:name w:val="Body Text"/>
    <w:basedOn w:val="Normal"/>
    <w:semiHidden/>
    <w:rsid w:val="007A4510"/>
    <w:pPr>
      <w:jc w:val="both"/>
    </w:pPr>
    <w:rPr>
      <w:sz w:val="18"/>
    </w:rPr>
  </w:style>
  <w:style w:type="paragraph" w:styleId="List">
    <w:name w:val="List"/>
    <w:basedOn w:val="BodyText"/>
    <w:semiHidden/>
    <w:rsid w:val="007A4510"/>
    <w:rPr>
      <w:rFonts w:cs="Lucidasans"/>
    </w:rPr>
  </w:style>
  <w:style w:type="paragraph" w:styleId="Caption">
    <w:name w:val="caption"/>
    <w:basedOn w:val="Normal"/>
    <w:qFormat/>
    <w:rsid w:val="007A4510"/>
    <w:pPr>
      <w:suppressLineNumbers/>
      <w:spacing w:before="120" w:after="120"/>
    </w:pPr>
    <w:rPr>
      <w:rFonts w:cs="Lucidasans"/>
      <w:i/>
      <w:iCs/>
      <w:sz w:val="24"/>
      <w:szCs w:val="24"/>
    </w:rPr>
  </w:style>
  <w:style w:type="paragraph" w:customStyle="1" w:styleId="Index">
    <w:name w:val="Index"/>
    <w:basedOn w:val="Normal"/>
    <w:rsid w:val="007A4510"/>
    <w:pPr>
      <w:suppressLineNumbers/>
    </w:pPr>
    <w:rPr>
      <w:rFonts w:cs="Lucidasans"/>
    </w:rPr>
  </w:style>
  <w:style w:type="paragraph" w:styleId="Header">
    <w:name w:val="header"/>
    <w:basedOn w:val="Normal"/>
    <w:semiHidden/>
    <w:rsid w:val="007A4510"/>
    <w:pPr>
      <w:tabs>
        <w:tab w:val="center" w:pos="4320"/>
        <w:tab w:val="right" w:pos="8640"/>
      </w:tabs>
    </w:pPr>
  </w:style>
  <w:style w:type="paragraph" w:styleId="Footer">
    <w:name w:val="footer"/>
    <w:basedOn w:val="Normal"/>
    <w:semiHidden/>
    <w:rsid w:val="007A4510"/>
    <w:pPr>
      <w:tabs>
        <w:tab w:val="center" w:pos="4320"/>
        <w:tab w:val="right" w:pos="8640"/>
      </w:tabs>
    </w:pPr>
  </w:style>
  <w:style w:type="paragraph" w:styleId="FootnoteText">
    <w:name w:val="footnote text"/>
    <w:basedOn w:val="Normal"/>
    <w:semiHidden/>
    <w:rsid w:val="007A4510"/>
  </w:style>
  <w:style w:type="paragraph" w:customStyle="1" w:styleId="TableContents">
    <w:name w:val="Table Contents"/>
    <w:basedOn w:val="BodyText"/>
    <w:rsid w:val="007A4510"/>
  </w:style>
  <w:style w:type="paragraph" w:customStyle="1" w:styleId="TableHeading">
    <w:name w:val="Table Heading"/>
    <w:basedOn w:val="TableContents"/>
    <w:rsid w:val="007A4510"/>
    <w:pPr>
      <w:jc w:val="center"/>
    </w:pPr>
    <w:rPr>
      <w:b/>
      <w:i/>
    </w:rPr>
  </w:style>
  <w:style w:type="table" w:styleId="TableGrid">
    <w:name w:val="Table Grid"/>
    <w:basedOn w:val="TableNormal"/>
    <w:uiPriority w:val="59"/>
    <w:rsid w:val="00776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466D"/>
    <w:rPr>
      <w:rFonts w:ascii="Tahoma" w:hAnsi="Tahoma" w:cs="Tahoma"/>
      <w:sz w:val="16"/>
      <w:szCs w:val="16"/>
    </w:rPr>
  </w:style>
  <w:style w:type="character" w:customStyle="1" w:styleId="BalloonTextChar">
    <w:name w:val="Balloon Text Char"/>
    <w:basedOn w:val="DefaultParagraphFont"/>
    <w:link w:val="BalloonText"/>
    <w:uiPriority w:val="99"/>
    <w:semiHidden/>
    <w:rsid w:val="00DA466D"/>
    <w:rPr>
      <w:rFonts w:ascii="Tahoma" w:hAnsi="Tahoma" w:cs="Tahoma"/>
      <w:sz w:val="16"/>
      <w:szCs w:val="16"/>
      <w:lang w:val="en-AU"/>
    </w:rPr>
  </w:style>
  <w:style w:type="character" w:styleId="FollowedHyperlink">
    <w:name w:val="FollowedHyperlink"/>
    <w:basedOn w:val="DefaultParagraphFont"/>
    <w:uiPriority w:val="99"/>
    <w:semiHidden/>
    <w:unhideWhenUsed/>
    <w:rsid w:val="008E3028"/>
    <w:rPr>
      <w:color w:val="800080" w:themeColor="followedHyperlink"/>
      <w:u w:val="single"/>
    </w:rPr>
  </w:style>
  <w:style w:type="character" w:styleId="HTMLCite">
    <w:name w:val="HTML Cite"/>
    <w:basedOn w:val="DefaultParagraphFont"/>
    <w:uiPriority w:val="99"/>
    <w:semiHidden/>
    <w:unhideWhenUsed/>
    <w:rsid w:val="00BC1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clone_Wins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dmo.gov.fj/images/AllDisasterReports/Post-Disaster-Needs-Assessments-CYCLONE-WINSTON-Fiji-2016-Online-Ver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landcover-cci.org/"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Mechanical Engineering, The University of Auckland</Company>
  <LinksUpToDate>false</LinksUpToDate>
  <CharactersWithSpaces>13598</CharactersWithSpaces>
  <SharedDoc>false</SharedDoc>
  <HLinks>
    <vt:vector size="6" baseType="variant">
      <vt:variant>
        <vt:i4>7864428</vt:i4>
      </vt:variant>
      <vt:variant>
        <vt:i4>0</vt:i4>
      </vt:variant>
      <vt:variant>
        <vt:i4>0</vt:i4>
      </vt:variant>
      <vt:variant>
        <vt:i4>5</vt:i4>
      </vt:variant>
      <vt:variant>
        <vt:lpwstr>http://www.17afmc.com/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Stuart Moore</dc:creator>
  <cp:lastModifiedBy>Aimee Crawshaw</cp:lastModifiedBy>
  <cp:revision>2</cp:revision>
  <cp:lastPrinted>2010-06-04T01:16:00Z</cp:lastPrinted>
  <dcterms:created xsi:type="dcterms:W3CDTF">2017-11-16T09:28:00Z</dcterms:created>
  <dcterms:modified xsi:type="dcterms:W3CDTF">2017-11-16T09:28:00Z</dcterms:modified>
</cp:coreProperties>
</file>