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7F47" w14:textId="390144AF" w:rsidR="007F6FAA" w:rsidRDefault="007F6FAA" w:rsidP="00952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1DC">
        <w:rPr>
          <w:rFonts w:ascii="Times New Roman" w:hAnsi="Times New Roman" w:cs="Times New Roman"/>
          <w:b/>
          <w:bCs/>
          <w:sz w:val="24"/>
          <w:szCs w:val="24"/>
        </w:rPr>
        <w:t>Scale reliability</w:t>
      </w:r>
      <w:r w:rsidR="00F971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40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971DC">
        <w:rPr>
          <w:rFonts w:ascii="Times New Roman" w:hAnsi="Times New Roman" w:cs="Times New Roman"/>
          <w:b/>
          <w:bCs/>
          <w:sz w:val="24"/>
          <w:szCs w:val="24"/>
        </w:rPr>
        <w:t>primer</w:t>
      </w:r>
    </w:p>
    <w:p w14:paraId="777D9F5A" w14:textId="555530BD" w:rsidR="00952D8A" w:rsidRDefault="00F971DC" w:rsidP="00952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8A">
        <w:rPr>
          <w:rFonts w:ascii="Times New Roman" w:hAnsi="Times New Roman" w:cs="Times New Roman"/>
          <w:sz w:val="24"/>
          <w:szCs w:val="24"/>
        </w:rPr>
        <w:t>Gavin T L Brown, PhD</w:t>
      </w:r>
      <w:r w:rsidR="00952D8A">
        <w:rPr>
          <w:rFonts w:ascii="Times New Roman" w:hAnsi="Times New Roman" w:cs="Times New Roman"/>
          <w:sz w:val="24"/>
          <w:szCs w:val="24"/>
        </w:rPr>
        <w:t>, FAPS</w:t>
      </w:r>
    </w:p>
    <w:p w14:paraId="4B17BEDA" w14:textId="77777777" w:rsidR="00952D8A" w:rsidRDefault="00952D8A" w:rsidP="00952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Quantitative Data Analysis and Research Unit, </w:t>
      </w:r>
    </w:p>
    <w:p w14:paraId="0919BD5D" w14:textId="403BA438" w:rsidR="00F971DC" w:rsidRDefault="00952D8A" w:rsidP="00952D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of Education and Social Work, </w:t>
      </w:r>
      <w:r w:rsidRPr="00952D8A">
        <w:rPr>
          <w:rFonts w:ascii="Times New Roman" w:hAnsi="Times New Roman" w:cs="Times New Roman"/>
          <w:i/>
          <w:iCs/>
          <w:sz w:val="24"/>
          <w:szCs w:val="24"/>
        </w:rPr>
        <w:t>The University of Auckland</w:t>
      </w:r>
    </w:p>
    <w:p w14:paraId="31982796" w14:textId="77777777" w:rsidR="007D409A" w:rsidRPr="00952D8A" w:rsidRDefault="007D409A" w:rsidP="00952D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9F1CD" w14:textId="728E3121" w:rsidR="00952D8A" w:rsidRPr="00952D8A" w:rsidRDefault="00952D8A" w:rsidP="00AB53FA">
      <w:pPr>
        <w:rPr>
          <w:rFonts w:ascii="Times New Roman" w:hAnsi="Times New Roman" w:cs="Times New Roman"/>
          <w:sz w:val="24"/>
          <w:szCs w:val="24"/>
        </w:rPr>
      </w:pPr>
      <w:r w:rsidRPr="00952D8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952D8A">
          <w:rPr>
            <w:rStyle w:val="Hyperlink"/>
            <w:rFonts w:ascii="Times New Roman" w:hAnsi="Times New Roman" w:cs="Times New Roman"/>
            <w:sz w:val="24"/>
            <w:szCs w:val="24"/>
          </w:rPr>
          <w:t>gt.brown@auckland.ac.nz</w:t>
        </w:r>
      </w:hyperlink>
    </w:p>
    <w:p w14:paraId="61441FB2" w14:textId="77777777" w:rsidR="00952D8A" w:rsidRPr="00F971DC" w:rsidRDefault="00952D8A" w:rsidP="00D631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96202" w14:textId="77777777" w:rsidR="00184114" w:rsidRDefault="004B07B1" w:rsidP="00D63173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Scale reliability is an estimate of how strongly a set of items covary with each other. If the value is close to 1.00 then the items are highly </w:t>
      </w:r>
      <w:r w:rsidR="00EA03CF" w:rsidRPr="00F971DC">
        <w:rPr>
          <w:rFonts w:ascii="Times New Roman" w:hAnsi="Times New Roman" w:cs="Times New Roman"/>
          <w:sz w:val="24"/>
          <w:szCs w:val="24"/>
        </w:rPr>
        <w:t>related.</w:t>
      </w:r>
      <w:r w:rsidR="00D72144"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="00F971DC" w:rsidRPr="00F971DC">
        <w:rPr>
          <w:rFonts w:ascii="Times New Roman" w:hAnsi="Times New Roman" w:cs="Times New Roman"/>
          <w:sz w:val="24"/>
          <w:szCs w:val="24"/>
        </w:rPr>
        <w:t>Generally,</w:t>
      </w:r>
      <w:r w:rsidR="00D72144" w:rsidRPr="00F971DC">
        <w:rPr>
          <w:rFonts w:ascii="Times New Roman" w:hAnsi="Times New Roman" w:cs="Times New Roman"/>
          <w:sz w:val="24"/>
          <w:szCs w:val="24"/>
        </w:rPr>
        <w:t xml:space="preserve"> values over .70 are needed to support the notion that the </w:t>
      </w:r>
      <w:r w:rsidR="00274814">
        <w:rPr>
          <w:rFonts w:ascii="Times New Roman" w:hAnsi="Times New Roman" w:cs="Times New Roman"/>
          <w:sz w:val="24"/>
          <w:szCs w:val="24"/>
        </w:rPr>
        <w:t>scale is a consistent or reliable representation of the construc</w:t>
      </w:r>
      <w:r w:rsidR="00184114">
        <w:rPr>
          <w:rFonts w:ascii="Times New Roman" w:hAnsi="Times New Roman" w:cs="Times New Roman"/>
          <w:sz w:val="24"/>
          <w:szCs w:val="24"/>
        </w:rPr>
        <w:t>t</w:t>
      </w:r>
      <w:r w:rsidR="00D72144" w:rsidRPr="00F97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B3173" w14:textId="77777777" w:rsidR="00184114" w:rsidRDefault="00184114" w:rsidP="00D63173">
      <w:pPr>
        <w:rPr>
          <w:rFonts w:ascii="Times New Roman" w:hAnsi="Times New Roman" w:cs="Times New Roman"/>
          <w:sz w:val="24"/>
          <w:szCs w:val="24"/>
        </w:rPr>
      </w:pPr>
    </w:p>
    <w:p w14:paraId="65C8F01E" w14:textId="149BCEC4" w:rsidR="004B07B1" w:rsidRDefault="00AB53FA" w:rsidP="00D6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noteworthy that reliability estimates can be inflated by using items that are highly homogeneous (i.e., items </w:t>
      </w:r>
      <w:r w:rsidR="00CD100E">
        <w:rPr>
          <w:rFonts w:ascii="Times New Roman" w:hAnsi="Times New Roman" w:cs="Times New Roman"/>
          <w:sz w:val="24"/>
          <w:szCs w:val="24"/>
        </w:rPr>
        <w:t>use repetitions of the same language). Cattell and Tsu</w:t>
      </w:r>
      <w:r w:rsidR="0099244B">
        <w:rPr>
          <w:rFonts w:ascii="Times New Roman" w:hAnsi="Times New Roman" w:cs="Times New Roman"/>
          <w:sz w:val="24"/>
          <w:szCs w:val="24"/>
        </w:rPr>
        <w:t xml:space="preserve">jioka (1964) call that method a ‘bloated specific’ and scales should minimise </w:t>
      </w:r>
      <w:r w:rsidR="00183BB2">
        <w:rPr>
          <w:rFonts w:ascii="Times New Roman" w:hAnsi="Times New Roman" w:cs="Times New Roman"/>
          <w:sz w:val="24"/>
          <w:szCs w:val="24"/>
        </w:rPr>
        <w:t xml:space="preserve">items that are repetitious. This requires writing items that reflect the construct </w:t>
      </w:r>
      <w:r w:rsidR="006F2DA4">
        <w:rPr>
          <w:rFonts w:ascii="Times New Roman" w:hAnsi="Times New Roman" w:cs="Times New Roman"/>
          <w:sz w:val="24"/>
          <w:szCs w:val="24"/>
        </w:rPr>
        <w:t>but do not duplicate each other.</w:t>
      </w:r>
      <w:r w:rsidR="00794088">
        <w:rPr>
          <w:rFonts w:ascii="Times New Roman" w:hAnsi="Times New Roman" w:cs="Times New Roman"/>
          <w:sz w:val="24"/>
          <w:szCs w:val="24"/>
        </w:rPr>
        <w:t xml:space="preserve"> The implication here is that high estimates of reliability may reflect homogeneity rather than factor-trueness, so a lower threshold of </w:t>
      </w:r>
      <w:r w:rsidR="00D65C4D">
        <w:rPr>
          <w:rFonts w:ascii="Times New Roman" w:hAnsi="Times New Roman" w:cs="Times New Roman"/>
          <w:sz w:val="24"/>
          <w:szCs w:val="24"/>
        </w:rPr>
        <w:t xml:space="preserve">reliability may be a good thing. </w:t>
      </w:r>
    </w:p>
    <w:p w14:paraId="5A0745C9" w14:textId="0701C886" w:rsidR="00274814" w:rsidRPr="00274814" w:rsidRDefault="00274814" w:rsidP="0027481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74814">
        <w:rPr>
          <w:rFonts w:ascii="Times New Roman" w:hAnsi="Times New Roman" w:cs="Times New Roman"/>
          <w:sz w:val="24"/>
          <w:szCs w:val="24"/>
        </w:rPr>
        <w:t xml:space="preserve">Cattell, R. B., &amp; Tsujioka, B. (1964). The importance of factor-trueness and validity, versus homogeneity and orthogonality, in test scales. </w:t>
      </w:r>
      <w:r w:rsidRPr="00274814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274814">
        <w:rPr>
          <w:rFonts w:ascii="Times New Roman" w:hAnsi="Times New Roman" w:cs="Times New Roman"/>
          <w:sz w:val="24"/>
          <w:szCs w:val="24"/>
        </w:rPr>
        <w:t>,</w:t>
      </w:r>
      <w:r w:rsidRPr="00274814"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  <w:r w:rsidRPr="00274814">
        <w:rPr>
          <w:rFonts w:ascii="Times New Roman" w:hAnsi="Times New Roman" w:cs="Times New Roman"/>
          <w:sz w:val="24"/>
          <w:szCs w:val="24"/>
        </w:rPr>
        <w:t xml:space="preserve">(1), 3-30. </w:t>
      </w:r>
      <w:hyperlink r:id="rId6" w:history="1">
        <w:r w:rsidRPr="0027481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https://doi.org/10.1177/001316446402400101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E3F52" w14:textId="77777777" w:rsidR="00EA03CF" w:rsidRPr="00F971DC" w:rsidRDefault="00EA03CF" w:rsidP="00D631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66F78" w14:textId="4284E2D1" w:rsidR="00EA03CF" w:rsidRPr="00F971DC" w:rsidRDefault="00EA03CF" w:rsidP="00D631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1DC">
        <w:rPr>
          <w:rFonts w:ascii="Times New Roman" w:hAnsi="Times New Roman" w:cs="Times New Roman"/>
          <w:b/>
          <w:bCs/>
          <w:sz w:val="24"/>
          <w:szCs w:val="24"/>
        </w:rPr>
        <w:t>Coefficient alpha</w:t>
      </w:r>
    </w:p>
    <w:p w14:paraId="3E90C64D" w14:textId="61EA3B7B" w:rsidR="00923EE1" w:rsidRPr="00F971DC" w:rsidRDefault="007F6FAA" w:rsidP="00923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EA03CF" w:rsidRPr="00F971DC">
        <w:rPr>
          <w:rFonts w:ascii="Times New Roman" w:hAnsi="Times New Roman" w:cs="Times New Roman"/>
          <w:sz w:val="24"/>
          <w:szCs w:val="24"/>
        </w:rPr>
        <w:t xml:space="preserve">most commonly </w:t>
      </w:r>
      <w:r w:rsidR="00F971DC" w:rsidRPr="00F971DC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EA03CF" w:rsidRPr="00F971DC">
        <w:rPr>
          <w:rFonts w:ascii="Times New Roman" w:hAnsi="Times New Roman" w:cs="Times New Roman"/>
          <w:sz w:val="24"/>
          <w:szCs w:val="24"/>
        </w:rPr>
        <w:t xml:space="preserve"> method </w:t>
      </w:r>
      <w:r w:rsidR="00F971DC" w:rsidRPr="00F971DC">
        <w:rPr>
          <w:rFonts w:ascii="Times New Roman" w:hAnsi="Times New Roman" w:cs="Times New Roman"/>
          <w:sz w:val="24"/>
          <w:szCs w:val="24"/>
        </w:rPr>
        <w:t xml:space="preserve">in psychology and education </w:t>
      </w:r>
      <w:r w:rsidR="00EA03CF" w:rsidRPr="00F971DC">
        <w:rPr>
          <w:rFonts w:ascii="Times New Roman" w:hAnsi="Times New Roman" w:cs="Times New Roman"/>
          <w:sz w:val="24"/>
          <w:szCs w:val="24"/>
        </w:rPr>
        <w:t xml:space="preserve">is alpha </w:t>
      </w:r>
      <w:r w:rsidRPr="00F971DC">
        <w:rPr>
          <w:rFonts w:ascii="Times New Roman" w:hAnsi="Times New Roman" w:cs="Times New Roman"/>
          <w:sz w:val="24"/>
          <w:szCs w:val="24"/>
        </w:rPr>
        <w:t>(Cronbach</w:t>
      </w:r>
      <w:r w:rsidR="00F971DC"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sz w:val="24"/>
          <w:szCs w:val="24"/>
        </w:rPr>
        <w:t xml:space="preserve"> 1951). This measure </w:t>
      </w:r>
      <w:r w:rsidR="001F05CB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F05CB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1F05CB" w:rsidRPr="00F971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essentially </w:t>
      </w:r>
      <w:proofErr w:type="spellStart"/>
      <w:r w:rsidR="001F05CB" w:rsidRPr="00F971DC">
        <w:rPr>
          <w:rFonts w:ascii="Times New Roman" w:hAnsi="Times New Roman" w:cs="Times New Roman"/>
          <w:i/>
          <w:iCs/>
          <w:sz w:val="24"/>
          <w:szCs w:val="24"/>
          <w:lang w:val="en-US"/>
        </w:rPr>
        <w:t>tau</w:t>
      </w:r>
      <w:proofErr w:type="spellEnd"/>
      <w:r w:rsidR="001F05CB" w:rsidRPr="00F971D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-equivalent </w:t>
      </w:r>
      <w:r w:rsidR="001F05CB" w:rsidRPr="00F971DC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097A79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 that assumes </w:t>
      </w:r>
      <w:r w:rsidR="00097A79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constant item variances for the true scores </w:t>
      </w:r>
      <w:r w:rsidR="00097A79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and that </w:t>
      </w:r>
      <w:r w:rsidR="00097A79" w:rsidRPr="00F971DC">
        <w:rPr>
          <w:rFonts w:ascii="Times New Roman" w:hAnsi="Times New Roman" w:cs="Times New Roman"/>
          <w:sz w:val="24"/>
          <w:szCs w:val="24"/>
          <w:lang w:val="en-US"/>
        </w:rPr>
        <w:t>true score means and the error variances of the items vary</w:t>
      </w:r>
      <w:r w:rsidR="003F18B0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1CFEFA" w14:textId="77777777" w:rsidR="00C968E1" w:rsidRPr="00F971DC" w:rsidRDefault="00C968E1" w:rsidP="00C968E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Cronbach, L. J. (1951). Coefficient alpha and the internal structure of tests.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Psychometrika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F971DC">
        <w:rPr>
          <w:rFonts w:ascii="Times New Roman" w:hAnsi="Times New Roman" w:cs="Times New Roman"/>
          <w:sz w:val="24"/>
          <w:szCs w:val="24"/>
        </w:rPr>
        <w:t xml:space="preserve">, 297–334. https://doi.org/10.1007/BF02310555 </w:t>
      </w:r>
    </w:p>
    <w:p w14:paraId="2BA08519" w14:textId="77777777" w:rsidR="00730F6D" w:rsidRPr="00F971DC" w:rsidRDefault="00730F6D" w:rsidP="003F18B0">
      <w:pPr>
        <w:rPr>
          <w:rFonts w:ascii="Times New Roman" w:hAnsi="Times New Roman" w:cs="Times New Roman"/>
          <w:sz w:val="24"/>
          <w:szCs w:val="24"/>
        </w:rPr>
      </w:pPr>
    </w:p>
    <w:p w14:paraId="7DC423F9" w14:textId="27FFC5EB" w:rsidR="005E6488" w:rsidRPr="00F971DC" w:rsidRDefault="005E6488" w:rsidP="005E64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proofErr w:type="gramStart"/>
      <w:r w:rsidRPr="00F971DC">
        <w:rPr>
          <w:rFonts w:ascii="Times New Roman" w:hAnsi="Times New Roman" w:cs="Times New Roman"/>
          <w:sz w:val="24"/>
          <w:szCs w:val="24"/>
          <w:lang w:val="en-US"/>
        </w:rPr>
        <w:t>assuming that</w:t>
      </w:r>
      <w:proofErr w:type="gramEnd"/>
      <w:r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 true score variance (equal sensitivity) is constant across all items is improbable and unrealistic. </w:t>
      </w:r>
      <w:r w:rsidRPr="003F18B0">
        <w:rPr>
          <w:rFonts w:ascii="Times New Roman" w:hAnsi="Times New Roman" w:cs="Times New Roman"/>
          <w:sz w:val="24"/>
          <w:szCs w:val="24"/>
          <w:lang w:val="en-US"/>
        </w:rPr>
        <w:t>Hence, alpha is an inappropriate measure of internal consistency reliability</w:t>
      </w:r>
      <w:r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 and will provide a lower estimate of reliability than the population or true level of reliability. Alpha can be inflated when </w:t>
      </w:r>
      <w:r w:rsidRPr="00823257">
        <w:rPr>
          <w:rFonts w:ascii="Times New Roman" w:hAnsi="Times New Roman" w:cs="Times New Roman"/>
          <w:sz w:val="24"/>
          <w:szCs w:val="24"/>
          <w:lang w:val="en-US"/>
        </w:rPr>
        <w:t>the errors for each item are correlated</w:t>
      </w:r>
      <w:r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, a violation of assumptions concerning residuals. </w:t>
      </w:r>
      <w:r w:rsidR="00104309" w:rsidRPr="00F971DC">
        <w:rPr>
          <w:rFonts w:ascii="Times New Roman" w:hAnsi="Times New Roman" w:cs="Times New Roman"/>
          <w:sz w:val="24"/>
          <w:szCs w:val="24"/>
          <w:lang w:val="en-US"/>
        </w:rPr>
        <w:t xml:space="preserve">Nonetheless, many reviewers and examiners want to see alpha because they are familiar with it even though it is probably wrong. </w:t>
      </w:r>
      <w:r w:rsidRPr="00F971DC">
        <w:rPr>
          <w:rFonts w:ascii="Times New Roman" w:hAnsi="Times New Roman" w:cs="Times New Roman"/>
          <w:sz w:val="24"/>
          <w:szCs w:val="24"/>
          <w:lang w:val="en-US"/>
        </w:rPr>
        <w:t>See the following critiques</w:t>
      </w:r>
      <w:r w:rsidR="00104309" w:rsidRPr="00F971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20E62D" w14:textId="4036F8F9" w:rsidR="00301D48" w:rsidRPr="00F971DC" w:rsidRDefault="00301D48" w:rsidP="00301D4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Dunn, T. J., Baguley, T., &amp; Brunsden, V. (2014). From alpha to omega: A practical solution to the pervasive problem of internal consistency estimation.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British Journal of Psychology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105</w:t>
      </w:r>
      <w:r w:rsidRPr="00F971DC">
        <w:rPr>
          <w:rFonts w:ascii="Times New Roman" w:hAnsi="Times New Roman" w:cs="Times New Roman"/>
          <w:sz w:val="24"/>
          <w:szCs w:val="24"/>
        </w:rPr>
        <w:t xml:space="preserve">(3), 399-412. </w:t>
      </w:r>
      <w:hyperlink r:id="rId7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https://doi.org/10.1111/bjop.12046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17156" w14:textId="235E9079" w:rsidR="00235118" w:rsidRPr="00F971DC" w:rsidRDefault="00235118" w:rsidP="0023511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Green, S. B., Lissitz, R. W., &amp; Mulaik, S. A. (1977). Limitations of Coefficient Alpha as an Index of Test Unidimensionality.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37</w:t>
      </w:r>
      <w:r w:rsidRPr="00F971DC">
        <w:rPr>
          <w:rFonts w:ascii="Times New Roman" w:hAnsi="Times New Roman" w:cs="Times New Roman"/>
          <w:sz w:val="24"/>
          <w:szCs w:val="24"/>
        </w:rPr>
        <w:t xml:space="preserve">(4), 827-838. </w:t>
      </w:r>
      <w:hyperlink r:id="rId8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https://doi.org/10.1177/001316447703700403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4A9B0" w14:textId="6711CEC9" w:rsidR="00301D48" w:rsidRPr="00F971DC" w:rsidRDefault="00301D48" w:rsidP="00301D4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Green, S. B., &amp; Yang, Y. (2009). Commentary on Coefficient Alpha: A cautionary tale.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Psychometrika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74</w:t>
      </w:r>
      <w:r w:rsidRPr="00F971DC">
        <w:rPr>
          <w:rFonts w:ascii="Times New Roman" w:hAnsi="Times New Roman" w:cs="Times New Roman"/>
          <w:sz w:val="24"/>
          <w:szCs w:val="24"/>
        </w:rPr>
        <w:t xml:space="preserve">(1), 121–135. </w:t>
      </w:r>
      <w:hyperlink r:id="rId9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https://doi.org/10.1007/S11336-008-9098-4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C36F" w14:textId="3AD664CF" w:rsidR="006F07BE" w:rsidRPr="00F971DC" w:rsidRDefault="006F07BE" w:rsidP="006F07B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McNeish, D. (2018). Thanks coefficient alpha, we’ll take it from here.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Psychological Methods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23</w:t>
      </w:r>
      <w:r w:rsidRPr="00F971DC">
        <w:rPr>
          <w:rFonts w:ascii="Times New Roman" w:hAnsi="Times New Roman" w:cs="Times New Roman"/>
          <w:sz w:val="24"/>
          <w:szCs w:val="24"/>
        </w:rPr>
        <w:t xml:space="preserve">(3), 412-433. </w:t>
      </w:r>
      <w:hyperlink r:id="rId10" w:history="1">
        <w:r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https://doi.org/10.1037/met0000144</w:t>
        </w:r>
      </w:hyperlink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B70D" w14:textId="4B0E6EB2" w:rsidR="00B61193" w:rsidRPr="00F971DC" w:rsidRDefault="00B61193" w:rsidP="00B6119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Revelle, W., &amp; Zinbarg, R. E. (2009). Coefficients alpha, beta, omega, and the glb: Comments on Sijtsma.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Psychometrika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74</w:t>
      </w:r>
      <w:r w:rsidRPr="00F971DC">
        <w:rPr>
          <w:rFonts w:ascii="Times New Roman" w:hAnsi="Times New Roman" w:cs="Times New Roman"/>
          <w:sz w:val="24"/>
          <w:szCs w:val="24"/>
        </w:rPr>
        <w:t xml:space="preserve">(1), 145-154. </w:t>
      </w:r>
      <w:hyperlink r:id="rId11" w:history="1">
        <w:r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https://doi.org/10.1007/s11336-008-9102-z</w:t>
        </w:r>
      </w:hyperlink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F4132" w14:textId="64AF34D5" w:rsidR="00301D48" w:rsidRPr="00F971DC" w:rsidRDefault="00301D48" w:rsidP="00301D4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Sijtsma, K. (2009). On the use, the misuse, and the very limited usefulness of Cronbach's alpha.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Psychometrika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74</w:t>
      </w:r>
      <w:r w:rsidRPr="00F971DC">
        <w:rPr>
          <w:rFonts w:ascii="Times New Roman" w:hAnsi="Times New Roman" w:cs="Times New Roman"/>
          <w:sz w:val="24"/>
          <w:szCs w:val="24"/>
        </w:rPr>
        <w:t xml:space="preserve">(1), 107-120. </w:t>
      </w:r>
      <w:hyperlink r:id="rId12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https://doi.org/10.1007/S11336-008-9101-0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F1DB" w14:textId="10345051" w:rsidR="00301D48" w:rsidRPr="00F971DC" w:rsidRDefault="00301D48" w:rsidP="00301D4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lastRenderedPageBreak/>
        <w:t xml:space="preserve">Teo, T., &amp; Fan, X. (2013). Coefficient Alpha and beyond: Issues and alternatives for educational research.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Asia-Pacific Education Researcher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22</w:t>
      </w:r>
      <w:r w:rsidRPr="00F971DC">
        <w:rPr>
          <w:rFonts w:ascii="Times New Roman" w:hAnsi="Times New Roman" w:cs="Times New Roman"/>
          <w:sz w:val="24"/>
          <w:szCs w:val="24"/>
        </w:rPr>
        <w:t xml:space="preserve">(2), 209–213. </w:t>
      </w:r>
      <w:hyperlink r:id="rId13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https://doi.org/10.1007/s40299-013-0075-z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F5184" w14:textId="3733F443" w:rsidR="00601B68" w:rsidRPr="00F971DC" w:rsidRDefault="00601B68" w:rsidP="00601B6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Zinbarg, R. E., Revelle, W., </w:t>
      </w:r>
      <w:proofErr w:type="spellStart"/>
      <w:r w:rsidRPr="00F971DC">
        <w:rPr>
          <w:rFonts w:ascii="Times New Roman" w:hAnsi="Times New Roman" w:cs="Times New Roman"/>
          <w:sz w:val="24"/>
          <w:szCs w:val="24"/>
        </w:rPr>
        <w:t>Yovel</w:t>
      </w:r>
      <w:proofErr w:type="spellEnd"/>
      <w:r w:rsidRPr="00F971DC">
        <w:rPr>
          <w:rFonts w:ascii="Times New Roman" w:hAnsi="Times New Roman" w:cs="Times New Roman"/>
          <w:sz w:val="24"/>
          <w:szCs w:val="24"/>
        </w:rPr>
        <w:t xml:space="preserve">, I., &amp; Li, W. (2005). Cronbach’s α, </w:t>
      </w:r>
      <w:proofErr w:type="spellStart"/>
      <w:r w:rsidRPr="00F971DC">
        <w:rPr>
          <w:rFonts w:ascii="Times New Roman" w:hAnsi="Times New Roman" w:cs="Times New Roman"/>
          <w:sz w:val="24"/>
          <w:szCs w:val="24"/>
        </w:rPr>
        <w:t>Revelle’s</w:t>
      </w:r>
      <w:proofErr w:type="spellEnd"/>
      <w:r w:rsidRPr="00F971DC">
        <w:rPr>
          <w:rFonts w:ascii="Times New Roman" w:hAnsi="Times New Roman" w:cs="Times New Roman"/>
          <w:sz w:val="24"/>
          <w:szCs w:val="24"/>
        </w:rPr>
        <w:t xml:space="preserve"> β, and </w:t>
      </w:r>
      <w:proofErr w:type="spellStart"/>
      <w:r w:rsidRPr="00F971DC"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1DC">
        <w:rPr>
          <w:rFonts w:ascii="Times New Roman" w:hAnsi="Times New Roman" w:cs="Times New Roman"/>
          <w:sz w:val="24"/>
          <w:szCs w:val="24"/>
        </w:rPr>
        <w:t>ωH</w:t>
      </w:r>
      <w:proofErr w:type="spellEnd"/>
      <w:r w:rsidRPr="00F971DC">
        <w:rPr>
          <w:rFonts w:ascii="Times New Roman" w:hAnsi="Times New Roman" w:cs="Times New Roman"/>
          <w:sz w:val="24"/>
          <w:szCs w:val="24"/>
        </w:rPr>
        <w:t xml:space="preserve">: their relations with each other and two alternative conceptualizations of reliability.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Psychometrika</w:t>
      </w:r>
      <w:r w:rsidRPr="00F971DC">
        <w:rPr>
          <w:rFonts w:ascii="Times New Roman" w:hAnsi="Times New Roman" w:cs="Times New Roman"/>
          <w:sz w:val="24"/>
          <w:szCs w:val="24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 xml:space="preserve"> 70</w:t>
      </w:r>
      <w:r w:rsidRPr="00F971DC">
        <w:rPr>
          <w:rFonts w:ascii="Times New Roman" w:hAnsi="Times New Roman" w:cs="Times New Roman"/>
          <w:sz w:val="24"/>
          <w:szCs w:val="24"/>
        </w:rPr>
        <w:t xml:space="preserve">(1), 123-133. </w:t>
      </w:r>
      <w:hyperlink r:id="rId14" w:history="1">
        <w:r w:rsidR="006F07BE" w:rsidRPr="00F971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https://doi.org/10.1007/s11336-003-0974-7</w:t>
        </w:r>
      </w:hyperlink>
      <w:r w:rsidR="006F07BE"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Pr="00F9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28092" w14:textId="77777777" w:rsidR="005E6488" w:rsidRPr="00F971DC" w:rsidRDefault="005E6488" w:rsidP="005E64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2024F8" w14:textId="77777777" w:rsidR="004B07B1" w:rsidRPr="00F971DC" w:rsidRDefault="004B07B1" w:rsidP="006619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1DC">
        <w:rPr>
          <w:rFonts w:ascii="Times New Roman" w:hAnsi="Times New Roman" w:cs="Times New Roman"/>
          <w:b/>
          <w:bCs/>
          <w:sz w:val="24"/>
          <w:szCs w:val="24"/>
        </w:rPr>
        <w:t xml:space="preserve">McDonald’s omega </w:t>
      </w:r>
    </w:p>
    <w:p w14:paraId="23B5B966" w14:textId="75E4F88D" w:rsidR="00533695" w:rsidRPr="00F971DC" w:rsidRDefault="00923EE1" w:rsidP="006619DB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Alternative estimators of scale reliability exist but not all are easily obtained in modern software. </w:t>
      </w:r>
      <w:r w:rsidR="004B07B1" w:rsidRPr="00F971DC">
        <w:rPr>
          <w:rFonts w:ascii="Times New Roman" w:hAnsi="Times New Roman" w:cs="Times New Roman"/>
          <w:sz w:val="24"/>
          <w:szCs w:val="24"/>
        </w:rPr>
        <w:t xml:space="preserve">The best alternative seems to be </w:t>
      </w:r>
      <w:r w:rsidR="00533695" w:rsidRPr="00F971DC">
        <w:rPr>
          <w:rFonts w:ascii="Times New Roman" w:hAnsi="Times New Roman" w:cs="Times New Roman"/>
          <w:sz w:val="24"/>
          <w:szCs w:val="24"/>
        </w:rPr>
        <w:t xml:space="preserve">McDonald’s omega </w:t>
      </w:r>
      <w:r w:rsidR="00730F6D" w:rsidRPr="00F971DC">
        <w:rPr>
          <w:rFonts w:ascii="Times New Roman" w:hAnsi="Times New Roman" w:cs="Times New Roman"/>
          <w:sz w:val="24"/>
          <w:szCs w:val="24"/>
        </w:rPr>
        <w:t xml:space="preserve">(1999) </w:t>
      </w:r>
      <w:r w:rsidR="00533695" w:rsidRPr="00F971DC">
        <w:rPr>
          <w:rFonts w:ascii="Times New Roman" w:hAnsi="Times New Roman" w:cs="Times New Roman"/>
          <w:sz w:val="24"/>
          <w:szCs w:val="24"/>
        </w:rPr>
        <w:t>statistic</w:t>
      </w:r>
      <w:r w:rsidR="004B07B1" w:rsidRPr="00F971DC">
        <w:rPr>
          <w:rFonts w:ascii="Times New Roman" w:hAnsi="Times New Roman" w:cs="Times New Roman"/>
          <w:sz w:val="24"/>
          <w:szCs w:val="24"/>
        </w:rPr>
        <w:t>.</w:t>
      </w:r>
      <w:r w:rsidR="00533695" w:rsidRPr="00F971DC">
        <w:rPr>
          <w:rFonts w:ascii="Times New Roman" w:hAnsi="Times New Roman" w:cs="Times New Roman"/>
          <w:sz w:val="24"/>
          <w:szCs w:val="24"/>
        </w:rPr>
        <w:t xml:space="preserve"> </w:t>
      </w:r>
      <w:r w:rsidR="004B07B1" w:rsidRPr="00F971DC">
        <w:rPr>
          <w:rFonts w:ascii="Times New Roman" w:hAnsi="Times New Roman" w:cs="Times New Roman"/>
          <w:sz w:val="24"/>
          <w:szCs w:val="24"/>
        </w:rPr>
        <w:t xml:space="preserve">This </w:t>
      </w:r>
      <w:r w:rsidR="006619DB" w:rsidRPr="00F971DC">
        <w:rPr>
          <w:rFonts w:ascii="Times New Roman" w:hAnsi="Times New Roman" w:cs="Times New Roman"/>
          <w:sz w:val="24"/>
          <w:szCs w:val="24"/>
        </w:rPr>
        <w:t>assumes that the m</w:t>
      </w:r>
      <w:r w:rsidR="00533695" w:rsidRPr="00533695">
        <w:rPr>
          <w:rFonts w:ascii="Times New Roman" w:hAnsi="Times New Roman" w:cs="Times New Roman"/>
          <w:sz w:val="24"/>
          <w:szCs w:val="24"/>
        </w:rPr>
        <w:t>eans and variances of the true scores and the error variances vary</w:t>
      </w:r>
      <w:r w:rsidR="006619DB" w:rsidRPr="00F971DC">
        <w:rPr>
          <w:rFonts w:ascii="Times New Roman" w:hAnsi="Times New Roman" w:cs="Times New Roman"/>
          <w:sz w:val="24"/>
          <w:szCs w:val="24"/>
        </w:rPr>
        <w:t xml:space="preserve"> and n</w:t>
      </w:r>
      <w:r w:rsidR="00533695" w:rsidRPr="00533695">
        <w:rPr>
          <w:rFonts w:ascii="Times New Roman" w:hAnsi="Times New Roman" w:cs="Times New Roman"/>
          <w:sz w:val="24"/>
          <w:szCs w:val="24"/>
        </w:rPr>
        <w:t>o assumption about constant means and variances</w:t>
      </w:r>
      <w:r w:rsidR="006619DB" w:rsidRPr="00F971DC">
        <w:rPr>
          <w:rFonts w:ascii="Times New Roman" w:hAnsi="Times New Roman" w:cs="Times New Roman"/>
          <w:sz w:val="24"/>
          <w:szCs w:val="24"/>
        </w:rPr>
        <w:t xml:space="preserve"> is made. U</w:t>
      </w:r>
      <w:r w:rsidR="00533695" w:rsidRPr="00533695">
        <w:rPr>
          <w:rFonts w:ascii="Times New Roman" w:hAnsi="Times New Roman" w:cs="Times New Roman"/>
          <w:sz w:val="24"/>
          <w:szCs w:val="24"/>
        </w:rPr>
        <w:t xml:space="preserve">nder violations of </w:t>
      </w:r>
      <w:r w:rsidR="00533695" w:rsidRPr="00533695">
        <w:rPr>
          <w:rFonts w:ascii="Times New Roman" w:hAnsi="Times New Roman" w:cs="Times New Roman"/>
          <w:i/>
          <w:iCs/>
          <w:sz w:val="24"/>
          <w:szCs w:val="24"/>
        </w:rPr>
        <w:t>tau-equivalence</w:t>
      </w:r>
      <w:r w:rsidR="006619DB" w:rsidRPr="00F971DC">
        <w:rPr>
          <w:rFonts w:ascii="Times New Roman" w:hAnsi="Times New Roman" w:cs="Times New Roman"/>
          <w:sz w:val="24"/>
          <w:szCs w:val="24"/>
        </w:rPr>
        <w:t xml:space="preserve">, which are </w:t>
      </w:r>
      <w:r w:rsidR="00533695" w:rsidRPr="00533695">
        <w:rPr>
          <w:rFonts w:ascii="Times New Roman" w:hAnsi="Times New Roman" w:cs="Times New Roman"/>
          <w:sz w:val="24"/>
          <w:szCs w:val="24"/>
        </w:rPr>
        <w:t>likely to be the norm in psychology</w:t>
      </w:r>
      <w:r w:rsidR="006619DB" w:rsidRPr="00F971DC">
        <w:rPr>
          <w:rFonts w:ascii="Times New Roman" w:hAnsi="Times New Roman" w:cs="Times New Roman"/>
          <w:sz w:val="24"/>
          <w:szCs w:val="24"/>
        </w:rPr>
        <w:t xml:space="preserve">, </w:t>
      </w:r>
      <w:r w:rsidR="00533695" w:rsidRPr="00533695">
        <w:rPr>
          <w:rFonts w:ascii="Times New Roman" w:hAnsi="Times New Roman" w:cs="Times New Roman"/>
          <w:sz w:val="24"/>
          <w:szCs w:val="24"/>
        </w:rPr>
        <w:t>omega outperforms alpha</w:t>
      </w:r>
      <w:r w:rsidR="006619DB" w:rsidRPr="00F971DC">
        <w:rPr>
          <w:rFonts w:ascii="Times New Roman" w:hAnsi="Times New Roman" w:cs="Times New Roman"/>
          <w:sz w:val="24"/>
          <w:szCs w:val="24"/>
        </w:rPr>
        <w:t xml:space="preserve">. </w:t>
      </w:r>
      <w:r w:rsidR="00104309" w:rsidRPr="00F971DC">
        <w:rPr>
          <w:rFonts w:ascii="Times New Roman" w:hAnsi="Times New Roman" w:cs="Times New Roman"/>
          <w:sz w:val="24"/>
          <w:szCs w:val="24"/>
        </w:rPr>
        <w:t>McDonald’s omega is available alongside alpha in Jamovi and JASP.</w:t>
      </w:r>
    </w:p>
    <w:p w14:paraId="40D9B257" w14:textId="77777777" w:rsidR="00730F6D" w:rsidRPr="00F971DC" w:rsidRDefault="00730F6D" w:rsidP="00730F6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McDonald, R. P. (1999).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Test theory: A unified treatment</w:t>
      </w:r>
      <w:r w:rsidRPr="00F971DC">
        <w:rPr>
          <w:rFonts w:ascii="Times New Roman" w:hAnsi="Times New Roman" w:cs="Times New Roman"/>
          <w:sz w:val="24"/>
          <w:szCs w:val="24"/>
        </w:rPr>
        <w:t xml:space="preserve">. Lawrence Erlbaum. </w:t>
      </w:r>
    </w:p>
    <w:p w14:paraId="3AF2269C" w14:textId="77777777" w:rsidR="00730F6D" w:rsidRPr="00F971DC" w:rsidRDefault="00730F6D" w:rsidP="003F18B0">
      <w:pPr>
        <w:rPr>
          <w:rFonts w:ascii="Times New Roman" w:hAnsi="Times New Roman" w:cs="Times New Roman"/>
          <w:sz w:val="24"/>
          <w:szCs w:val="24"/>
        </w:rPr>
      </w:pPr>
    </w:p>
    <w:p w14:paraId="3CC7663A" w14:textId="7171A68C" w:rsidR="00D63173" w:rsidRPr="00F971DC" w:rsidRDefault="00D63173" w:rsidP="00D631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1DC">
        <w:rPr>
          <w:rFonts w:ascii="Times New Roman" w:hAnsi="Times New Roman" w:cs="Times New Roman"/>
          <w:b/>
          <w:bCs/>
          <w:sz w:val="24"/>
          <w:szCs w:val="24"/>
        </w:rPr>
        <w:t>Coefficient H</w:t>
      </w:r>
    </w:p>
    <w:p w14:paraId="2C0F2E66" w14:textId="7146D884" w:rsidR="00276D57" w:rsidRPr="00F971DC" w:rsidRDefault="00F971DC" w:rsidP="00276D57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>C</w:t>
      </w:r>
      <w:r w:rsidRPr="00F971DC">
        <w:rPr>
          <w:rFonts w:ascii="Times New Roman" w:hAnsi="Times New Roman" w:cs="Times New Roman"/>
          <w:sz w:val="24"/>
          <w:szCs w:val="24"/>
        </w:rPr>
        <w:t xml:space="preserve">onfirmatory factor analysis is a more powerful way of determining if items belong together as it forces all </w:t>
      </w:r>
      <w:proofErr w:type="gramStart"/>
      <w:r w:rsidRPr="00F971DC">
        <w:rPr>
          <w:rFonts w:ascii="Times New Roman" w:hAnsi="Times New Roman" w:cs="Times New Roman"/>
          <w:sz w:val="24"/>
          <w:szCs w:val="24"/>
        </w:rPr>
        <w:t>off-paths</w:t>
      </w:r>
      <w:proofErr w:type="gramEnd"/>
      <w:r w:rsidRPr="00F971DC">
        <w:rPr>
          <w:rFonts w:ascii="Times New Roman" w:hAnsi="Times New Roman" w:cs="Times New Roman"/>
          <w:sz w:val="24"/>
          <w:szCs w:val="24"/>
        </w:rPr>
        <w:t xml:space="preserve"> to be zero and provides multiple indices of fit to the data. </w:t>
      </w:r>
      <w:r w:rsidR="00B61193" w:rsidRPr="00F971DC">
        <w:rPr>
          <w:rFonts w:ascii="Times New Roman" w:hAnsi="Times New Roman" w:cs="Times New Roman"/>
          <w:sz w:val="24"/>
          <w:szCs w:val="24"/>
        </w:rPr>
        <w:t xml:space="preserve">If you have used CFA to create a scale, then it makes more sense to use </w:t>
      </w:r>
      <w:r w:rsidR="00642E68" w:rsidRPr="00F971DC">
        <w:rPr>
          <w:rFonts w:ascii="Times New Roman" w:hAnsi="Times New Roman" w:cs="Times New Roman"/>
          <w:sz w:val="24"/>
          <w:szCs w:val="24"/>
        </w:rPr>
        <w:t>c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onstruct replicability to evaluate how well a set of items represent </w:t>
      </w:r>
      <w:r w:rsidR="00642E68" w:rsidRPr="00F971DC">
        <w:rPr>
          <w:rFonts w:ascii="Times New Roman" w:hAnsi="Times New Roman" w:cs="Times New Roman"/>
          <w:sz w:val="24"/>
          <w:szCs w:val="24"/>
        </w:rPr>
        <w:t xml:space="preserve">the </w:t>
      </w:r>
      <w:r w:rsidR="00276D57" w:rsidRPr="00276D57">
        <w:rPr>
          <w:rFonts w:ascii="Times New Roman" w:hAnsi="Times New Roman" w:cs="Times New Roman"/>
          <w:sz w:val="24"/>
          <w:szCs w:val="24"/>
        </w:rPr>
        <w:t>latent variable</w:t>
      </w:r>
      <w:r w:rsidR="00642E68" w:rsidRPr="00F971DC">
        <w:rPr>
          <w:rFonts w:ascii="Times New Roman" w:hAnsi="Times New Roman" w:cs="Times New Roman"/>
          <w:sz w:val="24"/>
          <w:szCs w:val="24"/>
        </w:rPr>
        <w:t xml:space="preserve">. This approach 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informs whether </w:t>
      </w:r>
      <w:r w:rsidR="00276D57" w:rsidRPr="00F971DC">
        <w:rPr>
          <w:rFonts w:ascii="Times New Roman" w:hAnsi="Times New Roman" w:cs="Times New Roman"/>
          <w:sz w:val="24"/>
          <w:szCs w:val="24"/>
        </w:rPr>
        <w:t xml:space="preserve">an </w:t>
      </w:r>
      <w:r w:rsidR="00276D57" w:rsidRPr="00276D57">
        <w:rPr>
          <w:rFonts w:ascii="Times New Roman" w:hAnsi="Times New Roman" w:cs="Times New Roman"/>
          <w:sz w:val="24"/>
          <w:szCs w:val="24"/>
        </w:rPr>
        <w:t>SEM measurement model is suitable and replicable across studies</w:t>
      </w:r>
      <w:r w:rsidR="00276D57" w:rsidRPr="00F971DC">
        <w:rPr>
          <w:rFonts w:ascii="Times New Roman" w:hAnsi="Times New Roman" w:cs="Times New Roman"/>
          <w:sz w:val="24"/>
          <w:szCs w:val="24"/>
        </w:rPr>
        <w:t xml:space="preserve">. 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H values represent the correlation between a factor and an </w:t>
      </w:r>
      <w:proofErr w:type="gramStart"/>
      <w:r w:rsidR="00276D57" w:rsidRPr="00276D57">
        <w:rPr>
          <w:rFonts w:ascii="Times New Roman" w:hAnsi="Times New Roman" w:cs="Times New Roman"/>
          <w:sz w:val="24"/>
          <w:szCs w:val="24"/>
        </w:rPr>
        <w:t>optimally-weighted</w:t>
      </w:r>
      <w:proofErr w:type="gramEnd"/>
      <w:r w:rsidR="00276D57" w:rsidRPr="00276D57">
        <w:rPr>
          <w:rFonts w:ascii="Times New Roman" w:hAnsi="Times New Roman" w:cs="Times New Roman"/>
          <w:sz w:val="24"/>
          <w:szCs w:val="24"/>
        </w:rPr>
        <w:t xml:space="preserve"> item composite</w:t>
      </w:r>
      <w:r w:rsidR="00FD7B80" w:rsidRPr="00F971DC">
        <w:rPr>
          <w:rFonts w:ascii="Times New Roman" w:hAnsi="Times New Roman" w:cs="Times New Roman"/>
          <w:sz w:val="24"/>
          <w:szCs w:val="24"/>
        </w:rPr>
        <w:t xml:space="preserve">, with </w:t>
      </w:r>
      <w:r w:rsidR="00276D57" w:rsidRPr="00276D57">
        <w:rPr>
          <w:rFonts w:ascii="Times New Roman" w:hAnsi="Times New Roman" w:cs="Times New Roman"/>
          <w:sz w:val="24"/>
          <w:szCs w:val="24"/>
        </w:rPr>
        <w:t>high values (</w:t>
      </w:r>
      <w:r w:rsidR="001F6863" w:rsidRPr="00276D57">
        <w:rPr>
          <w:rFonts w:ascii="Times New Roman" w:hAnsi="Times New Roman" w:cs="Times New Roman"/>
          <w:sz w:val="24"/>
          <w:szCs w:val="24"/>
        </w:rPr>
        <w:t xml:space="preserve">H 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&gt;.80) </w:t>
      </w:r>
      <w:r w:rsidR="00FD7B80" w:rsidRPr="00F971DC">
        <w:rPr>
          <w:rFonts w:ascii="Times New Roman" w:hAnsi="Times New Roman" w:cs="Times New Roman"/>
          <w:sz w:val="24"/>
          <w:szCs w:val="24"/>
        </w:rPr>
        <w:t xml:space="preserve">indicating </w:t>
      </w:r>
      <w:r w:rsidR="00276D57" w:rsidRPr="00276D57">
        <w:rPr>
          <w:rFonts w:ascii="Times New Roman" w:hAnsi="Times New Roman" w:cs="Times New Roman"/>
          <w:sz w:val="24"/>
          <w:szCs w:val="24"/>
        </w:rPr>
        <w:t>a well-defined latent variable, which is likely to be stable across studies</w:t>
      </w:r>
      <w:r w:rsidR="00FD7B80" w:rsidRPr="00F971DC">
        <w:rPr>
          <w:rFonts w:ascii="Times New Roman" w:hAnsi="Times New Roman" w:cs="Times New Roman"/>
          <w:sz w:val="24"/>
          <w:szCs w:val="24"/>
        </w:rPr>
        <w:t>. L</w:t>
      </w:r>
      <w:r w:rsidR="00276D57" w:rsidRPr="00276D57">
        <w:rPr>
          <w:rFonts w:ascii="Times New Roman" w:hAnsi="Times New Roman" w:cs="Times New Roman"/>
          <w:sz w:val="24"/>
          <w:szCs w:val="24"/>
        </w:rPr>
        <w:t>ow values (</w:t>
      </w:r>
      <w:r w:rsidR="001F6863" w:rsidRPr="00276D57">
        <w:rPr>
          <w:rFonts w:ascii="Times New Roman" w:hAnsi="Times New Roman" w:cs="Times New Roman"/>
          <w:sz w:val="24"/>
          <w:szCs w:val="24"/>
        </w:rPr>
        <w:t xml:space="preserve">H 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&lt; .80) </w:t>
      </w:r>
      <w:r w:rsidR="00FD7B80" w:rsidRPr="00F971DC">
        <w:rPr>
          <w:rFonts w:ascii="Times New Roman" w:hAnsi="Times New Roman" w:cs="Times New Roman"/>
          <w:sz w:val="24"/>
          <w:szCs w:val="24"/>
        </w:rPr>
        <w:t xml:space="preserve">will generate </w:t>
      </w:r>
      <w:r w:rsidR="00276D57" w:rsidRPr="00276D57">
        <w:rPr>
          <w:rFonts w:ascii="Times New Roman" w:hAnsi="Times New Roman" w:cs="Times New Roman"/>
          <w:sz w:val="24"/>
          <w:szCs w:val="24"/>
        </w:rPr>
        <w:t xml:space="preserve">unit-weighted item scores (i.e., not </w:t>
      </w:r>
      <w:proofErr w:type="gramStart"/>
      <w:r w:rsidR="00276D57" w:rsidRPr="00276D57">
        <w:rPr>
          <w:rFonts w:ascii="Times New Roman" w:hAnsi="Times New Roman" w:cs="Times New Roman"/>
          <w:sz w:val="24"/>
          <w:szCs w:val="24"/>
        </w:rPr>
        <w:t>optimally-weighted</w:t>
      </w:r>
      <w:proofErr w:type="gramEnd"/>
      <w:r w:rsidR="00276D57" w:rsidRPr="00276D57">
        <w:rPr>
          <w:rFonts w:ascii="Times New Roman" w:hAnsi="Times New Roman" w:cs="Times New Roman"/>
          <w:sz w:val="24"/>
          <w:szCs w:val="24"/>
        </w:rPr>
        <w:t xml:space="preserve"> scores) for the underlying latent variable</w:t>
      </w:r>
      <w:r w:rsidR="008C5DA4" w:rsidRPr="00F971DC">
        <w:rPr>
          <w:rFonts w:ascii="Times New Roman" w:hAnsi="Times New Roman" w:cs="Times New Roman"/>
          <w:sz w:val="24"/>
          <w:szCs w:val="24"/>
        </w:rPr>
        <w:t xml:space="preserve">. Hence, Coefficient H is </w:t>
      </w:r>
      <w:r w:rsidR="00276D57" w:rsidRPr="00F971DC">
        <w:rPr>
          <w:rFonts w:ascii="Times New Roman" w:hAnsi="Times New Roman" w:cs="Times New Roman"/>
          <w:sz w:val="24"/>
          <w:szCs w:val="24"/>
        </w:rPr>
        <w:t xml:space="preserve">ideal for a </w:t>
      </w:r>
      <w:r w:rsidR="001F6863" w:rsidRPr="00F971DC">
        <w:rPr>
          <w:rFonts w:ascii="Times New Roman" w:hAnsi="Times New Roman" w:cs="Times New Roman"/>
          <w:sz w:val="24"/>
          <w:szCs w:val="24"/>
        </w:rPr>
        <w:t>CFA/</w:t>
      </w:r>
      <w:r w:rsidR="00276D57" w:rsidRPr="00F971DC">
        <w:rPr>
          <w:rFonts w:ascii="Times New Roman" w:hAnsi="Times New Roman" w:cs="Times New Roman"/>
          <w:sz w:val="24"/>
          <w:szCs w:val="24"/>
        </w:rPr>
        <w:t>SEM framework to judge the feasibility of a measurement model given a particular set of items</w:t>
      </w:r>
    </w:p>
    <w:p w14:paraId="054CA841" w14:textId="77777777" w:rsidR="008C5DA4" w:rsidRPr="00F971DC" w:rsidRDefault="008C5DA4" w:rsidP="00D63173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8A9A02D" w14:textId="7479F22D" w:rsidR="00D63173" w:rsidRPr="00F971DC" w:rsidRDefault="00D63173" w:rsidP="00D63173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  <w:lang w:eastAsia="en-NZ"/>
        </w:rPr>
      </w:pP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Hancock, G. R., &amp; Mueller, R. O. (2001). Rethinking construct reliability within latent variable systems. In R. Cudeck, S. Du Toit, &amp; D. Sörbom (Eds.), </w:t>
      </w:r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Structural Equation Modeling: Present and Future - A Festschrift in </w:t>
      </w:r>
      <w:proofErr w:type="spellStart"/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Honor</w:t>
      </w:r>
      <w:proofErr w:type="spellEnd"/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of Karl Jöreskog</w:t>
      </w: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 (pp. 195-216). Scientific Software International Inc. </w:t>
      </w:r>
    </w:p>
    <w:p w14:paraId="0466C037" w14:textId="77777777" w:rsidR="00D63173" w:rsidRPr="00F971DC" w:rsidRDefault="00D63173" w:rsidP="00D63173">
      <w:pPr>
        <w:rPr>
          <w:rFonts w:ascii="Times New Roman" w:hAnsi="Times New Roman" w:cs="Times New Roman"/>
          <w:sz w:val="24"/>
          <w:szCs w:val="24"/>
        </w:rPr>
      </w:pPr>
    </w:p>
    <w:p w14:paraId="74E8A3D1" w14:textId="4A051FB3" w:rsidR="00D63173" w:rsidRPr="00F971DC" w:rsidRDefault="008C5DA4" w:rsidP="00D63173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>There is an online c</w:t>
      </w:r>
      <w:r w:rsidR="00D63173" w:rsidRPr="00F971DC">
        <w:rPr>
          <w:rFonts w:ascii="Times New Roman" w:hAnsi="Times New Roman" w:cs="Times New Roman"/>
          <w:sz w:val="24"/>
          <w:szCs w:val="24"/>
        </w:rPr>
        <w:t>alculator</w:t>
      </w:r>
      <w:r w:rsidR="002C7D1A" w:rsidRPr="00F971DC">
        <w:rPr>
          <w:rFonts w:ascii="Times New Roman" w:hAnsi="Times New Roman" w:cs="Times New Roman"/>
          <w:sz w:val="24"/>
          <w:szCs w:val="24"/>
        </w:rPr>
        <w:t>.</w:t>
      </w:r>
    </w:p>
    <w:p w14:paraId="1BE17EB7" w14:textId="77777777" w:rsidR="00D63173" w:rsidRPr="00F971DC" w:rsidRDefault="00D63173" w:rsidP="00D63173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  <w:lang w:eastAsia="en-NZ"/>
        </w:rPr>
      </w:pP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Hammer, J. H. (2016, October). </w:t>
      </w:r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Construct Replicability Calculator: A Microsoft Excel-based tool to calculate the Hancock and Mueller (2001) H index</w:t>
      </w:r>
      <w:r w:rsidRPr="00F971DC">
        <w:rPr>
          <w:rFonts w:ascii="Times New Roman" w:hAnsi="Times New Roman" w:cs="Times New Roman"/>
          <w:sz w:val="24"/>
          <w:szCs w:val="24"/>
          <w:lang w:eastAsia="en-NZ"/>
        </w:rPr>
        <w:t>.</w:t>
      </w:r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</w:t>
      </w: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In [calculator]. </w:t>
      </w:r>
      <w:hyperlink r:id="rId15" w:history="1">
        <w:r w:rsidRPr="00F971DC">
          <w:rPr>
            <w:rStyle w:val="Hyperlink"/>
            <w:rFonts w:ascii="Times New Roman" w:hAnsi="Times New Roman" w:cs="Times New Roman"/>
            <w:sz w:val="24"/>
            <w:szCs w:val="24"/>
            <w:lang w:eastAsia="en-NZ"/>
          </w:rPr>
          <w:t>http://drjosephhammer.com/wp-content/uploads/2016/10/Construct-Replicability-H-index-Calculator.xlsx</w:t>
        </w:r>
      </w:hyperlink>
    </w:p>
    <w:p w14:paraId="40701F15" w14:textId="77777777" w:rsidR="002C7D1A" w:rsidRPr="00F971DC" w:rsidRDefault="002C7D1A" w:rsidP="002C7D1A">
      <w:pPr>
        <w:rPr>
          <w:rFonts w:ascii="Times New Roman" w:hAnsi="Times New Roman" w:cs="Times New Roman"/>
          <w:sz w:val="24"/>
          <w:szCs w:val="24"/>
        </w:rPr>
      </w:pPr>
    </w:p>
    <w:p w14:paraId="419DED05" w14:textId="7CA77CEA" w:rsidR="002C7D1A" w:rsidRPr="00F971DC" w:rsidRDefault="002C7D1A" w:rsidP="002C7D1A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>B</w:t>
      </w:r>
      <w:r w:rsidRPr="00F971DC">
        <w:rPr>
          <w:rFonts w:ascii="Times New Roman" w:hAnsi="Times New Roman" w:cs="Times New Roman"/>
          <w:sz w:val="24"/>
          <w:szCs w:val="24"/>
        </w:rPr>
        <w:t>ut the protocol is straightforward and can be done easily in Excel. Create a column for each of the 6 steps and insert the correct formula to automatically calculate H.</w:t>
      </w:r>
    </w:p>
    <w:p w14:paraId="5C7A250F" w14:textId="180B3F87" w:rsidR="00D63173" w:rsidRPr="00F971DC" w:rsidRDefault="00D63173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t>Enter the standardised loading value for each item (this is a beta regression weight)</w:t>
      </w:r>
    </w:p>
    <w:p w14:paraId="54EC9959" w14:textId="1D25D2BA" w:rsidR="00D63173" w:rsidRPr="00F971DC" w:rsidRDefault="005B6C39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Square that value to get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proportion variance (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) explained by that loading (closer to 1 is best)</w:t>
      </w:r>
    </w:p>
    <w:p w14:paraId="13C3D090" w14:textId="1584FCF5" w:rsidR="00D63173" w:rsidRPr="00F971DC" w:rsidRDefault="00291713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Calculate the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ratio of variance divided by 1 minus that variance (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/1-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971DC">
        <w:rPr>
          <w:rFonts w:ascii="Times New Roman" w:eastAsia="Times New Roman" w:hAnsi="Times New Roman" w:cs="Times New Roman"/>
          <w:sz w:val="24"/>
          <w:szCs w:val="24"/>
        </w:rPr>
        <w:t>bigger than 1 is good</w:t>
      </w:r>
    </w:p>
    <w:p w14:paraId="5A24E6FF" w14:textId="763F818E" w:rsidR="00D63173" w:rsidRPr="00F971DC" w:rsidRDefault="00291713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 xml:space="preserve">um the ratios </w:t>
      </w: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you just calculated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(Σ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BEB7CD" w14:textId="1B5FAB13" w:rsidR="00D63173" w:rsidRPr="00F971DC" w:rsidRDefault="00291713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Add 1 to the sum of ratios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(Σ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+1) (</w:t>
      </w:r>
      <w:r w:rsidRPr="00F971DC">
        <w:rPr>
          <w:rFonts w:ascii="Times New Roman" w:eastAsia="Times New Roman" w:hAnsi="Times New Roman" w:cs="Times New Roman"/>
          <w:sz w:val="24"/>
          <w:szCs w:val="24"/>
        </w:rPr>
        <w:t xml:space="preserve">Note that if the sum is large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then adding 1 doesn’t change it much)</w:t>
      </w:r>
    </w:p>
    <w:p w14:paraId="339E1448" w14:textId="1BBF5E51" w:rsidR="00D63173" w:rsidRPr="00F971DC" w:rsidRDefault="00247E6F" w:rsidP="00D631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971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Divide the sum by the sum plus 1 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(Σ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/(Σ</w:t>
      </w:r>
      <w:r w:rsidR="00D63173" w:rsidRPr="00F971DC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3173" w:rsidRPr="00F971DC">
        <w:rPr>
          <w:rFonts w:ascii="Times New Roman" w:eastAsia="Times New Roman" w:hAnsi="Times New Roman" w:cs="Times New Roman"/>
          <w:sz w:val="24"/>
          <w:szCs w:val="24"/>
        </w:rPr>
        <w:t>+1) (closer to 1 is best)</w:t>
      </w:r>
    </w:p>
    <w:p w14:paraId="527CDBB5" w14:textId="77777777" w:rsidR="00D63173" w:rsidRPr="00F971DC" w:rsidRDefault="00D63173" w:rsidP="00D63173">
      <w:pPr>
        <w:rPr>
          <w:rFonts w:ascii="Times New Roman" w:hAnsi="Times New Roman" w:cs="Times New Roman"/>
          <w:sz w:val="24"/>
          <w:szCs w:val="24"/>
        </w:rPr>
      </w:pPr>
    </w:p>
    <w:p w14:paraId="1B058885" w14:textId="77777777" w:rsidR="00D63173" w:rsidRPr="00F971DC" w:rsidRDefault="00D63173" w:rsidP="00D63173">
      <w:pPr>
        <w:rPr>
          <w:rFonts w:ascii="Times New Roman" w:hAnsi="Times New Roman" w:cs="Times New Roman"/>
          <w:sz w:val="24"/>
          <w:szCs w:val="24"/>
        </w:rPr>
      </w:pPr>
      <w:r w:rsidRPr="00F971DC">
        <w:rPr>
          <w:rFonts w:ascii="Times New Roman" w:hAnsi="Times New Roman" w:cs="Times New Roman"/>
          <w:sz w:val="24"/>
          <w:szCs w:val="24"/>
        </w:rPr>
        <w:t xml:space="preserve">Conceptually this is equivalent to Cohen’s 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71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71DC">
        <w:rPr>
          <w:rFonts w:ascii="Times New Roman" w:hAnsi="Times New Roman" w:cs="Times New Roman"/>
          <w:sz w:val="24"/>
          <w:szCs w:val="24"/>
        </w:rPr>
        <w:t xml:space="preserve"> statistic which is how he converted variance explained (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971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71DC">
        <w:rPr>
          <w:rFonts w:ascii="Times New Roman" w:hAnsi="Times New Roman" w:cs="Times New Roman"/>
          <w:sz w:val="24"/>
          <w:szCs w:val="24"/>
        </w:rPr>
        <w:t>) into an effect size (</w:t>
      </w:r>
      <w:r w:rsidRPr="00F971D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71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71DC">
        <w:rPr>
          <w:rFonts w:ascii="Times New Roman" w:hAnsi="Times New Roman" w:cs="Times New Roman"/>
          <w:sz w:val="24"/>
          <w:szCs w:val="24"/>
        </w:rPr>
        <w:t>)</w:t>
      </w:r>
    </w:p>
    <w:p w14:paraId="3E532105" w14:textId="77777777" w:rsidR="00D63173" w:rsidRPr="00F971DC" w:rsidRDefault="00D63173" w:rsidP="00D63173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  <w:lang w:eastAsia="en-NZ"/>
        </w:rPr>
      </w:pP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Cohen, J. (1992). A power primer. </w:t>
      </w:r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Psychological Bulletin</w:t>
      </w:r>
      <w:r w:rsidRPr="00F971DC">
        <w:rPr>
          <w:rFonts w:ascii="Times New Roman" w:hAnsi="Times New Roman" w:cs="Times New Roman"/>
          <w:sz w:val="24"/>
          <w:szCs w:val="24"/>
          <w:lang w:eastAsia="en-NZ"/>
        </w:rPr>
        <w:t>,</w:t>
      </w:r>
      <w:r w:rsidRPr="00F971DC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 xml:space="preserve"> 112</w:t>
      </w:r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(1), 155-159. </w:t>
      </w:r>
      <w:hyperlink r:id="rId16" w:history="1">
        <w:r w:rsidRPr="00F971DC">
          <w:rPr>
            <w:rStyle w:val="Hyperlink"/>
            <w:rFonts w:ascii="Times New Roman" w:hAnsi="Times New Roman" w:cs="Times New Roman"/>
            <w:sz w:val="24"/>
            <w:szCs w:val="24"/>
            <w:lang w:eastAsia="en-NZ"/>
          </w:rPr>
          <w:t>https://doi.org/10.1037//0033-2909.112.1.155</w:t>
        </w:r>
      </w:hyperlink>
      <w:r w:rsidRPr="00F971DC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1A587177" w14:textId="77777777" w:rsidR="00906369" w:rsidRDefault="00906369">
      <w:pPr>
        <w:rPr>
          <w:rFonts w:ascii="Times New Roman" w:hAnsi="Times New Roman" w:cs="Times New Roman"/>
          <w:sz w:val="24"/>
          <w:szCs w:val="24"/>
        </w:rPr>
      </w:pPr>
    </w:p>
    <w:p w14:paraId="6438264C" w14:textId="7CD31B93" w:rsidR="004817CF" w:rsidRDefault="00481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combinations give .80 or higher?</w:t>
      </w:r>
      <w:r w:rsidR="00BC3343">
        <w:rPr>
          <w:rFonts w:ascii="Times New Roman" w:hAnsi="Times New Roman" w:cs="Times New Roman"/>
          <w:sz w:val="24"/>
          <w:szCs w:val="24"/>
        </w:rPr>
        <w:t xml:space="preserve"> Clearly the fewer items, the stronger loading each item </w:t>
      </w:r>
      <w:proofErr w:type="gramStart"/>
      <w:r w:rsidR="00BC3343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C3343">
        <w:rPr>
          <w:rFonts w:ascii="Times New Roman" w:hAnsi="Times New Roman" w:cs="Times New Roman"/>
          <w:sz w:val="24"/>
          <w:szCs w:val="24"/>
        </w:rPr>
        <w:t xml:space="preserve"> have. They don’t all need to be the same; just the combination </w:t>
      </w:r>
      <w:proofErr w:type="gramStart"/>
      <w:r w:rsidR="00BC3343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C3343">
        <w:rPr>
          <w:rFonts w:ascii="Times New Roman" w:hAnsi="Times New Roman" w:cs="Times New Roman"/>
          <w:sz w:val="24"/>
          <w:szCs w:val="24"/>
        </w:rPr>
        <w:t xml:space="preserve"> produce the relevant average.</w:t>
      </w:r>
      <w:r w:rsidR="00DB78C4">
        <w:rPr>
          <w:rFonts w:ascii="Times New Roman" w:hAnsi="Times New Roman" w:cs="Times New Roman"/>
          <w:sz w:val="24"/>
          <w:szCs w:val="24"/>
        </w:rPr>
        <w:t xml:space="preserve"> But standardised loadings less than .50 are unlikely to generate a robust Coefficient H.</w:t>
      </w:r>
    </w:p>
    <w:p w14:paraId="54565E28" w14:textId="77777777" w:rsidR="00BC3343" w:rsidRDefault="00BC3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225"/>
        <w:gridCol w:w="1529"/>
      </w:tblGrid>
      <w:tr w:rsidR="006F03BA" w14:paraId="008F97E8" w14:textId="77777777" w:rsidTr="00DB78C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3957A4" w14:textId="0179071A" w:rsidR="006F03BA" w:rsidRDefault="006F03BA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BC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gramEnd"/>
            <w:r w:rsidR="00BC3343">
              <w:rPr>
                <w:rFonts w:ascii="Times New Roman" w:hAnsi="Times New Roman" w:cs="Times New Roman"/>
                <w:sz w:val="24"/>
                <w:szCs w:val="24"/>
              </w:rPr>
              <w:t xml:space="preserve"> in factor 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E4342D" w14:textId="17E33EA7" w:rsidR="006F03BA" w:rsidRDefault="00C0606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6F03BA">
              <w:rPr>
                <w:rFonts w:ascii="Times New Roman" w:hAnsi="Times New Roman" w:cs="Times New Roman"/>
                <w:sz w:val="24"/>
                <w:szCs w:val="24"/>
              </w:rPr>
              <w:t>Loading</w:t>
            </w:r>
            <w:r w:rsidR="00BC33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78C4">
              <w:rPr>
                <w:rFonts w:ascii="Times New Roman" w:hAnsi="Times New Roman" w:cs="Times New Roman"/>
                <w:sz w:val="24"/>
                <w:szCs w:val="24"/>
              </w:rPr>
              <w:t>λ)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B27717" w14:textId="16DD7C9B" w:rsidR="006F03BA" w:rsidRDefault="00DB78C4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Coefficient </w:t>
            </w:r>
            <w:r w:rsidR="006F03B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12DBC" w14:paraId="4A755F64" w14:textId="77777777" w:rsidTr="00DB78C4">
        <w:tc>
          <w:tcPr>
            <w:tcW w:w="0" w:type="auto"/>
            <w:tcBorders>
              <w:top w:val="single" w:sz="4" w:space="0" w:color="auto"/>
            </w:tcBorders>
          </w:tcPr>
          <w:p w14:paraId="4F586792" w14:textId="13D96D8D" w:rsidR="00C12DBC" w:rsidRDefault="00C12DBC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8A249C" w14:textId="4DF02C5D" w:rsidR="00C12DBC" w:rsidRDefault="00C12DBC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B1C9D" w14:textId="649F497A" w:rsidR="00C12DBC" w:rsidRDefault="00C12DBC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2618A9" w14:paraId="184CB040" w14:textId="77777777" w:rsidTr="00DB78C4">
        <w:tc>
          <w:tcPr>
            <w:tcW w:w="0" w:type="auto"/>
          </w:tcPr>
          <w:p w14:paraId="7D7ED225" w14:textId="51123EC5" w:rsidR="002618A9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550C96F" w14:textId="5BF86701" w:rsidR="002618A9" w:rsidRDefault="00036B37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</w:tcPr>
          <w:p w14:paraId="074C61B2" w14:textId="2D78239F" w:rsidR="002618A9" w:rsidRDefault="00036B37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6F03BA" w14:paraId="4BFBA3F4" w14:textId="77777777" w:rsidTr="00DB78C4">
        <w:tc>
          <w:tcPr>
            <w:tcW w:w="0" w:type="auto"/>
          </w:tcPr>
          <w:p w14:paraId="1FC35E00" w14:textId="7A99E544" w:rsidR="006F03BA" w:rsidRDefault="006F03BA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F9DAC1" w14:textId="5E332CAE" w:rsidR="006F03BA" w:rsidRDefault="006F03BA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4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2049D84C" w14:textId="515DC5A5" w:rsidR="006F03BA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E0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8A9" w14:paraId="1CAC2AAA" w14:textId="77777777" w:rsidTr="00DB78C4">
        <w:tc>
          <w:tcPr>
            <w:tcW w:w="0" w:type="auto"/>
          </w:tcPr>
          <w:p w14:paraId="01B8B059" w14:textId="13ED6A24" w:rsidR="002618A9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5520499" w14:textId="1CF9F8ED" w:rsidR="002618A9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193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6873940" w14:textId="7A2F14EC" w:rsidR="002618A9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193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8A9" w14:paraId="75F4BF90" w14:textId="77777777" w:rsidTr="00DB78C4">
        <w:tc>
          <w:tcPr>
            <w:tcW w:w="0" w:type="auto"/>
          </w:tcPr>
          <w:p w14:paraId="4F774824" w14:textId="43FEFC42" w:rsidR="002618A9" w:rsidRDefault="002618A9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E1777ED" w14:textId="4C86F85D" w:rsidR="002618A9" w:rsidRDefault="00570B23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0" w:type="auto"/>
          </w:tcPr>
          <w:p w14:paraId="556099AF" w14:textId="31C855F7" w:rsidR="002618A9" w:rsidRDefault="00570B23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BE221D" w14:paraId="6383C9C6" w14:textId="77777777" w:rsidTr="00DB78C4">
        <w:tc>
          <w:tcPr>
            <w:tcW w:w="0" w:type="auto"/>
          </w:tcPr>
          <w:p w14:paraId="1ADB5FFA" w14:textId="51E09196" w:rsidR="00BE221D" w:rsidRDefault="00BE221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CFDC053" w14:textId="24795BE7" w:rsidR="00BE221D" w:rsidRDefault="00BE221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0" w:type="auto"/>
          </w:tcPr>
          <w:p w14:paraId="5DC82D6E" w14:textId="386E2F09" w:rsidR="00BE221D" w:rsidRDefault="007B69E5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7B69E5" w14:paraId="0CCA3664" w14:textId="77777777" w:rsidTr="00DB78C4">
        <w:tc>
          <w:tcPr>
            <w:tcW w:w="0" w:type="auto"/>
          </w:tcPr>
          <w:p w14:paraId="0F75D8A3" w14:textId="56B88C3A" w:rsidR="007B69E5" w:rsidRDefault="007B69E5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704AAD3" w14:textId="71946ED3" w:rsidR="007B69E5" w:rsidRDefault="00D54018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0" w:type="auto"/>
          </w:tcPr>
          <w:p w14:paraId="491A30AD" w14:textId="37E08760" w:rsidR="007B69E5" w:rsidRDefault="00D54018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D54018" w14:paraId="4E28AC24" w14:textId="77777777" w:rsidTr="00DB78C4">
        <w:tc>
          <w:tcPr>
            <w:tcW w:w="0" w:type="auto"/>
          </w:tcPr>
          <w:p w14:paraId="038E4925" w14:textId="3E6EFF1E" w:rsidR="00D54018" w:rsidRDefault="00D55162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498D11C" w14:textId="7ADE1A55" w:rsidR="00D54018" w:rsidRDefault="00D55162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0" w:type="auto"/>
          </w:tcPr>
          <w:p w14:paraId="759AC947" w14:textId="0204F1A0" w:rsidR="00D54018" w:rsidRDefault="00D55162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C0606D" w14:paraId="61D1C0CB" w14:textId="77777777" w:rsidTr="00DB78C4">
        <w:tc>
          <w:tcPr>
            <w:tcW w:w="0" w:type="auto"/>
          </w:tcPr>
          <w:p w14:paraId="213C1405" w14:textId="51661C2F" w:rsidR="00C0606D" w:rsidRDefault="00C0606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8D8BD70" w14:textId="77CCBF40" w:rsidR="00C0606D" w:rsidRDefault="00C0606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0" w:type="auto"/>
          </w:tcPr>
          <w:p w14:paraId="4DE83F50" w14:textId="43800BF9" w:rsidR="00C0606D" w:rsidRDefault="00C0606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C0606D" w14:paraId="7B2CCE31" w14:textId="77777777" w:rsidTr="00DB78C4">
        <w:tc>
          <w:tcPr>
            <w:tcW w:w="0" w:type="auto"/>
          </w:tcPr>
          <w:p w14:paraId="470866D7" w14:textId="73F28074" w:rsidR="00C0606D" w:rsidRDefault="00C0606D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85E23D8" w14:textId="0A7DA421" w:rsidR="00C0606D" w:rsidRDefault="007E2C70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0" w:type="auto"/>
          </w:tcPr>
          <w:p w14:paraId="3E91D1DD" w14:textId="657AD8F1" w:rsidR="00C0606D" w:rsidRDefault="007E2C70" w:rsidP="00DB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</w:tbl>
    <w:p w14:paraId="3F4EC367" w14:textId="77777777" w:rsidR="004817CF" w:rsidRPr="00F971DC" w:rsidRDefault="004817CF">
      <w:pPr>
        <w:rPr>
          <w:rFonts w:ascii="Times New Roman" w:hAnsi="Times New Roman" w:cs="Times New Roman"/>
          <w:sz w:val="24"/>
          <w:szCs w:val="24"/>
        </w:rPr>
      </w:pPr>
    </w:p>
    <w:sectPr w:rsidR="004817CF" w:rsidRPr="00F9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31FA"/>
    <w:multiLevelType w:val="hybridMultilevel"/>
    <w:tmpl w:val="17987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046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73"/>
    <w:rsid w:val="00036B37"/>
    <w:rsid w:val="00097A79"/>
    <w:rsid w:val="00104309"/>
    <w:rsid w:val="00183BB2"/>
    <w:rsid w:val="00184114"/>
    <w:rsid w:val="00193F65"/>
    <w:rsid w:val="001F05CB"/>
    <w:rsid w:val="001F6863"/>
    <w:rsid w:val="00235118"/>
    <w:rsid w:val="00247E6F"/>
    <w:rsid w:val="002618A9"/>
    <w:rsid w:val="00274814"/>
    <w:rsid w:val="00276D57"/>
    <w:rsid w:val="00291713"/>
    <w:rsid w:val="002C7D1A"/>
    <w:rsid w:val="00301D48"/>
    <w:rsid w:val="003A1AA7"/>
    <w:rsid w:val="003F18B0"/>
    <w:rsid w:val="004817CF"/>
    <w:rsid w:val="004B07B1"/>
    <w:rsid w:val="00533695"/>
    <w:rsid w:val="00570B23"/>
    <w:rsid w:val="005B6C39"/>
    <w:rsid w:val="005E6488"/>
    <w:rsid w:val="00601B68"/>
    <w:rsid w:val="00642E68"/>
    <w:rsid w:val="006619DB"/>
    <w:rsid w:val="006F03BA"/>
    <w:rsid w:val="006F07BE"/>
    <w:rsid w:val="006F2DA4"/>
    <w:rsid w:val="006F7078"/>
    <w:rsid w:val="0070537A"/>
    <w:rsid w:val="00730F6D"/>
    <w:rsid w:val="00794088"/>
    <w:rsid w:val="007B69E5"/>
    <w:rsid w:val="007D409A"/>
    <w:rsid w:val="007E2C70"/>
    <w:rsid w:val="007F6FAA"/>
    <w:rsid w:val="00823257"/>
    <w:rsid w:val="008C5DA4"/>
    <w:rsid w:val="008D3459"/>
    <w:rsid w:val="00906369"/>
    <w:rsid w:val="00923EE1"/>
    <w:rsid w:val="00952D8A"/>
    <w:rsid w:val="0099244B"/>
    <w:rsid w:val="009F2E99"/>
    <w:rsid w:val="00AB53FA"/>
    <w:rsid w:val="00B61193"/>
    <w:rsid w:val="00BC3343"/>
    <w:rsid w:val="00BE221D"/>
    <w:rsid w:val="00C0606D"/>
    <w:rsid w:val="00C12DBC"/>
    <w:rsid w:val="00C968E1"/>
    <w:rsid w:val="00CD100E"/>
    <w:rsid w:val="00CF4793"/>
    <w:rsid w:val="00D54018"/>
    <w:rsid w:val="00D55162"/>
    <w:rsid w:val="00D63173"/>
    <w:rsid w:val="00D65C4D"/>
    <w:rsid w:val="00D72144"/>
    <w:rsid w:val="00DB78C4"/>
    <w:rsid w:val="00E02442"/>
    <w:rsid w:val="00EA03CF"/>
    <w:rsid w:val="00F971DC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03FF"/>
  <w15:chartTrackingRefBased/>
  <w15:docId w15:val="{B5150EB7-84B8-4B55-910D-8A8C1779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1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317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F07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0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1316447703700403" TargetMode="External"/><Relationship Id="rId13" Type="http://schemas.openxmlformats.org/officeDocument/2006/relationships/hyperlink" Target="https://doi.org/10.1007/s40299-013-0075-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bjop.12046" TargetMode="External"/><Relationship Id="rId12" Type="http://schemas.openxmlformats.org/officeDocument/2006/relationships/hyperlink" Target="https://doi.org/10.1007/S11336-008-9101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37/0033-2909.112.1.1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77/001316446402400101" TargetMode="External"/><Relationship Id="rId11" Type="http://schemas.openxmlformats.org/officeDocument/2006/relationships/hyperlink" Target="https://doi.org/10.1007/s11336-008-9102-z" TargetMode="External"/><Relationship Id="rId5" Type="http://schemas.openxmlformats.org/officeDocument/2006/relationships/hyperlink" Target="mailto:gt.brown@auckland.ac.nz" TargetMode="External"/><Relationship Id="rId15" Type="http://schemas.openxmlformats.org/officeDocument/2006/relationships/hyperlink" Target="http://drjosephhammer.com/wp-content/uploads/2016/10/Construct-Replicability-H-index-Calculator.xlsx" TargetMode="External"/><Relationship Id="rId10" Type="http://schemas.openxmlformats.org/officeDocument/2006/relationships/hyperlink" Target="https://doi.org/10.1037/met00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336-008-9098-4" TargetMode="External"/><Relationship Id="rId14" Type="http://schemas.openxmlformats.org/officeDocument/2006/relationships/hyperlink" Target="https://doi.org/10.1007/s11336-003-0974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60</cp:revision>
  <dcterms:created xsi:type="dcterms:W3CDTF">2023-05-05T02:32:00Z</dcterms:created>
  <dcterms:modified xsi:type="dcterms:W3CDTF">2023-05-05T03:50:00Z</dcterms:modified>
</cp:coreProperties>
</file>