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353D7" w14:textId="77777777" w:rsidR="00F5735C" w:rsidRPr="008A1266" w:rsidRDefault="00F5735C" w:rsidP="00F5735C">
      <w:pPr>
        <w:pStyle w:val="NormalWeb"/>
        <w:spacing w:line="480" w:lineRule="auto"/>
        <w:jc w:val="both"/>
        <w:rPr>
          <w:b/>
          <w:bCs/>
        </w:rPr>
      </w:pPr>
      <w:r w:rsidRPr="008A1266">
        <w:rPr>
          <w:b/>
          <w:bCs/>
        </w:rPr>
        <w:t>Apoptosis Assay</w:t>
      </w:r>
    </w:p>
    <w:p w14:paraId="23E42D42" w14:textId="77777777" w:rsidR="00F5735C" w:rsidRPr="009A472E" w:rsidRDefault="00F5735C" w:rsidP="00F5735C">
      <w:pPr>
        <w:pStyle w:val="NormalWeb"/>
        <w:spacing w:line="480" w:lineRule="auto"/>
        <w:jc w:val="both"/>
      </w:pPr>
      <w:r w:rsidRPr="009A472E">
        <w:t xml:space="preserve">The </w:t>
      </w:r>
      <w:proofErr w:type="spellStart"/>
      <w:r w:rsidRPr="009A472E">
        <w:t>ApoTag</w:t>
      </w:r>
      <w:proofErr w:type="spellEnd"/>
      <w:r w:rsidRPr="009A472E">
        <w:t xml:space="preserve"> Plus Fluorescein </w:t>
      </w:r>
      <w:proofErr w:type="gramStart"/>
      <w:r w:rsidRPr="009A472E">
        <w:t>In</w:t>
      </w:r>
      <w:proofErr w:type="gramEnd"/>
      <w:r w:rsidRPr="009A472E">
        <w:t xml:space="preserve"> Situ Detection Kit (Millipore) was used to detect apoptosis following the manufacturer’s instructions. Briefly, paraffin sections were deparaffinized at 65°C for 30 minutes, then incubated in two changes of xylene (10 minutes each). Sections were washed twice with 1x PBS for 5 minutes. Equilibration buffer (75 ml) was added immediately for 10 seconds, followed by 55 ml working strength terminal deoxynucleotidyl transferase enzyme, and incubated for 1 hour at 37°C. Working strength stop/wash buffer was added and incubated for 10 minutes at RT. Sections were washed three times before applying anti- digoxigenin conjugate and incubating for 30 minutes in the dark at RT. Sections were washed four times and Hoechst 33258 was added for 15 minutes before mounting with </w:t>
      </w:r>
      <w:proofErr w:type="spellStart"/>
      <w:r w:rsidRPr="009A472E">
        <w:t>ProLong</w:t>
      </w:r>
      <w:proofErr w:type="spellEnd"/>
      <w:r w:rsidRPr="009A472E">
        <w:t xml:space="preserve"> Gold and adding coverslips. Images were taken using a Zeiss LSM710 confocal microscope. </w:t>
      </w:r>
    </w:p>
    <w:p w14:paraId="03A901C4" w14:textId="77777777" w:rsidR="00F5735C" w:rsidRDefault="00F5735C" w:rsidP="00F5735C">
      <w:pPr>
        <w:autoSpaceDE w:val="0"/>
        <w:autoSpaceDN w:val="0"/>
        <w:adjustRightInd w:val="0"/>
        <w:spacing w:line="480" w:lineRule="auto"/>
        <w:jc w:val="both"/>
        <w:rPr>
          <w:b/>
          <w:bCs/>
        </w:rPr>
      </w:pPr>
    </w:p>
    <w:p w14:paraId="05B565F1" w14:textId="77777777" w:rsidR="00F5735C" w:rsidRPr="00FE3352" w:rsidRDefault="00F5735C" w:rsidP="00F5735C">
      <w:pPr>
        <w:autoSpaceDE w:val="0"/>
        <w:autoSpaceDN w:val="0"/>
        <w:adjustRightInd w:val="0"/>
        <w:spacing w:line="480" w:lineRule="auto"/>
        <w:jc w:val="both"/>
        <w:rPr>
          <w:b/>
          <w:bCs/>
        </w:rPr>
      </w:pPr>
      <w:r w:rsidRPr="00FE3352">
        <w:rPr>
          <w:b/>
          <w:bCs/>
        </w:rPr>
        <w:t>Image analysis of macrophages</w:t>
      </w:r>
      <w:r>
        <w:rPr>
          <w:b/>
          <w:bCs/>
        </w:rPr>
        <w:t xml:space="preserve"> and apoptosis</w:t>
      </w:r>
    </w:p>
    <w:p w14:paraId="1B1488B3" w14:textId="77777777" w:rsidR="00F5735C" w:rsidRPr="0094086C" w:rsidRDefault="00F5735C" w:rsidP="00F5735C">
      <w:pPr>
        <w:autoSpaceDE w:val="0"/>
        <w:autoSpaceDN w:val="0"/>
        <w:adjustRightInd w:val="0"/>
        <w:spacing w:line="480" w:lineRule="auto"/>
        <w:jc w:val="both"/>
      </w:pPr>
      <w:r w:rsidRPr="000B1C09">
        <w:t xml:space="preserve">CD68 and CD206 </w:t>
      </w:r>
      <w:r w:rsidRPr="006478A0">
        <w:t xml:space="preserve">confocal </w:t>
      </w:r>
      <w:r w:rsidRPr="0001339A">
        <w:t>raw</w:t>
      </w:r>
      <w:r w:rsidRPr="00F04975">
        <w:t xml:space="preserve"> images</w:t>
      </w:r>
      <w:r w:rsidRPr="00E9153D">
        <w:t xml:space="preserve"> </w:t>
      </w:r>
      <w:r w:rsidRPr="00FE3352">
        <w:rPr>
          <w:rFonts w:eastAsiaTheme="minorHAnsi"/>
          <w:lang w:val="en-GB"/>
        </w:rPr>
        <w:t xml:space="preserve">at 20x magnification (approximately 10 random fields per condition) were </w:t>
      </w:r>
      <w:r w:rsidRPr="000B1C09">
        <w:rPr>
          <w:rFonts w:eastAsiaTheme="minorHAnsi"/>
          <w:lang w:val="en-GB"/>
        </w:rPr>
        <w:t>analysed</w:t>
      </w:r>
      <w:r w:rsidRPr="00FE3352">
        <w:rPr>
          <w:rFonts w:eastAsiaTheme="minorHAnsi"/>
          <w:lang w:val="en-GB"/>
        </w:rPr>
        <w:t xml:space="preserve"> using ImageJ</w:t>
      </w:r>
      <w:r>
        <w:rPr>
          <w:rFonts w:eastAsiaTheme="minorHAnsi"/>
          <w:lang w:val="en-GB"/>
        </w:rPr>
        <w:t xml:space="preserve"> software</w:t>
      </w:r>
      <w:r w:rsidRPr="00FE3352">
        <w:rPr>
          <w:rFonts w:eastAsiaTheme="minorHAnsi"/>
          <w:lang w:val="en-GB"/>
        </w:rPr>
        <w:t xml:space="preserve">. The area of staining of nuclei, green and red </w:t>
      </w:r>
      <w:r>
        <w:rPr>
          <w:rFonts w:eastAsiaTheme="minorHAnsi"/>
          <w:lang w:val="en-GB"/>
        </w:rPr>
        <w:t xml:space="preserve">positive </w:t>
      </w:r>
      <w:r w:rsidRPr="00FE3352">
        <w:rPr>
          <w:rFonts w:eastAsiaTheme="minorHAnsi"/>
          <w:lang w:val="en-GB"/>
        </w:rPr>
        <w:t>cells (</w:t>
      </w:r>
      <w:r>
        <w:rPr>
          <w:rFonts w:eastAsiaTheme="minorHAnsi"/>
          <w:lang w:val="en-GB"/>
        </w:rPr>
        <w:t>CD68</w:t>
      </w:r>
      <w:r w:rsidRPr="00FE3352">
        <w:rPr>
          <w:rFonts w:eastAsiaTheme="minorHAnsi"/>
          <w:lang w:val="en-GB"/>
        </w:rPr>
        <w:t xml:space="preserve"> and </w:t>
      </w:r>
      <w:r>
        <w:rPr>
          <w:rFonts w:eastAsiaTheme="minorHAnsi"/>
          <w:lang w:val="en-GB"/>
        </w:rPr>
        <w:t>CD</w:t>
      </w:r>
      <w:r w:rsidRPr="00FE3352">
        <w:rPr>
          <w:rFonts w:eastAsiaTheme="minorHAnsi"/>
          <w:lang w:val="en-GB"/>
        </w:rPr>
        <w:t xml:space="preserve">206 respectively) were </w:t>
      </w:r>
      <w:r>
        <w:rPr>
          <w:rFonts w:eastAsiaTheme="minorHAnsi"/>
          <w:lang w:val="en-GB"/>
        </w:rPr>
        <w:t>individually quantified</w:t>
      </w:r>
      <w:r w:rsidRPr="00FE3352">
        <w:rPr>
          <w:rFonts w:eastAsiaTheme="minorHAnsi"/>
          <w:lang w:val="en-GB"/>
        </w:rPr>
        <w:t xml:space="preserve"> using the ImageJ </w:t>
      </w:r>
      <w:r>
        <w:rPr>
          <w:rFonts w:eastAsiaTheme="minorHAnsi"/>
          <w:lang w:val="en-GB"/>
        </w:rPr>
        <w:t xml:space="preserve">analysis </w:t>
      </w:r>
      <w:r w:rsidRPr="00FE3352">
        <w:rPr>
          <w:rFonts w:eastAsiaTheme="minorHAnsi"/>
          <w:lang w:val="en-GB"/>
        </w:rPr>
        <w:t xml:space="preserve">tool and the percentage of </w:t>
      </w:r>
      <w:r>
        <w:rPr>
          <w:rFonts w:eastAsiaTheme="minorHAnsi"/>
          <w:lang w:val="en-GB"/>
        </w:rPr>
        <w:t>green or red staining</w:t>
      </w:r>
      <w:r w:rsidRPr="00FE3352">
        <w:rPr>
          <w:rFonts w:eastAsiaTheme="minorHAnsi"/>
          <w:lang w:val="en-GB"/>
        </w:rPr>
        <w:t xml:space="preserve"> per cell was</w:t>
      </w:r>
      <w:r>
        <w:rPr>
          <w:rFonts w:eastAsiaTheme="minorHAnsi"/>
          <w:lang w:val="en-GB"/>
        </w:rPr>
        <w:t xml:space="preserve"> </w:t>
      </w:r>
      <w:r w:rsidRPr="00FE3352">
        <w:rPr>
          <w:rFonts w:eastAsiaTheme="minorHAnsi"/>
          <w:lang w:val="en-GB"/>
        </w:rPr>
        <w:t>calculated for each condition.</w:t>
      </w:r>
      <w:r>
        <w:rPr>
          <w:rFonts w:eastAsiaTheme="minorHAnsi"/>
          <w:lang w:val="en-GB"/>
        </w:rPr>
        <w:t xml:space="preserve"> </w:t>
      </w:r>
      <w:proofErr w:type="spellStart"/>
      <w:r w:rsidRPr="0094086C">
        <w:t>ApopTag</w:t>
      </w:r>
      <w:proofErr w:type="spellEnd"/>
      <w:r w:rsidRPr="0094086C">
        <w:t xml:space="preserve"> Plus–treated cells were viewed at 20</w:t>
      </w:r>
      <w:r>
        <w:t xml:space="preserve"> x</w:t>
      </w:r>
      <w:r w:rsidRPr="0094086C">
        <w:t xml:space="preserve"> magnification and images analysed using ImageJ. Nuclei and green puncta (apoptotic bodies) were manually counted using the ImageJ counting tool and the percentage of apoptotic bodies per cell was calculated for each condition. </w:t>
      </w:r>
    </w:p>
    <w:p w14:paraId="44318620" w14:textId="77777777" w:rsidR="00F5735C" w:rsidRDefault="00F5735C" w:rsidP="00ED17C3">
      <w:pPr>
        <w:spacing w:line="480" w:lineRule="auto"/>
        <w:rPr>
          <w:b/>
        </w:rPr>
      </w:pPr>
    </w:p>
    <w:p w14:paraId="29BE5E64" w14:textId="48AA3149" w:rsidR="00ED17C3" w:rsidRPr="00155EB9" w:rsidRDefault="00ED17C3" w:rsidP="00ED17C3">
      <w:pPr>
        <w:spacing w:line="480" w:lineRule="auto"/>
        <w:rPr>
          <w:b/>
        </w:rPr>
      </w:pPr>
      <w:r w:rsidRPr="00155EB9">
        <w:rPr>
          <w:b/>
        </w:rPr>
        <w:t>Microcomputed tomography (</w:t>
      </w:r>
      <w:proofErr w:type="spellStart"/>
      <w:r w:rsidRPr="00155EB9">
        <w:rPr>
          <w:b/>
        </w:rPr>
        <w:t>microCT</w:t>
      </w:r>
      <w:proofErr w:type="spellEnd"/>
      <w:r w:rsidRPr="00155EB9">
        <w:rPr>
          <w:b/>
        </w:rPr>
        <w:t>)</w:t>
      </w:r>
    </w:p>
    <w:p w14:paraId="0737DCB3" w14:textId="77777777" w:rsidR="00ED17C3" w:rsidRPr="00155EB9" w:rsidRDefault="00ED17C3" w:rsidP="00ED17C3">
      <w:pPr>
        <w:spacing w:line="480" w:lineRule="auto"/>
        <w:jc w:val="both"/>
      </w:pPr>
      <w:r w:rsidRPr="00155EB9">
        <w:lastRenderedPageBreak/>
        <w:t xml:space="preserve">Soft tissue was removed and tibiae were fixed in 70% ethanol at 4°C. The distal end of tibiae were scanned using a </w:t>
      </w:r>
      <w:proofErr w:type="spellStart"/>
      <w:r w:rsidRPr="00155EB9">
        <w:t>Skyscan</w:t>
      </w:r>
      <w:proofErr w:type="spellEnd"/>
      <w:r w:rsidRPr="00155EB9">
        <w:t xml:space="preserve"> 1172 </w:t>
      </w:r>
      <w:proofErr w:type="spellStart"/>
      <w:r w:rsidRPr="00155EB9">
        <w:t>microCT</w:t>
      </w:r>
      <w:proofErr w:type="spellEnd"/>
      <w:r w:rsidRPr="00155EB9">
        <w:t xml:space="preserve"> scanner (Bruker, Belgium) as previously described</w:t>
      </w:r>
      <w:r w:rsidRPr="005C5702">
        <w:fldChar w:fldCharType="begin"/>
      </w:r>
      <w:r w:rsidRPr="00155EB9">
        <w:instrText xml:space="preserve"> ADDIN EN.CITE &lt;EndNote&gt;&lt;Cite&gt;&lt;Author&gt;Naot&lt;/Author&gt;&lt;Year&gt;2016&lt;/Year&gt;&lt;RecNum&gt;1452&lt;/RecNum&gt;&lt;DisplayText&gt;(1)&lt;/DisplayText&gt;&lt;record&gt;&lt;rec-number&gt;1452&lt;/rec-number&gt;&lt;foreign-keys&gt;&lt;key app="EN" db-id="v0a0za9pwtzx5mevwxlp05rga005zf2wtdd5" timestamp="1581136263"&gt;1452&lt;/key&gt;&lt;/foreign-keys&gt;&lt;ref-type name="Journal Article"&gt;17&lt;/ref-type&gt;&lt;contributors&gt;&lt;authors&gt;&lt;author&gt;Naot, D&lt;/author&gt;&lt;author&gt;Watson, A J&lt;/author&gt;&lt;author&gt;Callon, K E&lt;/author&gt;&lt;author&gt;Tuari, D&lt;/author&gt;&lt;author&gt;Choi, A J&lt;/author&gt;&lt;author&gt;Sreenivasan, D&lt;/author&gt;&lt;author&gt;Fernandez, J&lt;/author&gt;&lt;author&gt;Tu, P T&lt;/author&gt;&lt;author&gt;Dickinson, M&lt;/author&gt;&lt;author&gt;Gamble, G D&lt;/author&gt;&lt;author&gt;Grey, A&lt;/author&gt;&lt;author&gt;Cornish, J&lt;/author&gt;&lt;/authors&gt;&lt;/contributors&gt;&lt;titles&gt;&lt;title&gt;Reduced bone density and cortical bone indices in female adiponectin-knockout mice&lt;/title&gt;&lt;secondary-title&gt;Endocrinology&lt;/secondary-title&gt;&lt;/titles&gt;&lt;periodical&gt;&lt;full-title&gt;Endocrinology&lt;/full-title&gt;&lt;/periodical&gt;&lt;pages&gt;3550-3561&lt;/pages&gt;&lt;volume&gt;157&lt;/volume&gt;&lt;dates&gt;&lt;year&gt;2016&lt;/year&gt;&lt;/dates&gt;&lt;urls&gt;&lt;/urls&gt;&lt;/record&gt;&lt;/Cite&gt;&lt;/EndNote&gt;</w:instrText>
      </w:r>
      <w:r w:rsidRPr="005C5702">
        <w:fldChar w:fldCharType="end"/>
      </w:r>
      <w:r w:rsidRPr="00155EB9">
        <w:t>.</w:t>
      </w:r>
      <w:r>
        <w:rPr>
          <w:vertAlign w:val="superscript"/>
        </w:rPr>
        <w:t>22</w:t>
      </w:r>
      <w:r w:rsidRPr="00155EB9">
        <w:t xml:space="preserve"> The </w:t>
      </w:r>
      <w:r>
        <w:t>X</w:t>
      </w:r>
      <w:r w:rsidRPr="00155EB9">
        <w:t xml:space="preserve">-ray voltage and amperage were 80 kV and 124 µA, and a 1 mm aluminium filter </w:t>
      </w:r>
      <w:r>
        <w:t>was</w:t>
      </w:r>
      <w:r w:rsidRPr="00155EB9">
        <w:t xml:space="preserve"> used. Images were acquired with an isotropic voxel size of 12 µm, with 180° of rotation, and a rotation step of 0.44°.</w:t>
      </w:r>
      <w:r>
        <w:t xml:space="preserve"> </w:t>
      </w:r>
      <w:r w:rsidRPr="00155EB9">
        <w:t xml:space="preserve">After standardised reconstruction using </w:t>
      </w:r>
      <w:proofErr w:type="spellStart"/>
      <w:r w:rsidRPr="00155EB9">
        <w:t>NRecon</w:t>
      </w:r>
      <w:proofErr w:type="spellEnd"/>
      <w:r w:rsidRPr="00155EB9">
        <w:t xml:space="preserve"> software (Bruker, version 1.6.9.18), the datasets were analysed using </w:t>
      </w:r>
      <w:proofErr w:type="spellStart"/>
      <w:r w:rsidRPr="00155EB9">
        <w:t>CTAn</w:t>
      </w:r>
      <w:proofErr w:type="spellEnd"/>
      <w:r w:rsidRPr="00155EB9">
        <w:t xml:space="preserve"> software (Bruker, version 1.18.8.0). Standardised parameters of trabecular and cortical bone microstructure were measured.</w:t>
      </w:r>
      <w:r>
        <w:rPr>
          <w:vertAlign w:val="superscript"/>
        </w:rPr>
        <w:t>23</w:t>
      </w:r>
      <w:r w:rsidRPr="00155EB9">
        <w:t xml:space="preserve"> The trabecular region of interest was 1.07 mm and 0.95 mm distal to the growth plate in females and males respectively, and extended 3.58 mm in the distal direction. The cortical region of interest was 9.54 mm distal to the growth plate, and extended 2.38 mm in the distal direction in both sexes. </w:t>
      </w:r>
    </w:p>
    <w:p w14:paraId="051A859D" w14:textId="77777777" w:rsidR="00D53383" w:rsidRDefault="00D53383"/>
    <w:sectPr w:rsidR="00D53383" w:rsidSect="00EF1E2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C3"/>
    <w:rsid w:val="0001058D"/>
    <w:rsid w:val="0002092F"/>
    <w:rsid w:val="00030544"/>
    <w:rsid w:val="0003136A"/>
    <w:rsid w:val="00034751"/>
    <w:rsid w:val="000430C0"/>
    <w:rsid w:val="00046755"/>
    <w:rsid w:val="00053D3C"/>
    <w:rsid w:val="000542EF"/>
    <w:rsid w:val="00055606"/>
    <w:rsid w:val="00056770"/>
    <w:rsid w:val="0005684D"/>
    <w:rsid w:val="00056D69"/>
    <w:rsid w:val="00064D28"/>
    <w:rsid w:val="00066E3B"/>
    <w:rsid w:val="00070D96"/>
    <w:rsid w:val="00072122"/>
    <w:rsid w:val="000771EE"/>
    <w:rsid w:val="00081A3B"/>
    <w:rsid w:val="00095A46"/>
    <w:rsid w:val="000A7C03"/>
    <w:rsid w:val="000B6105"/>
    <w:rsid w:val="000C622D"/>
    <w:rsid w:val="000D4F39"/>
    <w:rsid w:val="000D6DFF"/>
    <w:rsid w:val="000E36C1"/>
    <w:rsid w:val="000E7E14"/>
    <w:rsid w:val="000F5DDC"/>
    <w:rsid w:val="001035CE"/>
    <w:rsid w:val="00110EAF"/>
    <w:rsid w:val="001166C6"/>
    <w:rsid w:val="00121ECA"/>
    <w:rsid w:val="00130BB6"/>
    <w:rsid w:val="001510C2"/>
    <w:rsid w:val="00155B77"/>
    <w:rsid w:val="0015705A"/>
    <w:rsid w:val="001574D5"/>
    <w:rsid w:val="0017157D"/>
    <w:rsid w:val="001723D3"/>
    <w:rsid w:val="00175D42"/>
    <w:rsid w:val="00176413"/>
    <w:rsid w:val="00190E8A"/>
    <w:rsid w:val="001A47B0"/>
    <w:rsid w:val="001A5BEC"/>
    <w:rsid w:val="001A74E1"/>
    <w:rsid w:val="001E7997"/>
    <w:rsid w:val="00206138"/>
    <w:rsid w:val="0021734C"/>
    <w:rsid w:val="00217FFB"/>
    <w:rsid w:val="00220D21"/>
    <w:rsid w:val="002305F5"/>
    <w:rsid w:val="0023162A"/>
    <w:rsid w:val="00231FEF"/>
    <w:rsid w:val="00234055"/>
    <w:rsid w:val="0027564A"/>
    <w:rsid w:val="002807E6"/>
    <w:rsid w:val="00295503"/>
    <w:rsid w:val="002B1421"/>
    <w:rsid w:val="002B4900"/>
    <w:rsid w:val="002B7233"/>
    <w:rsid w:val="002B7730"/>
    <w:rsid w:val="002C1B2E"/>
    <w:rsid w:val="002D5EC4"/>
    <w:rsid w:val="002D6898"/>
    <w:rsid w:val="002E1FBD"/>
    <w:rsid w:val="002E35A5"/>
    <w:rsid w:val="002E7DF6"/>
    <w:rsid w:val="002F12F2"/>
    <w:rsid w:val="00302001"/>
    <w:rsid w:val="00310CA4"/>
    <w:rsid w:val="003118C3"/>
    <w:rsid w:val="00327EA3"/>
    <w:rsid w:val="003334C5"/>
    <w:rsid w:val="00337E67"/>
    <w:rsid w:val="00344F91"/>
    <w:rsid w:val="00345E9F"/>
    <w:rsid w:val="003503A6"/>
    <w:rsid w:val="00361E9B"/>
    <w:rsid w:val="00381F93"/>
    <w:rsid w:val="00382F2C"/>
    <w:rsid w:val="003841BE"/>
    <w:rsid w:val="00384B00"/>
    <w:rsid w:val="003925D4"/>
    <w:rsid w:val="003A500C"/>
    <w:rsid w:val="003B1484"/>
    <w:rsid w:val="003B65A3"/>
    <w:rsid w:val="003D4441"/>
    <w:rsid w:val="003E498E"/>
    <w:rsid w:val="003E64D7"/>
    <w:rsid w:val="003E7097"/>
    <w:rsid w:val="003E75B7"/>
    <w:rsid w:val="003F41A6"/>
    <w:rsid w:val="00410D44"/>
    <w:rsid w:val="00425867"/>
    <w:rsid w:val="00426411"/>
    <w:rsid w:val="00432EAB"/>
    <w:rsid w:val="00442862"/>
    <w:rsid w:val="0044470B"/>
    <w:rsid w:val="0045007C"/>
    <w:rsid w:val="00460D65"/>
    <w:rsid w:val="004652BC"/>
    <w:rsid w:val="004718F4"/>
    <w:rsid w:val="00475771"/>
    <w:rsid w:val="00497A9D"/>
    <w:rsid w:val="004D430E"/>
    <w:rsid w:val="004D67C3"/>
    <w:rsid w:val="004F0B0A"/>
    <w:rsid w:val="004F5903"/>
    <w:rsid w:val="004F6371"/>
    <w:rsid w:val="0050538B"/>
    <w:rsid w:val="005773D6"/>
    <w:rsid w:val="005931E6"/>
    <w:rsid w:val="005A0C56"/>
    <w:rsid w:val="005A1F55"/>
    <w:rsid w:val="005A53E1"/>
    <w:rsid w:val="005A6EB3"/>
    <w:rsid w:val="005B1FDC"/>
    <w:rsid w:val="005B768D"/>
    <w:rsid w:val="005D0135"/>
    <w:rsid w:val="005E221D"/>
    <w:rsid w:val="00602774"/>
    <w:rsid w:val="006037CF"/>
    <w:rsid w:val="006208E8"/>
    <w:rsid w:val="00627A24"/>
    <w:rsid w:val="00630A42"/>
    <w:rsid w:val="00632941"/>
    <w:rsid w:val="0063778C"/>
    <w:rsid w:val="006745F2"/>
    <w:rsid w:val="00674914"/>
    <w:rsid w:val="00683832"/>
    <w:rsid w:val="0068654B"/>
    <w:rsid w:val="006A0C64"/>
    <w:rsid w:val="006A585A"/>
    <w:rsid w:val="006B7625"/>
    <w:rsid w:val="006C30CA"/>
    <w:rsid w:val="006D5949"/>
    <w:rsid w:val="006E17DC"/>
    <w:rsid w:val="006E7B58"/>
    <w:rsid w:val="006F091D"/>
    <w:rsid w:val="006F098B"/>
    <w:rsid w:val="006F29F9"/>
    <w:rsid w:val="006F7B26"/>
    <w:rsid w:val="00704942"/>
    <w:rsid w:val="00705C1F"/>
    <w:rsid w:val="00706E48"/>
    <w:rsid w:val="0071383A"/>
    <w:rsid w:val="00717E31"/>
    <w:rsid w:val="0073681A"/>
    <w:rsid w:val="007431EA"/>
    <w:rsid w:val="0074490C"/>
    <w:rsid w:val="00760D8A"/>
    <w:rsid w:val="007637FB"/>
    <w:rsid w:val="007869A9"/>
    <w:rsid w:val="00787699"/>
    <w:rsid w:val="00793215"/>
    <w:rsid w:val="00795270"/>
    <w:rsid w:val="007A0372"/>
    <w:rsid w:val="007B1BF0"/>
    <w:rsid w:val="007B2918"/>
    <w:rsid w:val="007C02BA"/>
    <w:rsid w:val="007C45B7"/>
    <w:rsid w:val="007C635C"/>
    <w:rsid w:val="007D14B9"/>
    <w:rsid w:val="007D2D3E"/>
    <w:rsid w:val="007E2F00"/>
    <w:rsid w:val="007E545B"/>
    <w:rsid w:val="007F39C1"/>
    <w:rsid w:val="007F5821"/>
    <w:rsid w:val="00800389"/>
    <w:rsid w:val="0080448E"/>
    <w:rsid w:val="0081565D"/>
    <w:rsid w:val="00823B3C"/>
    <w:rsid w:val="0083048A"/>
    <w:rsid w:val="008368F4"/>
    <w:rsid w:val="008674CE"/>
    <w:rsid w:val="00874AE8"/>
    <w:rsid w:val="00881C18"/>
    <w:rsid w:val="00883A82"/>
    <w:rsid w:val="00892479"/>
    <w:rsid w:val="00893FE3"/>
    <w:rsid w:val="008A7E76"/>
    <w:rsid w:val="008B4822"/>
    <w:rsid w:val="008E12BE"/>
    <w:rsid w:val="008F74C1"/>
    <w:rsid w:val="008F7EC0"/>
    <w:rsid w:val="00907CEB"/>
    <w:rsid w:val="00920EA4"/>
    <w:rsid w:val="00922659"/>
    <w:rsid w:val="00926E64"/>
    <w:rsid w:val="00931B0E"/>
    <w:rsid w:val="00931E03"/>
    <w:rsid w:val="00937C80"/>
    <w:rsid w:val="009463D5"/>
    <w:rsid w:val="009635CF"/>
    <w:rsid w:val="00985CAF"/>
    <w:rsid w:val="009913CF"/>
    <w:rsid w:val="00991D6B"/>
    <w:rsid w:val="00995B49"/>
    <w:rsid w:val="00996FB3"/>
    <w:rsid w:val="009A0810"/>
    <w:rsid w:val="009A30F3"/>
    <w:rsid w:val="009A4C6E"/>
    <w:rsid w:val="009A547B"/>
    <w:rsid w:val="009B267C"/>
    <w:rsid w:val="009C27E7"/>
    <w:rsid w:val="009F4C08"/>
    <w:rsid w:val="009F6189"/>
    <w:rsid w:val="00A020F7"/>
    <w:rsid w:val="00A17245"/>
    <w:rsid w:val="00A248AB"/>
    <w:rsid w:val="00A2687B"/>
    <w:rsid w:val="00A33AB9"/>
    <w:rsid w:val="00A33D85"/>
    <w:rsid w:val="00A357B4"/>
    <w:rsid w:val="00A42603"/>
    <w:rsid w:val="00A46248"/>
    <w:rsid w:val="00A54F72"/>
    <w:rsid w:val="00A70475"/>
    <w:rsid w:val="00A71FAC"/>
    <w:rsid w:val="00A86467"/>
    <w:rsid w:val="00AA64C3"/>
    <w:rsid w:val="00AC2ABD"/>
    <w:rsid w:val="00AC2CEB"/>
    <w:rsid w:val="00AC4BE5"/>
    <w:rsid w:val="00AD0BB2"/>
    <w:rsid w:val="00AF32B8"/>
    <w:rsid w:val="00AF5B3E"/>
    <w:rsid w:val="00B011A8"/>
    <w:rsid w:val="00B1126F"/>
    <w:rsid w:val="00B12409"/>
    <w:rsid w:val="00B1290C"/>
    <w:rsid w:val="00B24303"/>
    <w:rsid w:val="00B26651"/>
    <w:rsid w:val="00B412B6"/>
    <w:rsid w:val="00B445A4"/>
    <w:rsid w:val="00B46A4A"/>
    <w:rsid w:val="00B545DB"/>
    <w:rsid w:val="00B62538"/>
    <w:rsid w:val="00B651F8"/>
    <w:rsid w:val="00B72A2E"/>
    <w:rsid w:val="00B72B55"/>
    <w:rsid w:val="00B7493B"/>
    <w:rsid w:val="00B830CC"/>
    <w:rsid w:val="00B93F3E"/>
    <w:rsid w:val="00B97BDA"/>
    <w:rsid w:val="00BA39AC"/>
    <w:rsid w:val="00BA71C6"/>
    <w:rsid w:val="00BD650C"/>
    <w:rsid w:val="00BE2D3F"/>
    <w:rsid w:val="00BF19FC"/>
    <w:rsid w:val="00C14AD7"/>
    <w:rsid w:val="00C166F1"/>
    <w:rsid w:val="00C22552"/>
    <w:rsid w:val="00C22954"/>
    <w:rsid w:val="00C32C19"/>
    <w:rsid w:val="00C41435"/>
    <w:rsid w:val="00C573F4"/>
    <w:rsid w:val="00C57AD2"/>
    <w:rsid w:val="00C605AA"/>
    <w:rsid w:val="00C63541"/>
    <w:rsid w:val="00C71941"/>
    <w:rsid w:val="00C946DB"/>
    <w:rsid w:val="00C974B7"/>
    <w:rsid w:val="00CB1349"/>
    <w:rsid w:val="00CB4E26"/>
    <w:rsid w:val="00CD783E"/>
    <w:rsid w:val="00CE1FD6"/>
    <w:rsid w:val="00CF20D1"/>
    <w:rsid w:val="00D017B4"/>
    <w:rsid w:val="00D056DC"/>
    <w:rsid w:val="00D072F3"/>
    <w:rsid w:val="00D1219A"/>
    <w:rsid w:val="00D21085"/>
    <w:rsid w:val="00D251E7"/>
    <w:rsid w:val="00D260E4"/>
    <w:rsid w:val="00D34C79"/>
    <w:rsid w:val="00D37363"/>
    <w:rsid w:val="00D40A9E"/>
    <w:rsid w:val="00D43C95"/>
    <w:rsid w:val="00D52F12"/>
    <w:rsid w:val="00D53383"/>
    <w:rsid w:val="00D620D2"/>
    <w:rsid w:val="00D72AC1"/>
    <w:rsid w:val="00DA0F37"/>
    <w:rsid w:val="00DA6E2D"/>
    <w:rsid w:val="00DB0EC2"/>
    <w:rsid w:val="00DC3557"/>
    <w:rsid w:val="00DC4598"/>
    <w:rsid w:val="00DD16E7"/>
    <w:rsid w:val="00DD25B6"/>
    <w:rsid w:val="00DE5146"/>
    <w:rsid w:val="00DF3BEF"/>
    <w:rsid w:val="00DF57DF"/>
    <w:rsid w:val="00E02FC8"/>
    <w:rsid w:val="00E06785"/>
    <w:rsid w:val="00E1014B"/>
    <w:rsid w:val="00E107D0"/>
    <w:rsid w:val="00E238F3"/>
    <w:rsid w:val="00E32A11"/>
    <w:rsid w:val="00E462DE"/>
    <w:rsid w:val="00E46EC5"/>
    <w:rsid w:val="00E5418C"/>
    <w:rsid w:val="00E62BCA"/>
    <w:rsid w:val="00E63629"/>
    <w:rsid w:val="00E65984"/>
    <w:rsid w:val="00E6685C"/>
    <w:rsid w:val="00E72D67"/>
    <w:rsid w:val="00E73240"/>
    <w:rsid w:val="00E760A8"/>
    <w:rsid w:val="00E85086"/>
    <w:rsid w:val="00E87CCB"/>
    <w:rsid w:val="00E94F65"/>
    <w:rsid w:val="00E976C0"/>
    <w:rsid w:val="00EA4306"/>
    <w:rsid w:val="00EA4879"/>
    <w:rsid w:val="00EA7924"/>
    <w:rsid w:val="00EB139B"/>
    <w:rsid w:val="00EB4169"/>
    <w:rsid w:val="00EB51F3"/>
    <w:rsid w:val="00EC0369"/>
    <w:rsid w:val="00EC2323"/>
    <w:rsid w:val="00EC2B8C"/>
    <w:rsid w:val="00ED10F0"/>
    <w:rsid w:val="00ED17C3"/>
    <w:rsid w:val="00ED4B30"/>
    <w:rsid w:val="00EE1FAF"/>
    <w:rsid w:val="00EE2476"/>
    <w:rsid w:val="00EE4C26"/>
    <w:rsid w:val="00EF04C3"/>
    <w:rsid w:val="00EF1E2F"/>
    <w:rsid w:val="00EF2971"/>
    <w:rsid w:val="00EF575B"/>
    <w:rsid w:val="00EF6AEF"/>
    <w:rsid w:val="00F034A3"/>
    <w:rsid w:val="00F058AA"/>
    <w:rsid w:val="00F06F49"/>
    <w:rsid w:val="00F11F58"/>
    <w:rsid w:val="00F129E0"/>
    <w:rsid w:val="00F46698"/>
    <w:rsid w:val="00F5735C"/>
    <w:rsid w:val="00F5771A"/>
    <w:rsid w:val="00F7144D"/>
    <w:rsid w:val="00F7301F"/>
    <w:rsid w:val="00F83143"/>
    <w:rsid w:val="00F90163"/>
    <w:rsid w:val="00FA4A92"/>
    <w:rsid w:val="00FA5E9E"/>
    <w:rsid w:val="00FC0C67"/>
    <w:rsid w:val="00FC4C36"/>
    <w:rsid w:val="00FC4EBD"/>
    <w:rsid w:val="00FD0B73"/>
    <w:rsid w:val="00FE04C9"/>
    <w:rsid w:val="00FE240B"/>
    <w:rsid w:val="00FF7A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5795793"/>
  <w15:chartTrackingRefBased/>
  <w15:docId w15:val="{10EBE3A2-BDAD-0C48-976B-D972F9E6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7C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735C"/>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Hollywood</dc:creator>
  <cp:keywords/>
  <dc:description/>
  <cp:lastModifiedBy>Jennifer Hollywood</cp:lastModifiedBy>
  <cp:revision>2</cp:revision>
  <dcterms:created xsi:type="dcterms:W3CDTF">2022-05-03T22:10:00Z</dcterms:created>
  <dcterms:modified xsi:type="dcterms:W3CDTF">2022-05-03T22:10:00Z</dcterms:modified>
</cp:coreProperties>
</file>