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BB7E" w14:textId="30E0B402" w:rsidR="00347333" w:rsidRDefault="00347333" w:rsidP="00F62703">
      <w:pPr>
        <w:pStyle w:val="Tabledescr"/>
        <w:rPr>
          <w:i w:val="0"/>
          <w:iCs w:val="0"/>
        </w:rPr>
      </w:pPr>
      <w:r>
        <w:rPr>
          <w:i w:val="0"/>
          <w:iCs w:val="0"/>
        </w:rPr>
        <w:t xml:space="preserve">Supplementary Analysis to </w:t>
      </w:r>
      <w:r w:rsidR="000462E1" w:rsidRPr="00E12779">
        <w:rPr>
          <w:lang w:val="en-NZ"/>
        </w:rPr>
        <w:t>Student achievement emotions: examining the role of frequent online assessment</w:t>
      </w:r>
      <w:r w:rsidR="000462E1">
        <w:rPr>
          <w:i w:val="0"/>
          <w:iCs w:val="0"/>
        </w:rPr>
        <w:t xml:space="preserve"> by Kaitlin Riegel and Tanya Evans</w:t>
      </w:r>
    </w:p>
    <w:p w14:paraId="37667942" w14:textId="7146AC38" w:rsidR="00733B5F" w:rsidRDefault="00733B5F" w:rsidP="00733B5F">
      <w:pPr>
        <w:pStyle w:val="AJETnormal"/>
        <w:rPr>
          <w:lang w:val="en-AU"/>
        </w:rPr>
      </w:pPr>
    </w:p>
    <w:p w14:paraId="3E839D93" w14:textId="624513F7" w:rsidR="00733B5F" w:rsidRPr="00733B5F" w:rsidRDefault="00733B5F" w:rsidP="00733B5F">
      <w:pPr>
        <w:pStyle w:val="AJETnormal"/>
      </w:pPr>
      <w:r>
        <w:t xml:space="preserve">The assumptions of the two-way ANOVA were determined through analysis of the residuals. Outliers were assessed by inspection of boxplots. In cases where there were outliers, there was no reason to believe they were not legitimate responses, so they were retained in the analysis. Normality was assessed by the Shapiro-Wilk test and, in cases where this failed, by visual inspection of the QQ-plot and residuals plot to determine whether normality was a reasonable assumption. Due to the robustness of the ANOVA to mild deviations from normality, we conducted the analysis in cases of slight skewness. Equality of variance was assessed by </w:t>
      </w:r>
      <w:proofErr w:type="spellStart"/>
      <w:r>
        <w:t>Levene’s</w:t>
      </w:r>
      <w:proofErr w:type="spellEnd"/>
      <w:r>
        <w:t xml:space="preserve"> test. </w:t>
      </w:r>
      <w:r w:rsidRPr="00D1718F">
        <w:rPr>
          <w:lang w:val="en-AU"/>
        </w:rPr>
        <w:t xml:space="preserve">For the groups that did not satisfy equality of variance by </w:t>
      </w:r>
      <w:proofErr w:type="spellStart"/>
      <w:r w:rsidRPr="00D1718F">
        <w:rPr>
          <w:lang w:val="en-AU"/>
        </w:rPr>
        <w:t>Levene’s</w:t>
      </w:r>
      <w:proofErr w:type="spellEnd"/>
      <w:r w:rsidRPr="00D1718F">
        <w:rPr>
          <w:lang w:val="en-AU"/>
        </w:rPr>
        <w:t xml:space="preserve"> test, plots of residuals by predicted values </w:t>
      </w:r>
      <w:r>
        <w:rPr>
          <w:lang w:val="en-AU"/>
        </w:rPr>
        <w:t xml:space="preserve">were used to </w:t>
      </w:r>
      <w:r w:rsidRPr="00D1718F">
        <w:rPr>
          <w:lang w:val="en-AU"/>
        </w:rPr>
        <w:t>determine</w:t>
      </w:r>
      <w:r>
        <w:rPr>
          <w:lang w:val="en-AU"/>
        </w:rPr>
        <w:t xml:space="preserve"> if </w:t>
      </w:r>
      <w:r w:rsidRPr="00D1718F">
        <w:rPr>
          <w:lang w:val="en-AU"/>
        </w:rPr>
        <w:t>equality of variance was a reasonable assumption.</w:t>
      </w:r>
    </w:p>
    <w:p w14:paraId="388A389D" w14:textId="7FD23B1C" w:rsidR="00733B5F" w:rsidRPr="008F2EF2" w:rsidRDefault="00F62703" w:rsidP="008F2EF2">
      <w:pPr>
        <w:pStyle w:val="AJETnormal"/>
        <w:rPr>
          <w:i/>
          <w:iCs/>
          <w:lang w:val="en-AU"/>
        </w:rPr>
      </w:pPr>
      <w:r w:rsidRPr="008F2EF2">
        <w:rPr>
          <w:i/>
          <w:iCs/>
        </w:rPr>
        <w:t>A summary of the participating students 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1668"/>
        <w:gridCol w:w="1458"/>
        <w:gridCol w:w="1458"/>
        <w:gridCol w:w="1391"/>
        <w:gridCol w:w="1508"/>
      </w:tblGrid>
      <w:tr w:rsidR="00F62703" w14:paraId="0C83AE56" w14:textId="77777777" w:rsidTr="008072E7">
        <w:tc>
          <w:tcPr>
            <w:tcW w:w="1543" w:type="dxa"/>
            <w:tcBorders>
              <w:top w:val="single" w:sz="4" w:space="0" w:color="auto"/>
            </w:tcBorders>
          </w:tcPr>
          <w:p w14:paraId="266A0073" w14:textId="77777777" w:rsidR="00F62703" w:rsidRDefault="00F62703" w:rsidP="008072E7">
            <w:pPr>
              <w:pStyle w:val="AJETnormal"/>
            </w:pPr>
          </w:p>
        </w:tc>
        <w:tc>
          <w:tcPr>
            <w:tcW w:w="3126" w:type="dxa"/>
            <w:gridSpan w:val="2"/>
            <w:tcBorders>
              <w:top w:val="single" w:sz="4" w:space="0" w:color="auto"/>
              <w:bottom w:val="single" w:sz="4" w:space="0" w:color="auto"/>
            </w:tcBorders>
          </w:tcPr>
          <w:p w14:paraId="4BA002A9" w14:textId="77777777" w:rsidR="00F62703" w:rsidRDefault="00F62703" w:rsidP="008072E7">
            <w:pPr>
              <w:pStyle w:val="AJETnormal"/>
            </w:pPr>
            <w:r>
              <w:t>Prior Achievement</w:t>
            </w:r>
            <w:r w:rsidRPr="00DC1682">
              <w:rPr>
                <w:vertAlign w:val="superscript"/>
              </w:rPr>
              <w:t>*</w:t>
            </w:r>
          </w:p>
        </w:tc>
        <w:tc>
          <w:tcPr>
            <w:tcW w:w="1458" w:type="dxa"/>
            <w:tcBorders>
              <w:top w:val="single" w:sz="4" w:space="0" w:color="auto"/>
              <w:bottom w:val="single" w:sz="4" w:space="0" w:color="auto"/>
            </w:tcBorders>
          </w:tcPr>
          <w:p w14:paraId="5492E0CA" w14:textId="77777777" w:rsidR="00F62703" w:rsidRDefault="00F62703" w:rsidP="008072E7">
            <w:pPr>
              <w:pStyle w:val="AJETnormal"/>
            </w:pPr>
          </w:p>
        </w:tc>
        <w:tc>
          <w:tcPr>
            <w:tcW w:w="1391" w:type="dxa"/>
            <w:tcBorders>
              <w:top w:val="single" w:sz="4" w:space="0" w:color="auto"/>
              <w:bottom w:val="single" w:sz="4" w:space="0" w:color="auto"/>
            </w:tcBorders>
          </w:tcPr>
          <w:p w14:paraId="21C68598" w14:textId="77777777" w:rsidR="00F62703" w:rsidRDefault="00F62703" w:rsidP="008072E7">
            <w:pPr>
              <w:pStyle w:val="AJETnormal"/>
            </w:pPr>
          </w:p>
        </w:tc>
        <w:tc>
          <w:tcPr>
            <w:tcW w:w="1508" w:type="dxa"/>
            <w:tcBorders>
              <w:top w:val="single" w:sz="4" w:space="0" w:color="auto"/>
            </w:tcBorders>
          </w:tcPr>
          <w:p w14:paraId="57FFD463" w14:textId="77777777" w:rsidR="00F62703" w:rsidRDefault="00F62703" w:rsidP="008072E7">
            <w:pPr>
              <w:pStyle w:val="AJETnormal"/>
            </w:pPr>
          </w:p>
        </w:tc>
      </w:tr>
      <w:tr w:rsidR="00F62703" w14:paraId="02C22FEC" w14:textId="77777777" w:rsidTr="004653BE">
        <w:tc>
          <w:tcPr>
            <w:tcW w:w="1543" w:type="dxa"/>
            <w:tcBorders>
              <w:bottom w:val="single" w:sz="4" w:space="0" w:color="auto"/>
            </w:tcBorders>
          </w:tcPr>
          <w:p w14:paraId="32C3E0F3" w14:textId="546CE016" w:rsidR="00F62703" w:rsidRDefault="004653BE" w:rsidP="008072E7">
            <w:pPr>
              <w:pStyle w:val="AJETnormal"/>
            </w:pPr>
            <w:r>
              <w:t>Gender</w:t>
            </w:r>
          </w:p>
        </w:tc>
        <w:tc>
          <w:tcPr>
            <w:tcW w:w="1668" w:type="dxa"/>
            <w:tcBorders>
              <w:top w:val="single" w:sz="4" w:space="0" w:color="auto"/>
              <w:bottom w:val="single" w:sz="4" w:space="0" w:color="auto"/>
            </w:tcBorders>
          </w:tcPr>
          <w:p w14:paraId="1F999D9A" w14:textId="77777777" w:rsidR="00F62703" w:rsidRDefault="00F62703" w:rsidP="008072E7">
            <w:pPr>
              <w:pStyle w:val="AJETnormal"/>
            </w:pPr>
            <w:r>
              <w:t xml:space="preserve">Very High </w:t>
            </w:r>
          </w:p>
        </w:tc>
        <w:tc>
          <w:tcPr>
            <w:tcW w:w="1458" w:type="dxa"/>
            <w:tcBorders>
              <w:top w:val="single" w:sz="4" w:space="0" w:color="auto"/>
              <w:bottom w:val="single" w:sz="4" w:space="0" w:color="auto"/>
            </w:tcBorders>
          </w:tcPr>
          <w:p w14:paraId="633FCFD2" w14:textId="77777777" w:rsidR="00F62703" w:rsidRDefault="00F62703" w:rsidP="008072E7">
            <w:pPr>
              <w:pStyle w:val="AJETnormal"/>
            </w:pPr>
            <w:r>
              <w:t>High</w:t>
            </w:r>
          </w:p>
        </w:tc>
        <w:tc>
          <w:tcPr>
            <w:tcW w:w="1458" w:type="dxa"/>
            <w:tcBorders>
              <w:top w:val="single" w:sz="4" w:space="0" w:color="auto"/>
              <w:bottom w:val="single" w:sz="4" w:space="0" w:color="auto"/>
            </w:tcBorders>
          </w:tcPr>
          <w:p w14:paraId="221491F1" w14:textId="77777777" w:rsidR="00F62703" w:rsidRDefault="00F62703" w:rsidP="008072E7">
            <w:pPr>
              <w:pStyle w:val="AJETnormal"/>
            </w:pPr>
            <w:r>
              <w:t>Medium</w:t>
            </w:r>
          </w:p>
        </w:tc>
        <w:tc>
          <w:tcPr>
            <w:tcW w:w="1391" w:type="dxa"/>
            <w:tcBorders>
              <w:top w:val="single" w:sz="4" w:space="0" w:color="auto"/>
              <w:bottom w:val="single" w:sz="4" w:space="0" w:color="auto"/>
            </w:tcBorders>
          </w:tcPr>
          <w:p w14:paraId="0A2F9E8D" w14:textId="77777777" w:rsidR="00F62703" w:rsidRPr="00717D7C" w:rsidRDefault="00F62703" w:rsidP="008072E7">
            <w:pPr>
              <w:pStyle w:val="AJETnormal"/>
            </w:pPr>
            <w:r>
              <w:t>Low</w:t>
            </w:r>
          </w:p>
        </w:tc>
        <w:tc>
          <w:tcPr>
            <w:tcW w:w="1508" w:type="dxa"/>
            <w:tcBorders>
              <w:bottom w:val="single" w:sz="4" w:space="0" w:color="auto"/>
            </w:tcBorders>
          </w:tcPr>
          <w:p w14:paraId="5FE22C16" w14:textId="77777777" w:rsidR="00F62703" w:rsidRPr="00251908" w:rsidRDefault="00F62703" w:rsidP="008072E7">
            <w:pPr>
              <w:pStyle w:val="AJETnormal"/>
              <w:rPr>
                <w:b/>
                <w:bCs/>
              </w:rPr>
            </w:pPr>
            <w:r w:rsidRPr="00251908">
              <w:rPr>
                <w:b/>
                <w:bCs/>
              </w:rPr>
              <w:t>Total</w:t>
            </w:r>
          </w:p>
        </w:tc>
      </w:tr>
      <w:tr w:rsidR="00F62703" w14:paraId="1635D2A7" w14:textId="77777777" w:rsidTr="004653BE">
        <w:tc>
          <w:tcPr>
            <w:tcW w:w="1543" w:type="dxa"/>
            <w:tcBorders>
              <w:top w:val="single" w:sz="4" w:space="0" w:color="auto"/>
            </w:tcBorders>
          </w:tcPr>
          <w:p w14:paraId="6EB521BC" w14:textId="77777777" w:rsidR="00F62703" w:rsidRDefault="00F62703" w:rsidP="008072E7">
            <w:pPr>
              <w:pStyle w:val="AJETnormal"/>
            </w:pPr>
            <w:r>
              <w:t>Female</w:t>
            </w:r>
          </w:p>
        </w:tc>
        <w:tc>
          <w:tcPr>
            <w:tcW w:w="1668" w:type="dxa"/>
            <w:tcBorders>
              <w:top w:val="single" w:sz="4" w:space="0" w:color="auto"/>
            </w:tcBorders>
          </w:tcPr>
          <w:p w14:paraId="35DC218F" w14:textId="31E57C1D" w:rsidR="00F62703" w:rsidRDefault="003F7A5B" w:rsidP="008072E7">
            <w:pPr>
              <w:pStyle w:val="AJETnormal"/>
            </w:pPr>
            <w:r>
              <w:t>8</w:t>
            </w:r>
          </w:p>
        </w:tc>
        <w:tc>
          <w:tcPr>
            <w:tcW w:w="1458" w:type="dxa"/>
            <w:tcBorders>
              <w:top w:val="single" w:sz="4" w:space="0" w:color="auto"/>
            </w:tcBorders>
          </w:tcPr>
          <w:p w14:paraId="590049E2" w14:textId="177E88B8" w:rsidR="00F62703" w:rsidRDefault="00F62703" w:rsidP="008072E7">
            <w:pPr>
              <w:pStyle w:val="AJETnormal"/>
            </w:pPr>
            <w:r>
              <w:t>1</w:t>
            </w:r>
            <w:r w:rsidR="003F7A5B">
              <w:t>8</w:t>
            </w:r>
          </w:p>
        </w:tc>
        <w:tc>
          <w:tcPr>
            <w:tcW w:w="1458" w:type="dxa"/>
            <w:tcBorders>
              <w:top w:val="single" w:sz="4" w:space="0" w:color="auto"/>
            </w:tcBorders>
          </w:tcPr>
          <w:p w14:paraId="7B1F4242" w14:textId="77777777" w:rsidR="00F62703" w:rsidRDefault="00F62703" w:rsidP="008072E7">
            <w:pPr>
              <w:pStyle w:val="AJETnormal"/>
            </w:pPr>
            <w:r>
              <w:t>4</w:t>
            </w:r>
          </w:p>
        </w:tc>
        <w:tc>
          <w:tcPr>
            <w:tcW w:w="1391" w:type="dxa"/>
            <w:tcBorders>
              <w:top w:val="single" w:sz="4" w:space="0" w:color="auto"/>
            </w:tcBorders>
          </w:tcPr>
          <w:p w14:paraId="793DD20A" w14:textId="49D09B16" w:rsidR="00F62703" w:rsidRDefault="003F7A5B" w:rsidP="008072E7">
            <w:pPr>
              <w:pStyle w:val="AJETnormal"/>
            </w:pPr>
            <w:r>
              <w:t>6</w:t>
            </w:r>
          </w:p>
        </w:tc>
        <w:tc>
          <w:tcPr>
            <w:tcW w:w="1508" w:type="dxa"/>
            <w:tcBorders>
              <w:top w:val="single" w:sz="4" w:space="0" w:color="auto"/>
            </w:tcBorders>
          </w:tcPr>
          <w:p w14:paraId="53AFB168" w14:textId="7416C626" w:rsidR="00F62703" w:rsidRDefault="00F62703" w:rsidP="008072E7">
            <w:pPr>
              <w:pStyle w:val="AJETnormal"/>
            </w:pPr>
            <w:r>
              <w:t>3</w:t>
            </w:r>
            <w:r w:rsidR="003F7A5B">
              <w:t>6</w:t>
            </w:r>
          </w:p>
        </w:tc>
      </w:tr>
      <w:tr w:rsidR="00F62703" w14:paraId="30ED5923" w14:textId="77777777" w:rsidTr="008072E7">
        <w:tc>
          <w:tcPr>
            <w:tcW w:w="1543" w:type="dxa"/>
          </w:tcPr>
          <w:p w14:paraId="29DF0B6A" w14:textId="77777777" w:rsidR="00F62703" w:rsidRDefault="00F62703" w:rsidP="008072E7">
            <w:pPr>
              <w:pStyle w:val="AJETnormal"/>
            </w:pPr>
            <w:r>
              <w:t>Male</w:t>
            </w:r>
          </w:p>
        </w:tc>
        <w:tc>
          <w:tcPr>
            <w:tcW w:w="1668" w:type="dxa"/>
          </w:tcPr>
          <w:p w14:paraId="6CC5A491" w14:textId="68EFEF3C" w:rsidR="00F62703" w:rsidRDefault="00810E89" w:rsidP="008072E7">
            <w:pPr>
              <w:pStyle w:val="AJETnormal"/>
            </w:pPr>
            <w:r>
              <w:t>10</w:t>
            </w:r>
          </w:p>
        </w:tc>
        <w:tc>
          <w:tcPr>
            <w:tcW w:w="1458" w:type="dxa"/>
          </w:tcPr>
          <w:p w14:paraId="75473E51" w14:textId="0B636367" w:rsidR="00F62703" w:rsidRDefault="00F62703" w:rsidP="008072E7">
            <w:pPr>
              <w:pStyle w:val="AJETnormal"/>
            </w:pPr>
            <w:r>
              <w:t>2</w:t>
            </w:r>
            <w:r w:rsidR="00810E89">
              <w:t>1</w:t>
            </w:r>
          </w:p>
        </w:tc>
        <w:tc>
          <w:tcPr>
            <w:tcW w:w="1458" w:type="dxa"/>
          </w:tcPr>
          <w:p w14:paraId="492E9C24" w14:textId="47B002E7" w:rsidR="00F62703" w:rsidRDefault="00810E89" w:rsidP="008072E7">
            <w:pPr>
              <w:pStyle w:val="AJETnormal"/>
            </w:pPr>
            <w:r>
              <w:t>11</w:t>
            </w:r>
          </w:p>
        </w:tc>
        <w:tc>
          <w:tcPr>
            <w:tcW w:w="1391" w:type="dxa"/>
          </w:tcPr>
          <w:p w14:paraId="1C28EE84" w14:textId="40C34561" w:rsidR="00F62703" w:rsidRDefault="00F62703" w:rsidP="008072E7">
            <w:pPr>
              <w:pStyle w:val="AJETnormal"/>
            </w:pPr>
            <w:r>
              <w:t>1</w:t>
            </w:r>
            <w:r w:rsidR="00810E89">
              <w:t>3</w:t>
            </w:r>
          </w:p>
        </w:tc>
        <w:tc>
          <w:tcPr>
            <w:tcW w:w="1508" w:type="dxa"/>
          </w:tcPr>
          <w:p w14:paraId="695304D5" w14:textId="54464617" w:rsidR="00F62703" w:rsidRDefault="00810E89" w:rsidP="008072E7">
            <w:pPr>
              <w:pStyle w:val="AJETnormal"/>
            </w:pPr>
            <w:r>
              <w:t>55</w:t>
            </w:r>
          </w:p>
        </w:tc>
      </w:tr>
      <w:tr w:rsidR="00F62703" w14:paraId="0E23E852" w14:textId="77777777" w:rsidTr="008072E7">
        <w:tc>
          <w:tcPr>
            <w:tcW w:w="1543" w:type="dxa"/>
            <w:tcBorders>
              <w:bottom w:val="single" w:sz="4" w:space="0" w:color="auto"/>
            </w:tcBorders>
          </w:tcPr>
          <w:p w14:paraId="1C8173ED" w14:textId="77777777" w:rsidR="00F62703" w:rsidRPr="00337358" w:rsidRDefault="00F62703" w:rsidP="008072E7">
            <w:pPr>
              <w:pStyle w:val="AJETnormal"/>
              <w:rPr>
                <w:b/>
                <w:bCs/>
              </w:rPr>
            </w:pPr>
            <w:r w:rsidRPr="00337358">
              <w:rPr>
                <w:b/>
                <w:bCs/>
              </w:rPr>
              <w:t>Total</w:t>
            </w:r>
          </w:p>
        </w:tc>
        <w:tc>
          <w:tcPr>
            <w:tcW w:w="1668" w:type="dxa"/>
            <w:tcBorders>
              <w:bottom w:val="single" w:sz="4" w:space="0" w:color="auto"/>
            </w:tcBorders>
          </w:tcPr>
          <w:p w14:paraId="2D490744" w14:textId="34757FAA" w:rsidR="00F62703" w:rsidRDefault="00F62703" w:rsidP="008072E7">
            <w:pPr>
              <w:pStyle w:val="AJETnormal"/>
            </w:pPr>
            <w:r>
              <w:t>1</w:t>
            </w:r>
            <w:r w:rsidR="00810E89">
              <w:t>8</w:t>
            </w:r>
          </w:p>
        </w:tc>
        <w:tc>
          <w:tcPr>
            <w:tcW w:w="1458" w:type="dxa"/>
            <w:tcBorders>
              <w:bottom w:val="single" w:sz="4" w:space="0" w:color="auto"/>
            </w:tcBorders>
          </w:tcPr>
          <w:p w14:paraId="65A89012" w14:textId="22F8A03C" w:rsidR="00F62703" w:rsidRDefault="00F62703" w:rsidP="008072E7">
            <w:pPr>
              <w:pStyle w:val="AJETnormal"/>
            </w:pPr>
            <w:r>
              <w:t>3</w:t>
            </w:r>
            <w:r w:rsidR="00F577FF">
              <w:t>9</w:t>
            </w:r>
          </w:p>
        </w:tc>
        <w:tc>
          <w:tcPr>
            <w:tcW w:w="1458" w:type="dxa"/>
            <w:tcBorders>
              <w:bottom w:val="single" w:sz="4" w:space="0" w:color="auto"/>
            </w:tcBorders>
          </w:tcPr>
          <w:p w14:paraId="0EABF09D" w14:textId="13009DA4" w:rsidR="00F62703" w:rsidRDefault="00F62703" w:rsidP="008072E7">
            <w:pPr>
              <w:pStyle w:val="AJETnormal"/>
            </w:pPr>
            <w:r>
              <w:t>1</w:t>
            </w:r>
            <w:r w:rsidR="00F577FF">
              <w:t>5</w:t>
            </w:r>
          </w:p>
        </w:tc>
        <w:tc>
          <w:tcPr>
            <w:tcW w:w="1391" w:type="dxa"/>
            <w:tcBorders>
              <w:bottom w:val="single" w:sz="4" w:space="0" w:color="auto"/>
            </w:tcBorders>
          </w:tcPr>
          <w:p w14:paraId="753A63FD" w14:textId="032053E8" w:rsidR="00F62703" w:rsidRDefault="00F62703" w:rsidP="008072E7">
            <w:pPr>
              <w:pStyle w:val="AJETnormal"/>
            </w:pPr>
            <w:r>
              <w:t>1</w:t>
            </w:r>
            <w:r w:rsidR="00F577FF">
              <w:t>9</w:t>
            </w:r>
          </w:p>
        </w:tc>
        <w:tc>
          <w:tcPr>
            <w:tcW w:w="1508" w:type="dxa"/>
            <w:tcBorders>
              <w:bottom w:val="single" w:sz="4" w:space="0" w:color="auto"/>
            </w:tcBorders>
          </w:tcPr>
          <w:p w14:paraId="5C1AE083" w14:textId="25BD9853" w:rsidR="00F62703" w:rsidRDefault="00810E89" w:rsidP="008072E7">
            <w:pPr>
              <w:pStyle w:val="AJETnormal"/>
            </w:pPr>
            <w:r>
              <w:t>9</w:t>
            </w:r>
            <w:r w:rsidR="00F62703">
              <w:t>1</w:t>
            </w:r>
          </w:p>
        </w:tc>
      </w:tr>
    </w:tbl>
    <w:p w14:paraId="45026C49" w14:textId="5CAD225E" w:rsidR="00F62703" w:rsidRPr="008F2EF2" w:rsidRDefault="008F2EF2" w:rsidP="008F2EF2">
      <w:pPr>
        <w:pStyle w:val="AJETnormal"/>
        <w:spacing w:before="240"/>
      </w:pPr>
      <w:r w:rsidRPr="008F2EF2">
        <w:rPr>
          <w:i/>
          <w:iCs/>
        </w:rPr>
        <w:t>Note.</w:t>
      </w:r>
      <w:r w:rsidRPr="008F2EF2">
        <w:t xml:space="preserve"> M</w:t>
      </w:r>
      <w:r w:rsidR="00F62703" w:rsidRPr="008F2EF2">
        <w:t>easured by grade in prerequisite course. Very High = [90, 100], High = [80, 90), Medium = [70, 80), Low = [50, 70)</w:t>
      </w:r>
    </w:p>
    <w:p w14:paraId="5C3C7C09" w14:textId="13D0F8DF" w:rsidR="00BF516E" w:rsidRDefault="003C4DDA" w:rsidP="00733B5F">
      <w:pPr>
        <w:pStyle w:val="AJETnormal"/>
      </w:pPr>
      <w:r>
        <w:t xml:space="preserve">We ran a two-way ANOVA with variables </w:t>
      </w:r>
      <w:r w:rsidR="004B553C">
        <w:t>p</w:t>
      </w:r>
      <w:r>
        <w:t xml:space="preserve">rior </w:t>
      </w:r>
      <w:r w:rsidR="004B553C">
        <w:t>ac</w:t>
      </w:r>
      <w:r>
        <w:t xml:space="preserve">hievement and </w:t>
      </w:r>
      <w:r w:rsidR="004B553C">
        <w:t>g</w:t>
      </w:r>
      <w:r>
        <w:t>ender on the difference between emotions reported in each assessment.</w:t>
      </w:r>
      <w:r w:rsidR="004B553C">
        <w:t xml:space="preserve"> </w:t>
      </w:r>
      <w:r w:rsidR="008D3783">
        <w:t xml:space="preserve">The interaction between prior achievement and gender was not statistically significant and analysis of the main effects showed </w:t>
      </w:r>
      <w:r w:rsidR="000834A5">
        <w:t>prior achievement and gender were not significan</w:t>
      </w:r>
      <w:r w:rsidR="00BF516E">
        <w:t>t for any emotion</w:t>
      </w:r>
      <w:r w:rsidR="008D3783">
        <w:t xml:space="preserve">.  </w:t>
      </w:r>
    </w:p>
    <w:p w14:paraId="3C008152" w14:textId="30B97615" w:rsidR="004B553C" w:rsidRDefault="00BF516E" w:rsidP="00733B5F">
      <w:pPr>
        <w:pStyle w:val="AJETnormal"/>
      </w:pPr>
      <w:r>
        <w:t>Additionally, w</w:t>
      </w:r>
      <w:r w:rsidR="004B553C">
        <w:t>e ran a two-way ANOVA with variables prior achievement and gender on emotions reported in each assessment.</w:t>
      </w:r>
      <w:r>
        <w:t xml:space="preserve"> In both assessments, the interaction between prior achievement and gender was not statistically significant for any emotions.</w:t>
      </w:r>
    </w:p>
    <w:p w14:paraId="072FAA30" w14:textId="70963404" w:rsidR="00D85537" w:rsidRPr="007C42DD" w:rsidRDefault="00D85537" w:rsidP="00733B5F">
      <w:pPr>
        <w:pStyle w:val="AJETnormal"/>
      </w:pPr>
      <w:r w:rsidRPr="007C42DD">
        <w:rPr>
          <w:lang w:val="en-AU"/>
        </w:rPr>
        <w:t xml:space="preserve">For test-related hopelessness, the main effect of prior achievement was found to be statistically significant, </w:t>
      </w:r>
      <w:proofErr w:type="gramStart"/>
      <w:r w:rsidRPr="007C42DD">
        <w:rPr>
          <w:lang w:val="en-AU"/>
        </w:rPr>
        <w:t>F(</w:t>
      </w:r>
      <w:proofErr w:type="gramEnd"/>
      <w:r w:rsidRPr="007C42DD">
        <w:rPr>
          <w:lang w:val="en-AU"/>
        </w:rPr>
        <w:t xml:space="preserve">3, </w:t>
      </w:r>
      <w:r w:rsidR="00DB6C3B" w:rsidRPr="007C42DD">
        <w:rPr>
          <w:lang w:val="en-AU"/>
        </w:rPr>
        <w:t>8</w:t>
      </w:r>
      <w:r w:rsidRPr="007C42DD">
        <w:rPr>
          <w:lang w:val="en-AU"/>
        </w:rPr>
        <w:t xml:space="preserve">3) = </w:t>
      </w:r>
      <w:r w:rsidR="00DB6C3B" w:rsidRPr="007C42DD">
        <w:rPr>
          <w:lang w:val="en-AU"/>
        </w:rPr>
        <w:t>3.428</w:t>
      </w:r>
      <w:r w:rsidRPr="007C42DD">
        <w:rPr>
          <w:lang w:val="en-AU"/>
        </w:rPr>
        <w:t xml:space="preserve">, </w:t>
      </w:r>
      <w:r w:rsidRPr="007C42DD">
        <w:rPr>
          <w:i/>
          <w:iCs/>
          <w:lang w:val="en-AU"/>
        </w:rPr>
        <w:t>p</w:t>
      </w:r>
      <w:r w:rsidRPr="007C42DD">
        <w:rPr>
          <w:lang w:val="en-AU"/>
        </w:rPr>
        <w:t xml:space="preserve"> &lt; .05, partial </w:t>
      </w:r>
      <w:r w:rsidRPr="007C42DD">
        <w:rPr>
          <w:rFonts w:cstheme="minorHAnsi"/>
          <w:lang w:val="en-AU"/>
        </w:rPr>
        <w:t>η</w:t>
      </w:r>
      <w:r w:rsidRPr="007C42DD">
        <w:rPr>
          <w:vertAlign w:val="superscript"/>
          <w:lang w:val="en-AU"/>
        </w:rPr>
        <w:t>2</w:t>
      </w:r>
      <w:r w:rsidRPr="007C42DD">
        <w:rPr>
          <w:lang w:val="en-AU"/>
        </w:rPr>
        <w:t xml:space="preserve"> = .1</w:t>
      </w:r>
      <w:r w:rsidR="00DB6C3B" w:rsidRPr="007C42DD">
        <w:rPr>
          <w:lang w:val="en-AU"/>
        </w:rPr>
        <w:t>10</w:t>
      </w:r>
      <w:r w:rsidRPr="007C42DD">
        <w:rPr>
          <w:lang w:val="en-AU"/>
        </w:rPr>
        <w:t xml:space="preserve">. The unweighted marginal means of test-related hopelessness for </w:t>
      </w:r>
      <w:proofErr w:type="gramStart"/>
      <w:r w:rsidRPr="007C42DD">
        <w:rPr>
          <w:lang w:val="en-AU"/>
        </w:rPr>
        <w:t>very high</w:t>
      </w:r>
      <w:proofErr w:type="gramEnd"/>
      <w:r w:rsidRPr="007C42DD">
        <w:rPr>
          <w:lang w:val="en-AU"/>
        </w:rPr>
        <w:t>, high, medium, and low achieving students were 1.9</w:t>
      </w:r>
      <w:r w:rsidR="007D5B4F" w:rsidRPr="007C42DD">
        <w:rPr>
          <w:lang w:val="en-AU"/>
        </w:rPr>
        <w:t>6</w:t>
      </w:r>
      <w:r w:rsidRPr="007C42DD">
        <w:rPr>
          <w:lang w:val="en-AU"/>
        </w:rPr>
        <w:t xml:space="preserve"> </w:t>
      </w:r>
      <w:r w:rsidRPr="007C42DD">
        <w:t>± .</w:t>
      </w:r>
      <w:r w:rsidR="00FB4D16" w:rsidRPr="007C42DD">
        <w:t>196</w:t>
      </w:r>
      <w:r w:rsidRPr="007C42DD">
        <w:t>, 1.93 ± .13</w:t>
      </w:r>
      <w:r w:rsidR="00FB4D16" w:rsidRPr="007C42DD">
        <w:t>3</w:t>
      </w:r>
      <w:r w:rsidRPr="007C42DD">
        <w:t>, 2.5</w:t>
      </w:r>
      <w:r w:rsidR="00FB4D16" w:rsidRPr="007C42DD">
        <w:t>6</w:t>
      </w:r>
      <w:r w:rsidRPr="007C42DD">
        <w:t xml:space="preserve"> ± .2</w:t>
      </w:r>
      <w:r w:rsidR="00FB4D16" w:rsidRPr="007C42DD">
        <w:t>4</w:t>
      </w:r>
      <w:r w:rsidRPr="007C42DD">
        <w:t>1, and 2.5</w:t>
      </w:r>
      <w:r w:rsidR="00FB4D16" w:rsidRPr="007C42DD">
        <w:t>5</w:t>
      </w:r>
      <w:r w:rsidRPr="007C42DD">
        <w:t xml:space="preserve"> ± .2</w:t>
      </w:r>
      <w:r w:rsidR="00FB4D16" w:rsidRPr="007C42DD">
        <w:t>04</w:t>
      </w:r>
      <w:r w:rsidRPr="007C42DD">
        <w:t xml:space="preserve">. </w:t>
      </w:r>
      <w:r w:rsidR="00FB4D16" w:rsidRPr="007C42DD">
        <w:rPr>
          <w:lang w:val="en-AU"/>
        </w:rPr>
        <w:t xml:space="preserve">For test-related </w:t>
      </w:r>
      <w:r w:rsidR="00FB4D16" w:rsidRPr="007C42DD">
        <w:rPr>
          <w:lang w:val="en-AU"/>
        </w:rPr>
        <w:t>shame</w:t>
      </w:r>
      <w:r w:rsidR="00FB4D16" w:rsidRPr="007C42DD">
        <w:rPr>
          <w:lang w:val="en-AU"/>
        </w:rPr>
        <w:t xml:space="preserve">, </w:t>
      </w:r>
      <w:r w:rsidR="008A68FD" w:rsidRPr="007C42DD">
        <w:rPr>
          <w:lang w:val="en-AU"/>
        </w:rPr>
        <w:t xml:space="preserve">the main effect of prior achievement was found to be statistically significant, </w:t>
      </w:r>
      <w:proofErr w:type="gramStart"/>
      <w:r w:rsidR="008A68FD" w:rsidRPr="007C42DD">
        <w:rPr>
          <w:lang w:val="en-AU"/>
        </w:rPr>
        <w:t>F(</w:t>
      </w:r>
      <w:proofErr w:type="gramEnd"/>
      <w:r w:rsidR="008A68FD" w:rsidRPr="007C42DD">
        <w:rPr>
          <w:lang w:val="en-AU"/>
        </w:rPr>
        <w:t xml:space="preserve">3, 83) = </w:t>
      </w:r>
      <w:r w:rsidR="00084125" w:rsidRPr="007C42DD">
        <w:rPr>
          <w:lang w:val="en-AU"/>
        </w:rPr>
        <w:t>2.952</w:t>
      </w:r>
      <w:r w:rsidR="008A68FD" w:rsidRPr="007C42DD">
        <w:rPr>
          <w:lang w:val="en-AU"/>
        </w:rPr>
        <w:t xml:space="preserve">, </w:t>
      </w:r>
      <w:r w:rsidR="008A68FD" w:rsidRPr="007C42DD">
        <w:rPr>
          <w:i/>
          <w:iCs/>
          <w:lang w:val="en-AU"/>
        </w:rPr>
        <w:t>p</w:t>
      </w:r>
      <w:r w:rsidR="008A68FD" w:rsidRPr="007C42DD">
        <w:rPr>
          <w:lang w:val="en-AU"/>
        </w:rPr>
        <w:t xml:space="preserve"> &lt; .05, partial </w:t>
      </w:r>
      <w:r w:rsidR="008A68FD" w:rsidRPr="007C42DD">
        <w:rPr>
          <w:rFonts w:cstheme="minorHAnsi"/>
          <w:lang w:val="en-AU"/>
        </w:rPr>
        <w:t>η</w:t>
      </w:r>
      <w:r w:rsidR="008A68FD" w:rsidRPr="007C42DD">
        <w:rPr>
          <w:vertAlign w:val="superscript"/>
          <w:lang w:val="en-AU"/>
        </w:rPr>
        <w:t>2</w:t>
      </w:r>
      <w:r w:rsidR="008A68FD" w:rsidRPr="007C42DD">
        <w:rPr>
          <w:lang w:val="en-AU"/>
        </w:rPr>
        <w:t xml:space="preserve"> = .</w:t>
      </w:r>
      <w:r w:rsidR="00084125" w:rsidRPr="007C42DD">
        <w:rPr>
          <w:lang w:val="en-AU"/>
        </w:rPr>
        <w:t>096</w:t>
      </w:r>
      <w:r w:rsidR="008A68FD" w:rsidRPr="007C42DD">
        <w:rPr>
          <w:lang w:val="en-AU"/>
        </w:rPr>
        <w:t xml:space="preserve">. The unweighted marginal means of test-related hopelessness for </w:t>
      </w:r>
      <w:proofErr w:type="gramStart"/>
      <w:r w:rsidR="008A68FD" w:rsidRPr="007C42DD">
        <w:rPr>
          <w:lang w:val="en-AU"/>
        </w:rPr>
        <w:t>very high</w:t>
      </w:r>
      <w:proofErr w:type="gramEnd"/>
      <w:r w:rsidR="008A68FD" w:rsidRPr="007C42DD">
        <w:rPr>
          <w:lang w:val="en-AU"/>
        </w:rPr>
        <w:t xml:space="preserve">, high, medium, and low achieving students were </w:t>
      </w:r>
      <w:r w:rsidR="008E4434" w:rsidRPr="007C42DD">
        <w:rPr>
          <w:lang w:val="en-AU"/>
        </w:rPr>
        <w:t>2.26</w:t>
      </w:r>
      <w:r w:rsidR="008A68FD" w:rsidRPr="007C42DD">
        <w:rPr>
          <w:lang w:val="en-AU"/>
        </w:rPr>
        <w:t xml:space="preserve"> </w:t>
      </w:r>
      <w:r w:rsidR="008A68FD" w:rsidRPr="007C42DD">
        <w:t>± .19</w:t>
      </w:r>
      <w:r w:rsidR="008E4434" w:rsidRPr="007C42DD">
        <w:t>7</w:t>
      </w:r>
      <w:r w:rsidR="008A68FD" w:rsidRPr="007C42DD">
        <w:t xml:space="preserve">, </w:t>
      </w:r>
      <w:r w:rsidR="008E4434" w:rsidRPr="007C42DD">
        <w:t>2.08</w:t>
      </w:r>
      <w:r w:rsidR="008A68FD" w:rsidRPr="007C42DD">
        <w:t xml:space="preserve"> ± .133, 2.</w:t>
      </w:r>
      <w:r w:rsidR="00D27A70" w:rsidRPr="007C42DD">
        <w:t>67</w:t>
      </w:r>
      <w:r w:rsidR="008A68FD" w:rsidRPr="007C42DD">
        <w:t xml:space="preserve"> ± .24</w:t>
      </w:r>
      <w:r w:rsidR="00D27A70" w:rsidRPr="007C42DD">
        <w:t>2</w:t>
      </w:r>
      <w:r w:rsidR="008A68FD" w:rsidRPr="007C42DD">
        <w:t>, and 2.</w:t>
      </w:r>
      <w:r w:rsidR="00D27A70" w:rsidRPr="007C42DD">
        <w:t>71</w:t>
      </w:r>
      <w:r w:rsidR="008A68FD" w:rsidRPr="007C42DD">
        <w:t xml:space="preserve"> ± .20</w:t>
      </w:r>
      <w:r w:rsidR="00D27A70" w:rsidRPr="007C42DD">
        <w:t>5</w:t>
      </w:r>
      <w:r w:rsidR="008A68FD" w:rsidRPr="007C42DD">
        <w:t xml:space="preserve">. We did not find pairwise significance using Bonferroni-adjusted </w:t>
      </w:r>
      <w:r w:rsidR="008A68FD" w:rsidRPr="007C42DD">
        <w:rPr>
          <w:i/>
          <w:iCs/>
        </w:rPr>
        <w:t>p</w:t>
      </w:r>
      <w:r w:rsidR="008A68FD" w:rsidRPr="007C42DD">
        <w:t xml:space="preserve">-values, which could be due to the conservative nature of the test. </w:t>
      </w:r>
    </w:p>
    <w:p w14:paraId="7FDE4730" w14:textId="7B7BD003" w:rsidR="0052193E" w:rsidRDefault="00C50956" w:rsidP="00733B5F">
      <w:pPr>
        <w:pStyle w:val="AJETnormal"/>
        <w:rPr>
          <w:lang w:val="en-AU"/>
        </w:rPr>
      </w:pPr>
      <w:r>
        <w:rPr>
          <w:lang w:val="en-AU"/>
        </w:rPr>
        <w:t>The main effect of prior achievement was found to be statistically significant f</w:t>
      </w:r>
      <w:r w:rsidR="0052193E">
        <w:rPr>
          <w:lang w:val="en-AU"/>
        </w:rPr>
        <w:t>or quiz-related anxiety</w:t>
      </w:r>
      <w:r>
        <w:rPr>
          <w:lang w:val="en-AU"/>
        </w:rPr>
        <w:t xml:space="preserve"> </w:t>
      </w:r>
      <w:r w:rsidR="00744CD2">
        <w:rPr>
          <w:lang w:val="en-AU"/>
        </w:rPr>
        <w:t>(</w:t>
      </w:r>
      <w:proofErr w:type="gramStart"/>
      <w:r w:rsidR="00744CD2">
        <w:rPr>
          <w:lang w:val="en-AU"/>
        </w:rPr>
        <w:t>F(</w:t>
      </w:r>
      <w:proofErr w:type="gramEnd"/>
      <w:r w:rsidR="00744CD2">
        <w:rPr>
          <w:lang w:val="en-AU"/>
        </w:rPr>
        <w:t xml:space="preserve">3, </w:t>
      </w:r>
      <w:r w:rsidR="00F77BF3">
        <w:rPr>
          <w:lang w:val="en-AU"/>
        </w:rPr>
        <w:t>8</w:t>
      </w:r>
      <w:r w:rsidR="00744CD2">
        <w:rPr>
          <w:lang w:val="en-AU"/>
        </w:rPr>
        <w:t xml:space="preserve">3) = </w:t>
      </w:r>
      <w:r w:rsidR="00F77BF3">
        <w:rPr>
          <w:lang w:val="en-AU"/>
        </w:rPr>
        <w:t>3.750</w:t>
      </w:r>
      <w:r w:rsidR="00744CD2">
        <w:rPr>
          <w:lang w:val="en-AU"/>
        </w:rPr>
        <w:t xml:space="preserve">, </w:t>
      </w:r>
      <w:r w:rsidR="00744CD2" w:rsidRPr="007615F6">
        <w:rPr>
          <w:i/>
          <w:iCs/>
          <w:lang w:val="en-AU"/>
        </w:rPr>
        <w:t xml:space="preserve">p </w:t>
      </w:r>
      <w:r w:rsidR="00744CD2">
        <w:rPr>
          <w:lang w:val="en-AU"/>
        </w:rPr>
        <w:t xml:space="preserve">&lt; .05, partial </w:t>
      </w:r>
      <w:r w:rsidR="00744CD2">
        <w:rPr>
          <w:rFonts w:cstheme="minorHAnsi"/>
          <w:lang w:val="en-AU"/>
        </w:rPr>
        <w:t>η</w:t>
      </w:r>
      <w:r w:rsidR="00744CD2" w:rsidRPr="00FB43C1">
        <w:rPr>
          <w:vertAlign w:val="superscript"/>
          <w:lang w:val="en-AU"/>
        </w:rPr>
        <w:t>2</w:t>
      </w:r>
      <w:r w:rsidR="00744CD2">
        <w:rPr>
          <w:lang w:val="en-AU"/>
        </w:rPr>
        <w:t xml:space="preserve"> = .1</w:t>
      </w:r>
      <w:r w:rsidR="00F77BF3">
        <w:rPr>
          <w:lang w:val="en-AU"/>
        </w:rPr>
        <w:t>19</w:t>
      </w:r>
      <w:r w:rsidR="00744CD2">
        <w:rPr>
          <w:lang w:val="en-AU"/>
        </w:rPr>
        <w:t>)</w:t>
      </w:r>
      <w:r w:rsidR="0052193E">
        <w:rPr>
          <w:lang w:val="en-AU"/>
        </w:rPr>
        <w:t>, hopelessness</w:t>
      </w:r>
      <w:r>
        <w:rPr>
          <w:lang w:val="en-AU"/>
        </w:rPr>
        <w:t xml:space="preserve"> </w:t>
      </w:r>
      <w:r w:rsidR="004522F9">
        <w:rPr>
          <w:lang w:val="en-AU"/>
        </w:rPr>
        <w:t>(F(</w:t>
      </w:r>
      <w:r w:rsidR="00744CD2">
        <w:rPr>
          <w:lang w:val="en-AU"/>
        </w:rPr>
        <w:t xml:space="preserve">3, </w:t>
      </w:r>
      <w:r w:rsidR="00F77BF3">
        <w:rPr>
          <w:lang w:val="en-AU"/>
        </w:rPr>
        <w:t>8</w:t>
      </w:r>
      <w:r w:rsidR="00744CD2">
        <w:rPr>
          <w:lang w:val="en-AU"/>
        </w:rPr>
        <w:t xml:space="preserve">3) = </w:t>
      </w:r>
      <w:r w:rsidR="00391BCB">
        <w:rPr>
          <w:lang w:val="en-AU"/>
        </w:rPr>
        <w:t>3.925</w:t>
      </w:r>
      <w:r w:rsidR="00744CD2">
        <w:rPr>
          <w:lang w:val="en-AU"/>
        </w:rPr>
        <w:t xml:space="preserve">, </w:t>
      </w:r>
      <w:r w:rsidR="00744CD2" w:rsidRPr="007615F6">
        <w:rPr>
          <w:i/>
          <w:iCs/>
          <w:lang w:val="en-AU"/>
        </w:rPr>
        <w:t>p</w:t>
      </w:r>
      <w:r w:rsidR="00744CD2">
        <w:rPr>
          <w:lang w:val="en-AU"/>
        </w:rPr>
        <w:t xml:space="preserve"> &lt; .0</w:t>
      </w:r>
      <w:r w:rsidR="00391BCB">
        <w:rPr>
          <w:lang w:val="en-AU"/>
        </w:rPr>
        <w:t>5</w:t>
      </w:r>
      <w:r w:rsidR="00744CD2">
        <w:rPr>
          <w:lang w:val="en-AU"/>
        </w:rPr>
        <w:t xml:space="preserve">, partial </w:t>
      </w:r>
      <w:r w:rsidR="00744CD2">
        <w:rPr>
          <w:rFonts w:cstheme="minorHAnsi"/>
          <w:lang w:val="en-AU"/>
        </w:rPr>
        <w:t>η</w:t>
      </w:r>
      <w:r w:rsidR="00744CD2" w:rsidRPr="00FB43C1">
        <w:rPr>
          <w:vertAlign w:val="superscript"/>
          <w:lang w:val="en-AU"/>
        </w:rPr>
        <w:t>2</w:t>
      </w:r>
      <w:r w:rsidR="00744CD2">
        <w:rPr>
          <w:lang w:val="en-AU"/>
        </w:rPr>
        <w:t xml:space="preserve"> = .1</w:t>
      </w:r>
      <w:r w:rsidR="00391BCB">
        <w:rPr>
          <w:lang w:val="en-AU"/>
        </w:rPr>
        <w:t>24</w:t>
      </w:r>
      <w:r w:rsidR="00744CD2">
        <w:rPr>
          <w:lang w:val="en-AU"/>
        </w:rPr>
        <w:t>)</w:t>
      </w:r>
      <w:r w:rsidR="0052193E">
        <w:rPr>
          <w:lang w:val="en-AU"/>
        </w:rPr>
        <w:t>, and shame</w:t>
      </w:r>
      <w:r>
        <w:rPr>
          <w:lang w:val="en-AU"/>
        </w:rPr>
        <w:t xml:space="preserve"> (F(3, </w:t>
      </w:r>
      <w:r w:rsidR="00391BCB">
        <w:rPr>
          <w:lang w:val="en-AU"/>
        </w:rPr>
        <w:t>8</w:t>
      </w:r>
      <w:r>
        <w:rPr>
          <w:lang w:val="en-AU"/>
        </w:rPr>
        <w:t>3) = 5.3</w:t>
      </w:r>
      <w:r w:rsidR="00391BCB">
        <w:rPr>
          <w:lang w:val="en-AU"/>
        </w:rPr>
        <w:t>39</w:t>
      </w:r>
      <w:r>
        <w:rPr>
          <w:lang w:val="en-AU"/>
        </w:rPr>
        <w:t xml:space="preserve">, </w:t>
      </w:r>
      <w:r w:rsidRPr="007615F6">
        <w:rPr>
          <w:i/>
          <w:iCs/>
          <w:lang w:val="en-AU"/>
        </w:rPr>
        <w:t>p</w:t>
      </w:r>
      <w:r>
        <w:rPr>
          <w:lang w:val="en-AU"/>
        </w:rPr>
        <w:t xml:space="preserve"> &lt; .005, partial </w:t>
      </w:r>
      <w:r>
        <w:rPr>
          <w:rFonts w:cstheme="minorHAnsi"/>
          <w:lang w:val="en-AU"/>
        </w:rPr>
        <w:t>η</w:t>
      </w:r>
      <w:r w:rsidRPr="00FB43C1">
        <w:rPr>
          <w:vertAlign w:val="superscript"/>
          <w:lang w:val="en-AU"/>
        </w:rPr>
        <w:t>2</w:t>
      </w:r>
      <w:r>
        <w:rPr>
          <w:lang w:val="en-AU"/>
        </w:rPr>
        <w:t xml:space="preserve"> = .1</w:t>
      </w:r>
      <w:r w:rsidR="00391BCB">
        <w:rPr>
          <w:lang w:val="en-AU"/>
        </w:rPr>
        <w:t>62</w:t>
      </w:r>
      <w:r>
        <w:rPr>
          <w:lang w:val="en-AU"/>
        </w:rPr>
        <w:t xml:space="preserve">). </w:t>
      </w:r>
    </w:p>
    <w:p w14:paraId="138D25B2" w14:textId="23316C54" w:rsidR="00744CD2" w:rsidRPr="007615F6" w:rsidRDefault="00744CD2" w:rsidP="00733B5F">
      <w:pPr>
        <w:pStyle w:val="AJETnormal"/>
      </w:pPr>
      <w:r>
        <w:rPr>
          <w:lang w:val="en-AU"/>
        </w:rPr>
        <w:t xml:space="preserve">The unweighted marginal means of quiz-related anxiety for </w:t>
      </w:r>
      <w:proofErr w:type="gramStart"/>
      <w:r>
        <w:rPr>
          <w:lang w:val="en-AU"/>
        </w:rPr>
        <w:t>very high</w:t>
      </w:r>
      <w:proofErr w:type="gramEnd"/>
      <w:r>
        <w:rPr>
          <w:lang w:val="en-AU"/>
        </w:rPr>
        <w:t>, high, medium, and low achiev</w:t>
      </w:r>
      <w:r w:rsidR="007615F6">
        <w:rPr>
          <w:lang w:val="en-AU"/>
        </w:rPr>
        <w:t>ing</w:t>
      </w:r>
      <w:r>
        <w:rPr>
          <w:lang w:val="en-AU"/>
        </w:rPr>
        <w:t xml:space="preserve"> students were 2.3</w:t>
      </w:r>
      <w:r w:rsidR="009813C1">
        <w:rPr>
          <w:lang w:val="en-AU"/>
        </w:rPr>
        <w:t>6</w:t>
      </w:r>
      <w:r>
        <w:rPr>
          <w:lang w:val="en-AU"/>
        </w:rPr>
        <w:t xml:space="preserve"> </w:t>
      </w:r>
      <w:r w:rsidRPr="00D1718F">
        <w:t>±</w:t>
      </w:r>
      <w:r>
        <w:t xml:space="preserve"> .</w:t>
      </w:r>
      <w:r w:rsidR="009813C1">
        <w:t>193</w:t>
      </w:r>
      <w:r>
        <w:t xml:space="preserve">, 2.11 </w:t>
      </w:r>
      <w:r w:rsidRPr="00D1718F">
        <w:t>±</w:t>
      </w:r>
      <w:r>
        <w:t xml:space="preserve"> .13</w:t>
      </w:r>
      <w:r w:rsidR="00FE6F63">
        <w:t>1</w:t>
      </w:r>
      <w:r>
        <w:t>, 2.9</w:t>
      </w:r>
      <w:r w:rsidR="00FE6F63">
        <w:t>0</w:t>
      </w:r>
      <w:r>
        <w:t xml:space="preserve"> </w:t>
      </w:r>
      <w:r w:rsidRPr="00D1718F">
        <w:t>±</w:t>
      </w:r>
      <w:r>
        <w:t xml:space="preserve"> .2</w:t>
      </w:r>
      <w:r w:rsidR="00FE6F63">
        <w:t>38</w:t>
      </w:r>
      <w:r>
        <w:t>, and 2.</w:t>
      </w:r>
      <w:r w:rsidR="00FE6F63">
        <w:t>67</w:t>
      </w:r>
      <w:r>
        <w:t xml:space="preserve"> </w:t>
      </w:r>
      <w:r w:rsidRPr="00D1718F">
        <w:t>±</w:t>
      </w:r>
      <w:r>
        <w:t xml:space="preserve"> .2</w:t>
      </w:r>
      <w:r w:rsidR="00FE6F63">
        <w:t>01</w:t>
      </w:r>
      <w:r w:rsidRPr="00755777">
        <w:t xml:space="preserve">. </w:t>
      </w:r>
      <w:r w:rsidR="007615F6" w:rsidRPr="00755777">
        <w:t>High-achieving students were found to report significantly less quiz-related anxiety than medium-achieving students (95% CI, 0.</w:t>
      </w:r>
      <w:r w:rsidR="00755777" w:rsidRPr="00755777">
        <w:t>06</w:t>
      </w:r>
      <w:r w:rsidR="007615F6" w:rsidRPr="00755777">
        <w:t xml:space="preserve"> to 1.</w:t>
      </w:r>
      <w:r w:rsidR="00755777" w:rsidRPr="00755777">
        <w:t>53</w:t>
      </w:r>
      <w:r w:rsidR="007615F6" w:rsidRPr="00755777">
        <w:t xml:space="preserve">, </w:t>
      </w:r>
      <w:r w:rsidR="007615F6" w:rsidRPr="00755777">
        <w:rPr>
          <w:i/>
          <w:iCs/>
        </w:rPr>
        <w:t>p</w:t>
      </w:r>
      <w:r w:rsidR="007615F6" w:rsidRPr="00755777">
        <w:t xml:space="preserve"> &lt; .05).</w:t>
      </w:r>
      <w:r w:rsidR="007615F6">
        <w:t xml:space="preserve"> </w:t>
      </w:r>
    </w:p>
    <w:p w14:paraId="6BBB3805" w14:textId="070D5252" w:rsidR="00744CD2" w:rsidRDefault="00744CD2" w:rsidP="00733B5F">
      <w:pPr>
        <w:pStyle w:val="AJETnormal"/>
        <w:rPr>
          <w:lang w:val="en-AU"/>
        </w:rPr>
      </w:pPr>
      <w:r>
        <w:rPr>
          <w:lang w:val="en-AU"/>
        </w:rPr>
        <w:t xml:space="preserve">The unweighted marginal means of quiz-related hopelessness for </w:t>
      </w:r>
      <w:proofErr w:type="gramStart"/>
      <w:r>
        <w:rPr>
          <w:lang w:val="en-AU"/>
        </w:rPr>
        <w:t>very high</w:t>
      </w:r>
      <w:proofErr w:type="gramEnd"/>
      <w:r>
        <w:rPr>
          <w:lang w:val="en-AU"/>
        </w:rPr>
        <w:t>, high, medium, and low achie</w:t>
      </w:r>
      <w:r w:rsidR="007615F6">
        <w:rPr>
          <w:lang w:val="en-AU"/>
        </w:rPr>
        <w:t>ving</w:t>
      </w:r>
      <w:r>
        <w:rPr>
          <w:lang w:val="en-AU"/>
        </w:rPr>
        <w:t xml:space="preserve"> students were 1.7</w:t>
      </w:r>
      <w:r w:rsidR="00FE6F63">
        <w:rPr>
          <w:lang w:val="en-AU"/>
        </w:rPr>
        <w:t>1</w:t>
      </w:r>
      <w:r>
        <w:rPr>
          <w:lang w:val="en-AU"/>
        </w:rPr>
        <w:t xml:space="preserve"> </w:t>
      </w:r>
      <w:r w:rsidRPr="00D1718F">
        <w:t>±</w:t>
      </w:r>
      <w:r>
        <w:t xml:space="preserve"> .18</w:t>
      </w:r>
      <w:r w:rsidR="00FE6F63">
        <w:t>0</w:t>
      </w:r>
      <w:r>
        <w:t>, 1.6</w:t>
      </w:r>
      <w:r w:rsidR="005852E5">
        <w:t>6</w:t>
      </w:r>
      <w:r>
        <w:t xml:space="preserve"> </w:t>
      </w:r>
      <w:r w:rsidRPr="00D1718F">
        <w:t>±</w:t>
      </w:r>
      <w:r>
        <w:t xml:space="preserve"> .12</w:t>
      </w:r>
      <w:r w:rsidR="005852E5">
        <w:t>2</w:t>
      </w:r>
      <w:r>
        <w:t>, 2.</w:t>
      </w:r>
      <w:r w:rsidR="005852E5">
        <w:t>35</w:t>
      </w:r>
      <w:r>
        <w:t xml:space="preserve"> </w:t>
      </w:r>
      <w:r w:rsidRPr="00D1718F">
        <w:t>±</w:t>
      </w:r>
      <w:r>
        <w:t xml:space="preserve"> .2</w:t>
      </w:r>
      <w:r w:rsidR="005852E5">
        <w:t>22</w:t>
      </w:r>
      <w:r>
        <w:t>, and 2.2</w:t>
      </w:r>
      <w:r w:rsidR="005852E5">
        <w:t>1</w:t>
      </w:r>
      <w:r>
        <w:t xml:space="preserve"> </w:t>
      </w:r>
      <w:r w:rsidRPr="00D1718F">
        <w:t>±</w:t>
      </w:r>
      <w:r>
        <w:t xml:space="preserve"> .</w:t>
      </w:r>
      <w:r w:rsidR="005852E5">
        <w:t>188</w:t>
      </w:r>
      <w:r>
        <w:t>, respectively.</w:t>
      </w:r>
      <w:r w:rsidR="007615F6">
        <w:t xml:space="preserve"> </w:t>
      </w:r>
      <w:r w:rsidR="007615F6" w:rsidRPr="00170771">
        <w:rPr>
          <w:lang w:val="en-AU"/>
        </w:rPr>
        <w:t>High-achieving students were found to report significantly less quiz-related hopelessness than medium-achieving students (95% CI, 0.0</w:t>
      </w:r>
      <w:r w:rsidR="00795CB9" w:rsidRPr="00170771">
        <w:rPr>
          <w:lang w:val="en-AU"/>
        </w:rPr>
        <w:t>1</w:t>
      </w:r>
      <w:r w:rsidR="007615F6" w:rsidRPr="00170771">
        <w:rPr>
          <w:lang w:val="en-AU"/>
        </w:rPr>
        <w:t xml:space="preserve"> to 1.</w:t>
      </w:r>
      <w:r w:rsidR="00795CB9" w:rsidRPr="00170771">
        <w:rPr>
          <w:lang w:val="en-AU"/>
        </w:rPr>
        <w:t>38</w:t>
      </w:r>
      <w:r w:rsidR="007615F6" w:rsidRPr="00170771">
        <w:rPr>
          <w:lang w:val="en-AU"/>
        </w:rPr>
        <w:t xml:space="preserve">, </w:t>
      </w:r>
      <w:r w:rsidR="007615F6" w:rsidRPr="00170771">
        <w:rPr>
          <w:i/>
          <w:iCs/>
          <w:lang w:val="en-AU"/>
        </w:rPr>
        <w:t>p</w:t>
      </w:r>
      <w:r w:rsidR="007615F6" w:rsidRPr="00170771">
        <w:rPr>
          <w:lang w:val="en-AU"/>
        </w:rPr>
        <w:t xml:space="preserve"> &lt; .05).</w:t>
      </w:r>
      <w:r w:rsidR="007615F6">
        <w:rPr>
          <w:lang w:val="en-AU"/>
        </w:rPr>
        <w:t xml:space="preserve"> </w:t>
      </w:r>
    </w:p>
    <w:p w14:paraId="673688B7" w14:textId="5B3F11EA" w:rsidR="007E7669" w:rsidRDefault="00FB43C1" w:rsidP="00F737DA">
      <w:pPr>
        <w:pStyle w:val="AJETnormal"/>
        <w:rPr>
          <w:lang w:val="en-AU"/>
        </w:rPr>
      </w:pPr>
      <w:r>
        <w:rPr>
          <w:lang w:val="en-AU"/>
        </w:rPr>
        <w:t xml:space="preserve">The unweighted marginal means of </w:t>
      </w:r>
      <w:r w:rsidR="00C50956">
        <w:rPr>
          <w:lang w:val="en-AU"/>
        </w:rPr>
        <w:t xml:space="preserve">quiz-related shame for </w:t>
      </w:r>
      <w:proofErr w:type="gramStart"/>
      <w:r w:rsidR="00C50956">
        <w:rPr>
          <w:lang w:val="en-AU"/>
        </w:rPr>
        <w:t>very high</w:t>
      </w:r>
      <w:proofErr w:type="gramEnd"/>
      <w:r w:rsidR="00C50956">
        <w:rPr>
          <w:lang w:val="en-AU"/>
        </w:rPr>
        <w:t>, high, medium, and low achie</w:t>
      </w:r>
      <w:r w:rsidR="007615F6">
        <w:rPr>
          <w:lang w:val="en-AU"/>
        </w:rPr>
        <w:t>ving</w:t>
      </w:r>
      <w:r w:rsidR="00C50956">
        <w:rPr>
          <w:lang w:val="en-AU"/>
        </w:rPr>
        <w:t xml:space="preserve"> students were 2.0</w:t>
      </w:r>
      <w:r w:rsidR="00744CB2">
        <w:rPr>
          <w:lang w:val="en-AU"/>
        </w:rPr>
        <w:t>6</w:t>
      </w:r>
      <w:r w:rsidR="00C50956">
        <w:rPr>
          <w:lang w:val="en-AU"/>
        </w:rPr>
        <w:t xml:space="preserve"> </w:t>
      </w:r>
      <w:r w:rsidR="00C50956" w:rsidRPr="00D1718F">
        <w:t>±</w:t>
      </w:r>
      <w:r w:rsidR="00C50956">
        <w:t xml:space="preserve"> .1</w:t>
      </w:r>
      <w:r w:rsidR="00744CB2">
        <w:t>67</w:t>
      </w:r>
      <w:r w:rsidR="00C50956">
        <w:t>, 1.7</w:t>
      </w:r>
      <w:r w:rsidR="00744CB2">
        <w:t>3</w:t>
      </w:r>
      <w:r w:rsidR="00C50956">
        <w:t xml:space="preserve"> </w:t>
      </w:r>
      <w:r w:rsidR="00C50956" w:rsidRPr="00D1718F">
        <w:t>±</w:t>
      </w:r>
      <w:r w:rsidR="00C50956">
        <w:t xml:space="preserve"> .11</w:t>
      </w:r>
      <w:r w:rsidR="00744CB2">
        <w:t>3</w:t>
      </w:r>
      <w:r w:rsidR="00C50956">
        <w:t>, 2.5</w:t>
      </w:r>
      <w:r w:rsidR="00744CB2">
        <w:t>3</w:t>
      </w:r>
      <w:r w:rsidR="00C50956">
        <w:t xml:space="preserve"> </w:t>
      </w:r>
      <w:r w:rsidR="00C50956" w:rsidRPr="00D1718F">
        <w:t>±</w:t>
      </w:r>
      <w:r w:rsidR="00C50956">
        <w:t xml:space="preserve"> .2</w:t>
      </w:r>
      <w:r w:rsidR="00744CB2">
        <w:t>06</w:t>
      </w:r>
      <w:r w:rsidR="00C50956">
        <w:t>, and 2.</w:t>
      </w:r>
      <w:r w:rsidR="00744CB2">
        <w:t>35</w:t>
      </w:r>
      <w:r w:rsidR="00C50956">
        <w:t xml:space="preserve"> </w:t>
      </w:r>
      <w:r w:rsidR="00C50956" w:rsidRPr="00D1718F">
        <w:t>±</w:t>
      </w:r>
      <w:r w:rsidR="00C50956">
        <w:t xml:space="preserve"> .1</w:t>
      </w:r>
      <w:r w:rsidR="00744CB2">
        <w:t>74</w:t>
      </w:r>
      <w:r w:rsidR="00C50956">
        <w:t>, respectivel</w:t>
      </w:r>
      <w:r w:rsidR="00C50956" w:rsidRPr="007B613A">
        <w:t xml:space="preserve">y. </w:t>
      </w:r>
      <w:r w:rsidRPr="007B613A">
        <w:rPr>
          <w:lang w:val="en-AU"/>
        </w:rPr>
        <w:t xml:space="preserve">High-achieving students were found to </w:t>
      </w:r>
      <w:r w:rsidRPr="007B613A">
        <w:rPr>
          <w:lang w:val="en-AU"/>
        </w:rPr>
        <w:lastRenderedPageBreak/>
        <w:t>report significantly less quiz-related shame than medium</w:t>
      </w:r>
      <w:r w:rsidR="00C50956" w:rsidRPr="007B613A">
        <w:rPr>
          <w:lang w:val="en-AU"/>
        </w:rPr>
        <w:t>-achieving students</w:t>
      </w:r>
      <w:r w:rsidRPr="007B613A">
        <w:rPr>
          <w:lang w:val="en-AU"/>
        </w:rPr>
        <w:t xml:space="preserve"> (95% CI, 0.1</w:t>
      </w:r>
      <w:r w:rsidR="007B613A" w:rsidRPr="007B613A">
        <w:rPr>
          <w:lang w:val="en-AU"/>
        </w:rPr>
        <w:t>6</w:t>
      </w:r>
      <w:r w:rsidRPr="007B613A">
        <w:rPr>
          <w:lang w:val="en-AU"/>
        </w:rPr>
        <w:t xml:space="preserve"> to 1.</w:t>
      </w:r>
      <w:r w:rsidR="007B613A" w:rsidRPr="007B613A">
        <w:rPr>
          <w:lang w:val="en-AU"/>
        </w:rPr>
        <w:t>43</w:t>
      </w:r>
      <w:r w:rsidRPr="007B613A">
        <w:rPr>
          <w:lang w:val="en-AU"/>
        </w:rPr>
        <w:t xml:space="preserve">, </w:t>
      </w:r>
      <w:r w:rsidRPr="007B613A">
        <w:rPr>
          <w:i/>
          <w:iCs/>
          <w:lang w:val="en-AU"/>
        </w:rPr>
        <w:t xml:space="preserve">p </w:t>
      </w:r>
      <w:r w:rsidRPr="007B613A">
        <w:rPr>
          <w:lang w:val="en-AU"/>
        </w:rPr>
        <w:t xml:space="preserve">&lt; .01) and low-achieving </w:t>
      </w:r>
      <w:r w:rsidR="00C50956" w:rsidRPr="007B613A">
        <w:rPr>
          <w:lang w:val="en-AU"/>
        </w:rPr>
        <w:t xml:space="preserve">students </w:t>
      </w:r>
      <w:r w:rsidRPr="007B613A">
        <w:rPr>
          <w:lang w:val="en-AU"/>
        </w:rPr>
        <w:t>(95% CI, 0.0</w:t>
      </w:r>
      <w:r w:rsidR="007B613A" w:rsidRPr="007B613A">
        <w:rPr>
          <w:lang w:val="en-AU"/>
        </w:rPr>
        <w:t>5</w:t>
      </w:r>
      <w:r w:rsidRPr="007B613A">
        <w:rPr>
          <w:lang w:val="en-AU"/>
        </w:rPr>
        <w:t xml:space="preserve"> to 1.</w:t>
      </w:r>
      <w:r w:rsidR="007B613A" w:rsidRPr="007B613A">
        <w:rPr>
          <w:lang w:val="en-AU"/>
        </w:rPr>
        <w:t>17</w:t>
      </w:r>
      <w:r w:rsidRPr="007B613A">
        <w:rPr>
          <w:lang w:val="en-AU"/>
        </w:rPr>
        <w:t>, p &lt; .05)</w:t>
      </w:r>
      <w:r w:rsidR="00C50956" w:rsidRPr="007B613A">
        <w:rPr>
          <w:lang w:val="en-AU"/>
        </w:rPr>
        <w:t>.</w:t>
      </w:r>
    </w:p>
    <w:p w14:paraId="3D2E0E36" w14:textId="01A5F793" w:rsidR="007E7669" w:rsidRDefault="007E7669" w:rsidP="00F737DA">
      <w:pPr>
        <w:pStyle w:val="AJETnormal"/>
      </w:pPr>
      <w:r>
        <w:rPr>
          <w:lang w:val="en-AU"/>
        </w:rPr>
        <w:t>The main effect of gender w</w:t>
      </w:r>
      <w:r w:rsidR="009176F9">
        <w:rPr>
          <w:lang w:val="en-AU"/>
        </w:rPr>
        <w:t>as</w:t>
      </w:r>
      <w:r>
        <w:rPr>
          <w:lang w:val="en-AU"/>
        </w:rPr>
        <w:t xml:space="preserve"> found to be statistically significant for quiz-related </w:t>
      </w:r>
      <w:r w:rsidR="002A5441">
        <w:rPr>
          <w:lang w:val="en-AU"/>
        </w:rPr>
        <w:t>anxiety (</w:t>
      </w:r>
      <w:proofErr w:type="gramStart"/>
      <w:r w:rsidR="002A5441">
        <w:rPr>
          <w:lang w:val="en-AU"/>
        </w:rPr>
        <w:t>F(</w:t>
      </w:r>
      <w:proofErr w:type="gramEnd"/>
      <w:r w:rsidR="002A5441">
        <w:rPr>
          <w:lang w:val="en-AU"/>
        </w:rPr>
        <w:t xml:space="preserve">1, 83) = 6.840, </w:t>
      </w:r>
      <w:r w:rsidR="002A5441" w:rsidRPr="002A5441">
        <w:rPr>
          <w:i/>
          <w:iCs/>
          <w:lang w:val="en-AU"/>
        </w:rPr>
        <w:t>p</w:t>
      </w:r>
      <w:r w:rsidR="002A5441">
        <w:rPr>
          <w:lang w:val="en-AU"/>
        </w:rPr>
        <w:t xml:space="preserve"> &lt; .05, </w:t>
      </w:r>
      <w:r w:rsidR="002A5441">
        <w:rPr>
          <w:lang w:val="en-AU"/>
        </w:rPr>
        <w:t xml:space="preserve">partial </w:t>
      </w:r>
      <w:r w:rsidR="002A5441">
        <w:rPr>
          <w:rFonts w:cstheme="minorHAnsi"/>
          <w:lang w:val="en-AU"/>
        </w:rPr>
        <w:t>η</w:t>
      </w:r>
      <w:r w:rsidR="002A5441" w:rsidRPr="00FB43C1">
        <w:rPr>
          <w:vertAlign w:val="superscript"/>
          <w:lang w:val="en-AU"/>
        </w:rPr>
        <w:t>2</w:t>
      </w:r>
      <w:r w:rsidR="002A5441">
        <w:rPr>
          <w:lang w:val="en-AU"/>
        </w:rPr>
        <w:t xml:space="preserve"> = .</w:t>
      </w:r>
      <w:r w:rsidR="00D86222">
        <w:rPr>
          <w:lang w:val="en-AU"/>
        </w:rPr>
        <w:t xml:space="preserve">076) </w:t>
      </w:r>
      <w:r w:rsidR="002A5441">
        <w:rPr>
          <w:lang w:val="en-AU"/>
        </w:rPr>
        <w:t>and quiz-related shame</w:t>
      </w:r>
      <w:r w:rsidR="00D86222">
        <w:rPr>
          <w:lang w:val="en-AU"/>
        </w:rPr>
        <w:t xml:space="preserve"> </w:t>
      </w:r>
      <w:r w:rsidR="00D86222">
        <w:rPr>
          <w:lang w:val="en-AU"/>
        </w:rPr>
        <w:t>(F(1, 83) = 6.</w:t>
      </w:r>
      <w:r w:rsidR="00D86222">
        <w:rPr>
          <w:lang w:val="en-AU"/>
        </w:rPr>
        <w:t>219</w:t>
      </w:r>
      <w:r w:rsidR="00D86222">
        <w:rPr>
          <w:lang w:val="en-AU"/>
        </w:rPr>
        <w:t xml:space="preserve">, </w:t>
      </w:r>
      <w:r w:rsidR="00D86222" w:rsidRPr="002A5441">
        <w:rPr>
          <w:i/>
          <w:iCs/>
          <w:lang w:val="en-AU"/>
        </w:rPr>
        <w:t>p</w:t>
      </w:r>
      <w:r w:rsidR="00D86222">
        <w:rPr>
          <w:lang w:val="en-AU"/>
        </w:rPr>
        <w:t xml:space="preserve"> &lt; .05, partial </w:t>
      </w:r>
      <w:r w:rsidR="00D86222">
        <w:rPr>
          <w:rFonts w:cstheme="minorHAnsi"/>
          <w:lang w:val="en-AU"/>
        </w:rPr>
        <w:t>η</w:t>
      </w:r>
      <w:r w:rsidR="00D86222" w:rsidRPr="00FB43C1">
        <w:rPr>
          <w:vertAlign w:val="superscript"/>
          <w:lang w:val="en-AU"/>
        </w:rPr>
        <w:t>2</w:t>
      </w:r>
      <w:r w:rsidR="00D86222">
        <w:rPr>
          <w:lang w:val="en-AU"/>
        </w:rPr>
        <w:t xml:space="preserve"> = .07</w:t>
      </w:r>
      <w:r w:rsidR="00D86222">
        <w:rPr>
          <w:lang w:val="en-AU"/>
        </w:rPr>
        <w:t>0</w:t>
      </w:r>
      <w:r w:rsidR="00D86222">
        <w:rPr>
          <w:lang w:val="en-AU"/>
        </w:rPr>
        <w:t>)</w:t>
      </w:r>
      <w:r w:rsidR="002A5441">
        <w:rPr>
          <w:lang w:val="en-AU"/>
        </w:rPr>
        <w:t>.</w:t>
      </w:r>
      <w:r>
        <w:rPr>
          <w:lang w:val="en-AU"/>
        </w:rPr>
        <w:t xml:space="preserve"> </w:t>
      </w:r>
      <w:r w:rsidR="00005FE3">
        <w:rPr>
          <w:lang w:val="en-AU"/>
        </w:rPr>
        <w:t xml:space="preserve">The unweighted marginal means </w:t>
      </w:r>
      <w:r w:rsidR="00394B08">
        <w:rPr>
          <w:lang w:val="en-AU"/>
        </w:rPr>
        <w:t xml:space="preserve">of quiz-related anxiety for females </w:t>
      </w:r>
      <w:r w:rsidR="00F005C8">
        <w:rPr>
          <w:lang w:val="en-AU"/>
        </w:rPr>
        <w:t xml:space="preserve">and males </w:t>
      </w:r>
      <w:r w:rsidR="00394B08">
        <w:rPr>
          <w:lang w:val="en-AU"/>
        </w:rPr>
        <w:t xml:space="preserve">were </w:t>
      </w:r>
      <w:r w:rsidR="000A391A">
        <w:rPr>
          <w:lang w:val="en-AU"/>
        </w:rPr>
        <w:t xml:space="preserve">2.76 </w:t>
      </w:r>
      <w:r w:rsidR="000A391A" w:rsidRPr="00D1718F">
        <w:t>±</w:t>
      </w:r>
      <w:r w:rsidR="000A391A">
        <w:t xml:space="preserve"> .158 and </w:t>
      </w:r>
      <w:r w:rsidR="00F005C8">
        <w:rPr>
          <w:lang w:val="en-AU"/>
        </w:rPr>
        <w:t>2.25</w:t>
      </w:r>
      <w:r w:rsidR="00F005C8">
        <w:rPr>
          <w:lang w:val="en-AU"/>
        </w:rPr>
        <w:t xml:space="preserve"> </w:t>
      </w:r>
      <w:r w:rsidR="00F005C8" w:rsidRPr="00D1718F">
        <w:t>±</w:t>
      </w:r>
      <w:r w:rsidR="00F005C8">
        <w:t xml:space="preserve"> </w:t>
      </w:r>
      <w:r w:rsidR="000A391A">
        <w:t>.115, respectively</w:t>
      </w:r>
      <w:r w:rsidR="003F4293">
        <w:t>.</w:t>
      </w:r>
      <w:r w:rsidR="000A391A">
        <w:t xml:space="preserve"> </w:t>
      </w:r>
      <w:r w:rsidR="00A839C4">
        <w:rPr>
          <w:lang w:val="en-AU"/>
        </w:rPr>
        <w:t xml:space="preserve">The unweighted marginal means of quiz-related </w:t>
      </w:r>
      <w:r w:rsidR="00A839C4">
        <w:rPr>
          <w:lang w:val="en-AU"/>
        </w:rPr>
        <w:t xml:space="preserve">shame </w:t>
      </w:r>
      <w:r w:rsidR="00A839C4">
        <w:rPr>
          <w:lang w:val="en-AU"/>
        </w:rPr>
        <w:t xml:space="preserve">for females and males were </w:t>
      </w:r>
      <w:r w:rsidR="00A839C4">
        <w:rPr>
          <w:lang w:val="en-AU"/>
        </w:rPr>
        <w:t>2.38</w:t>
      </w:r>
      <w:r w:rsidR="00A839C4">
        <w:rPr>
          <w:lang w:val="en-AU"/>
        </w:rPr>
        <w:t xml:space="preserve"> </w:t>
      </w:r>
      <w:r w:rsidR="00A839C4" w:rsidRPr="00D1718F">
        <w:t>±</w:t>
      </w:r>
      <w:r w:rsidR="00A839C4">
        <w:t xml:space="preserve"> .1</w:t>
      </w:r>
      <w:r w:rsidR="00A839C4">
        <w:t>36</w:t>
      </w:r>
      <w:r w:rsidR="00A839C4">
        <w:t xml:space="preserve"> and </w:t>
      </w:r>
      <w:r w:rsidR="00A839C4">
        <w:rPr>
          <w:lang w:val="en-AU"/>
        </w:rPr>
        <w:t>1.96</w:t>
      </w:r>
      <w:r w:rsidR="00A839C4">
        <w:rPr>
          <w:lang w:val="en-AU"/>
        </w:rPr>
        <w:t xml:space="preserve"> </w:t>
      </w:r>
      <w:r w:rsidR="00A839C4" w:rsidRPr="00D1718F">
        <w:t>±</w:t>
      </w:r>
      <w:r w:rsidR="00A839C4">
        <w:t xml:space="preserve"> .</w:t>
      </w:r>
      <w:r w:rsidR="00A839C4">
        <w:t>099</w:t>
      </w:r>
      <w:r w:rsidR="00A839C4">
        <w:t>, respectively.</w:t>
      </w:r>
      <w:r w:rsidR="005359DA">
        <w:t xml:space="preserve"> </w:t>
      </w:r>
      <w:r w:rsidR="00D3527A">
        <w:t>Overall, m</w:t>
      </w:r>
      <w:r w:rsidR="005359DA">
        <w:t xml:space="preserve">ales were found to report lower quiz-related anxiety </w:t>
      </w:r>
      <w:r w:rsidR="005359DA" w:rsidRPr="007B613A">
        <w:rPr>
          <w:lang w:val="en-AU"/>
        </w:rPr>
        <w:t>(95% CI, 0.1</w:t>
      </w:r>
      <w:r w:rsidR="002C38E5">
        <w:rPr>
          <w:lang w:val="en-AU"/>
        </w:rPr>
        <w:t>2</w:t>
      </w:r>
      <w:r w:rsidR="005359DA" w:rsidRPr="007B613A">
        <w:rPr>
          <w:lang w:val="en-AU"/>
        </w:rPr>
        <w:t xml:space="preserve"> to </w:t>
      </w:r>
      <w:r w:rsidR="002C38E5">
        <w:rPr>
          <w:lang w:val="en-AU"/>
        </w:rPr>
        <w:t>0.90</w:t>
      </w:r>
      <w:r w:rsidR="005359DA" w:rsidRPr="007B613A">
        <w:rPr>
          <w:lang w:val="en-AU"/>
        </w:rPr>
        <w:t xml:space="preserve">, </w:t>
      </w:r>
      <w:r w:rsidR="005359DA" w:rsidRPr="007B613A">
        <w:rPr>
          <w:i/>
          <w:iCs/>
          <w:lang w:val="en-AU"/>
        </w:rPr>
        <w:t xml:space="preserve">p </w:t>
      </w:r>
      <w:r w:rsidR="005359DA" w:rsidRPr="007B613A">
        <w:rPr>
          <w:lang w:val="en-AU"/>
        </w:rPr>
        <w:t>&lt; .0</w:t>
      </w:r>
      <w:r w:rsidR="002C38E5">
        <w:rPr>
          <w:lang w:val="en-AU"/>
        </w:rPr>
        <w:t>5</w:t>
      </w:r>
      <w:r w:rsidR="005359DA" w:rsidRPr="007B613A">
        <w:rPr>
          <w:lang w:val="en-AU"/>
        </w:rPr>
        <w:t>)</w:t>
      </w:r>
      <w:r w:rsidR="002C38E5">
        <w:rPr>
          <w:lang w:val="en-AU"/>
        </w:rPr>
        <w:t xml:space="preserve"> and quiz-related shame </w:t>
      </w:r>
      <w:r w:rsidR="002C38E5" w:rsidRPr="007B613A">
        <w:rPr>
          <w:lang w:val="en-AU"/>
        </w:rPr>
        <w:t>(95% CI, 0.</w:t>
      </w:r>
      <w:r w:rsidR="002C38E5">
        <w:rPr>
          <w:lang w:val="en-AU"/>
        </w:rPr>
        <w:t>09</w:t>
      </w:r>
      <w:r w:rsidR="002C38E5" w:rsidRPr="007B613A">
        <w:rPr>
          <w:lang w:val="en-AU"/>
        </w:rPr>
        <w:t xml:space="preserve"> to </w:t>
      </w:r>
      <w:r w:rsidR="002C38E5">
        <w:rPr>
          <w:lang w:val="en-AU"/>
        </w:rPr>
        <w:t>0.76</w:t>
      </w:r>
      <w:r w:rsidR="002C38E5" w:rsidRPr="007B613A">
        <w:rPr>
          <w:lang w:val="en-AU"/>
        </w:rPr>
        <w:t xml:space="preserve">, </w:t>
      </w:r>
      <w:r w:rsidR="002C38E5" w:rsidRPr="007B613A">
        <w:rPr>
          <w:i/>
          <w:iCs/>
          <w:lang w:val="en-AU"/>
        </w:rPr>
        <w:t xml:space="preserve">p </w:t>
      </w:r>
      <w:r w:rsidR="002C38E5" w:rsidRPr="007B613A">
        <w:rPr>
          <w:lang w:val="en-AU"/>
        </w:rPr>
        <w:t>&lt; .0</w:t>
      </w:r>
      <w:r w:rsidR="002C38E5">
        <w:rPr>
          <w:lang w:val="en-AU"/>
        </w:rPr>
        <w:t>5</w:t>
      </w:r>
      <w:r w:rsidR="002C38E5" w:rsidRPr="007B613A">
        <w:rPr>
          <w:lang w:val="en-AU"/>
        </w:rPr>
        <w:t>)</w:t>
      </w:r>
      <w:r w:rsidR="002C38E5">
        <w:rPr>
          <w:lang w:val="en-AU"/>
        </w:rPr>
        <w:t xml:space="preserve"> than females. </w:t>
      </w:r>
    </w:p>
    <w:sectPr w:rsidR="007E7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A"/>
    <w:rsid w:val="00005FE3"/>
    <w:rsid w:val="00025A29"/>
    <w:rsid w:val="000462E1"/>
    <w:rsid w:val="000834A5"/>
    <w:rsid w:val="00084125"/>
    <w:rsid w:val="000A391A"/>
    <w:rsid w:val="00170771"/>
    <w:rsid w:val="001E2F15"/>
    <w:rsid w:val="002A5441"/>
    <w:rsid w:val="002C38E5"/>
    <w:rsid w:val="00347333"/>
    <w:rsid w:val="00391BCB"/>
    <w:rsid w:val="00394B08"/>
    <w:rsid w:val="003C4DDA"/>
    <w:rsid w:val="003F4293"/>
    <w:rsid w:val="003F7A5B"/>
    <w:rsid w:val="00405B89"/>
    <w:rsid w:val="004522F9"/>
    <w:rsid w:val="004653BE"/>
    <w:rsid w:val="004B553C"/>
    <w:rsid w:val="0052193E"/>
    <w:rsid w:val="005359DA"/>
    <w:rsid w:val="005852E5"/>
    <w:rsid w:val="00632848"/>
    <w:rsid w:val="00733B5F"/>
    <w:rsid w:val="00744CB2"/>
    <w:rsid w:val="00744CD2"/>
    <w:rsid w:val="00755777"/>
    <w:rsid w:val="007615F6"/>
    <w:rsid w:val="00795CB9"/>
    <w:rsid w:val="007B613A"/>
    <w:rsid w:val="007C42DD"/>
    <w:rsid w:val="007D5B4F"/>
    <w:rsid w:val="007E7669"/>
    <w:rsid w:val="00810E89"/>
    <w:rsid w:val="008A68FD"/>
    <w:rsid w:val="008D3783"/>
    <w:rsid w:val="008E4434"/>
    <w:rsid w:val="008F2EF2"/>
    <w:rsid w:val="009176F9"/>
    <w:rsid w:val="009813C1"/>
    <w:rsid w:val="00A30805"/>
    <w:rsid w:val="00A839C4"/>
    <w:rsid w:val="00AB60DA"/>
    <w:rsid w:val="00B144E6"/>
    <w:rsid w:val="00B61648"/>
    <w:rsid w:val="00BF516E"/>
    <w:rsid w:val="00C50956"/>
    <w:rsid w:val="00D1718F"/>
    <w:rsid w:val="00D27A70"/>
    <w:rsid w:val="00D3527A"/>
    <w:rsid w:val="00D85537"/>
    <w:rsid w:val="00D86222"/>
    <w:rsid w:val="00DB6C3B"/>
    <w:rsid w:val="00EE5DD8"/>
    <w:rsid w:val="00F005C8"/>
    <w:rsid w:val="00F22A46"/>
    <w:rsid w:val="00F4524D"/>
    <w:rsid w:val="00F577FF"/>
    <w:rsid w:val="00F62703"/>
    <w:rsid w:val="00F737DA"/>
    <w:rsid w:val="00F77BF3"/>
    <w:rsid w:val="00FB1274"/>
    <w:rsid w:val="00FB43C1"/>
    <w:rsid w:val="00FB4D16"/>
    <w:rsid w:val="00FE6F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C72F"/>
  <w15:chartTrackingRefBased/>
  <w15:docId w15:val="{F8A793E5-86BC-446F-980A-62AB5F14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718F"/>
    <w:rPr>
      <w:i/>
      <w:iCs/>
    </w:rPr>
  </w:style>
  <w:style w:type="paragraph" w:customStyle="1" w:styleId="AJETnormal">
    <w:name w:val="AJET normal"/>
    <w:qFormat/>
    <w:rsid w:val="00F62703"/>
    <w:pPr>
      <w:spacing w:after="200" w:line="240" w:lineRule="auto"/>
      <w:jc w:val="both"/>
    </w:pPr>
    <w:rPr>
      <w:rFonts w:ascii="Times New Roman" w:hAnsi="Times New Roman"/>
      <w:sz w:val="20"/>
    </w:rPr>
  </w:style>
  <w:style w:type="table" w:styleId="TableGrid">
    <w:name w:val="Table Grid"/>
    <w:basedOn w:val="TableNormal"/>
    <w:uiPriority w:val="59"/>
    <w:rsid w:val="00F6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
    <w:name w:val="Table descr"/>
    <w:next w:val="AJETnormal"/>
    <w:qFormat/>
    <w:rsid w:val="00F62703"/>
    <w:pPr>
      <w:spacing w:after="0" w:line="240" w:lineRule="auto"/>
    </w:pPr>
    <w:rPr>
      <w:rFonts w:ascii="Times New Roman" w:hAnsi="Times New Roman"/>
      <w:i/>
      <w:iCs/>
      <w:sz w:val="20"/>
      <w:lang w:val="en-AU"/>
    </w:rPr>
  </w:style>
  <w:style w:type="paragraph" w:customStyle="1" w:styleId="Tabletitle">
    <w:name w:val="Table title"/>
    <w:next w:val="Tabledescr"/>
    <w:qFormat/>
    <w:rsid w:val="00F62703"/>
    <w:pPr>
      <w:spacing w:after="0" w:line="240" w:lineRule="auto"/>
    </w:pPr>
    <w:rPr>
      <w:rFonts w:ascii="Times New Roman" w:hAnsi="Times New Roman"/>
      <w:sz w:val="20"/>
      <w:lang w:val="en-AU"/>
    </w:rPr>
  </w:style>
  <w:style w:type="paragraph" w:styleId="BalloonText">
    <w:name w:val="Balloon Text"/>
    <w:basedOn w:val="Normal"/>
    <w:link w:val="BalloonTextChar"/>
    <w:uiPriority w:val="99"/>
    <w:semiHidden/>
    <w:unhideWhenUsed/>
    <w:rsid w:val="00D85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Riegel</dc:creator>
  <cp:keywords/>
  <dc:description/>
  <cp:lastModifiedBy>Kaitlin Riegel</cp:lastModifiedBy>
  <cp:revision>49</cp:revision>
  <dcterms:created xsi:type="dcterms:W3CDTF">2020-11-23T23:26:00Z</dcterms:created>
  <dcterms:modified xsi:type="dcterms:W3CDTF">2020-12-07T09:07:00Z</dcterms:modified>
</cp:coreProperties>
</file>