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1149" w14:textId="492EE0F8" w:rsidR="00F7032F" w:rsidRPr="0091450A" w:rsidRDefault="00D012D7" w:rsidP="002D613F">
      <w:pPr>
        <w:pStyle w:val="Title"/>
        <w:jc w:val="center"/>
      </w:pPr>
      <w:r w:rsidRPr="0091450A">
        <w:t xml:space="preserve">Benchmarking </w:t>
      </w:r>
      <w:r w:rsidR="00BA30DB" w:rsidRPr="0091450A">
        <w:rPr>
          <w:lang w:eastAsia="en-NZ"/>
        </w:rPr>
        <w:t>N</w:t>
      </w:r>
      <w:r w:rsidRPr="0091450A">
        <w:rPr>
          <w:lang w:eastAsia="en-NZ"/>
        </w:rPr>
        <w:t>ew Zealand Food Environment Policies</w:t>
      </w:r>
      <w:r w:rsidRPr="0091450A">
        <w:t xml:space="preserve"> against </w:t>
      </w:r>
      <w:r w:rsidRPr="0091450A">
        <w:rPr>
          <w:lang w:eastAsia="en-NZ"/>
        </w:rPr>
        <w:t>International Best Practice</w:t>
      </w:r>
    </w:p>
    <w:p w14:paraId="0E60B5DB" w14:textId="0059352E" w:rsidR="00D012D7" w:rsidRPr="0091450A" w:rsidRDefault="00D012D7" w:rsidP="002D613F">
      <w:pPr>
        <w:pStyle w:val="Title"/>
        <w:jc w:val="center"/>
        <w:rPr>
          <w:rFonts w:cs="Times New Roman"/>
        </w:rPr>
      </w:pPr>
    </w:p>
    <w:p w14:paraId="28E15188" w14:textId="79CE9814" w:rsidR="00F7032F" w:rsidRPr="0091450A" w:rsidRDefault="65769D8C" w:rsidP="002D613F">
      <w:pPr>
        <w:pStyle w:val="Heading1"/>
        <w:spacing w:line="240" w:lineRule="auto"/>
        <w:jc w:val="center"/>
        <w:rPr>
          <w:color w:val="0070C0"/>
          <w:sz w:val="42"/>
        </w:rPr>
      </w:pPr>
      <w:bookmarkStart w:id="0" w:name="_Toc31623699"/>
      <w:r w:rsidRPr="0091450A">
        <w:rPr>
          <w:b w:val="0"/>
          <w:color w:val="0070C0"/>
          <w:sz w:val="42"/>
        </w:rPr>
        <w:t xml:space="preserve">Evidence </w:t>
      </w:r>
      <w:r w:rsidR="00DD4076">
        <w:rPr>
          <w:b w:val="0"/>
          <w:color w:val="0070C0"/>
          <w:sz w:val="42"/>
        </w:rPr>
        <w:t>S</w:t>
      </w:r>
      <w:r w:rsidRPr="0091450A">
        <w:rPr>
          <w:b w:val="0"/>
          <w:color w:val="0070C0"/>
          <w:sz w:val="42"/>
        </w:rPr>
        <w:t>ummary for Expert Panel</w:t>
      </w:r>
      <w:bookmarkEnd w:id="0"/>
    </w:p>
    <w:p w14:paraId="37001363" w14:textId="0B07FB10" w:rsidR="00E41A3A" w:rsidRPr="0091450A" w:rsidRDefault="00E41A3A" w:rsidP="002D613F">
      <w:pPr>
        <w:pStyle w:val="Heading2"/>
        <w:spacing w:before="0" w:line="240" w:lineRule="auto"/>
        <w:jc w:val="center"/>
        <w:rPr>
          <w:sz w:val="38"/>
        </w:rPr>
      </w:pPr>
      <w:bookmarkStart w:id="1" w:name="_Toc31623700"/>
      <w:r w:rsidRPr="0091450A">
        <w:rPr>
          <w:b w:val="0"/>
          <w:sz w:val="38"/>
        </w:rPr>
        <w:t>Food-EPI</w:t>
      </w:r>
      <w:bookmarkEnd w:id="1"/>
    </w:p>
    <w:p w14:paraId="45B3BFB9" w14:textId="2EF685F7" w:rsidR="00A14448" w:rsidRPr="0091450A" w:rsidRDefault="00A14448" w:rsidP="002D613F">
      <w:pPr>
        <w:pStyle w:val="Heading2"/>
        <w:spacing w:before="0" w:line="240" w:lineRule="auto"/>
        <w:jc w:val="center"/>
      </w:pPr>
      <w:bookmarkStart w:id="2" w:name="_Toc31623701"/>
      <w:r w:rsidRPr="0091450A">
        <w:rPr>
          <w:b w:val="0"/>
          <w:bCs w:val="0"/>
          <w:sz w:val="38"/>
          <w:szCs w:val="36"/>
        </w:rPr>
        <w:t>201</w:t>
      </w:r>
      <w:r w:rsidR="00D972A0" w:rsidRPr="0091450A">
        <w:rPr>
          <w:b w:val="0"/>
          <w:bCs w:val="0"/>
          <w:sz w:val="38"/>
          <w:szCs w:val="36"/>
        </w:rPr>
        <w:t>7</w:t>
      </w:r>
      <w:r w:rsidRPr="0091450A">
        <w:rPr>
          <w:b w:val="0"/>
          <w:bCs w:val="0"/>
          <w:sz w:val="38"/>
          <w:szCs w:val="36"/>
        </w:rPr>
        <w:t>-201</w:t>
      </w:r>
      <w:r w:rsidR="00D972A0" w:rsidRPr="0091450A">
        <w:rPr>
          <w:b w:val="0"/>
          <w:bCs w:val="0"/>
          <w:sz w:val="38"/>
          <w:szCs w:val="36"/>
        </w:rPr>
        <w:t>9</w:t>
      </w:r>
      <w:bookmarkEnd w:id="2"/>
      <w:r w:rsidR="005C4569" w:rsidRPr="005C4569">
        <w:rPr>
          <w:noProof/>
        </w:rPr>
        <w:t xml:space="preserve"> </w:t>
      </w:r>
    </w:p>
    <w:p w14:paraId="4203AF23" w14:textId="4CF8C707" w:rsidR="00F7032F" w:rsidRPr="0091450A" w:rsidRDefault="00F7032F" w:rsidP="002D613F">
      <w:pPr>
        <w:spacing w:line="240" w:lineRule="auto"/>
        <w:rPr>
          <w:rFonts w:cs="Times New Roman"/>
          <w:b/>
          <w:i/>
          <w:color w:val="1F497D" w:themeColor="text2"/>
          <w:sz w:val="24"/>
          <w:szCs w:val="24"/>
          <w:u w:val="single"/>
        </w:rPr>
      </w:pPr>
    </w:p>
    <w:p w14:paraId="2262A6FC" w14:textId="7EF83D84" w:rsidR="00F7032F" w:rsidRPr="0091450A" w:rsidRDefault="00DD4076" w:rsidP="002D613F">
      <w:pPr>
        <w:spacing w:line="240" w:lineRule="auto"/>
        <w:rPr>
          <w:rFonts w:cs="Times New Roman"/>
          <w:b/>
          <w:i/>
          <w:color w:val="1F497D" w:themeColor="text2"/>
          <w:sz w:val="24"/>
          <w:szCs w:val="24"/>
          <w:u w:val="single"/>
        </w:rPr>
      </w:pPr>
      <w:r>
        <w:rPr>
          <w:noProof/>
        </w:rPr>
        <w:drawing>
          <wp:anchor distT="0" distB="0" distL="114300" distR="114300" simplePos="0" relativeHeight="251665413" behindDoc="0" locked="0" layoutInCell="1" allowOverlap="1" wp14:anchorId="1AE62CC0" wp14:editId="5AE71827">
            <wp:simplePos x="0" y="0"/>
            <wp:positionH relativeFrom="margin">
              <wp:align>center</wp:align>
            </wp:positionH>
            <wp:positionV relativeFrom="paragraph">
              <wp:posOffset>12634</wp:posOffset>
            </wp:positionV>
            <wp:extent cx="1705610" cy="2456597"/>
            <wp:effectExtent l="0" t="0" r="889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594" b="1207"/>
                    <a:stretch/>
                  </pic:blipFill>
                  <pic:spPr bwMode="auto">
                    <a:xfrm>
                      <a:off x="0" y="0"/>
                      <a:ext cx="1706915" cy="2458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B6F">
        <w:rPr>
          <w:noProof/>
        </w:rPr>
        <w:t xml:space="preserve"> </w:t>
      </w:r>
    </w:p>
    <w:p w14:paraId="3DACE026" w14:textId="4F1C2347" w:rsidR="00F7032F" w:rsidRPr="0091450A" w:rsidRDefault="003428BC" w:rsidP="002D613F">
      <w:pPr>
        <w:spacing w:line="240" w:lineRule="auto"/>
        <w:rPr>
          <w:rFonts w:cs="Times New Roman"/>
          <w:b/>
          <w:i/>
          <w:color w:val="1F497D" w:themeColor="text2"/>
          <w:sz w:val="24"/>
          <w:szCs w:val="24"/>
          <w:u w:val="single"/>
        </w:rPr>
      </w:pPr>
      <w:r>
        <w:rPr>
          <w:noProof/>
        </w:rPr>
        <w:t xml:space="preserve"> </w:t>
      </w:r>
    </w:p>
    <w:p w14:paraId="2C1FDA09" w14:textId="7BD8C641" w:rsidR="00F7032F" w:rsidRPr="0091450A" w:rsidRDefault="00F7032F" w:rsidP="002D613F">
      <w:pPr>
        <w:spacing w:line="240" w:lineRule="auto"/>
        <w:rPr>
          <w:rFonts w:cs="Times New Roman"/>
          <w:b/>
          <w:i/>
          <w:color w:val="1F497D" w:themeColor="text2"/>
          <w:sz w:val="24"/>
          <w:szCs w:val="24"/>
          <w:u w:val="single"/>
        </w:rPr>
      </w:pPr>
    </w:p>
    <w:p w14:paraId="5CFC6901" w14:textId="6647691F" w:rsidR="00F7032F" w:rsidRPr="0091450A" w:rsidRDefault="00F7032F" w:rsidP="002D613F">
      <w:pPr>
        <w:spacing w:line="240" w:lineRule="auto"/>
        <w:rPr>
          <w:rFonts w:cs="Times New Roman"/>
          <w:b/>
          <w:i/>
          <w:color w:val="1F497D" w:themeColor="text2"/>
          <w:sz w:val="24"/>
          <w:szCs w:val="24"/>
          <w:u w:val="single"/>
        </w:rPr>
      </w:pPr>
    </w:p>
    <w:p w14:paraId="5A552E1E" w14:textId="7CDDD878" w:rsidR="00F7032F" w:rsidRPr="0091450A" w:rsidRDefault="00F7032F" w:rsidP="002D613F">
      <w:pPr>
        <w:spacing w:line="240" w:lineRule="auto"/>
        <w:rPr>
          <w:rFonts w:cs="Times New Roman"/>
          <w:b/>
          <w:i/>
          <w:color w:val="1F497D" w:themeColor="text2"/>
          <w:sz w:val="24"/>
          <w:szCs w:val="24"/>
          <w:u w:val="single"/>
        </w:rPr>
      </w:pPr>
    </w:p>
    <w:p w14:paraId="10D71E2D" w14:textId="7F142E8A" w:rsidR="00F7032F" w:rsidRPr="0091450A" w:rsidRDefault="00F7032F" w:rsidP="002D613F">
      <w:pPr>
        <w:spacing w:line="240" w:lineRule="auto"/>
        <w:rPr>
          <w:rFonts w:cs="Times New Roman"/>
          <w:b/>
          <w:i/>
          <w:color w:val="1F497D" w:themeColor="text2"/>
          <w:sz w:val="24"/>
          <w:szCs w:val="24"/>
          <w:u w:val="single"/>
        </w:rPr>
      </w:pPr>
    </w:p>
    <w:p w14:paraId="27AD5FB1" w14:textId="441A4E5C" w:rsidR="00F7032F" w:rsidRPr="0091450A" w:rsidRDefault="00F7032F" w:rsidP="002D613F">
      <w:pPr>
        <w:spacing w:line="240" w:lineRule="auto"/>
        <w:rPr>
          <w:rFonts w:cs="Times New Roman"/>
          <w:b/>
          <w:i/>
          <w:color w:val="1F497D" w:themeColor="text2"/>
          <w:sz w:val="24"/>
          <w:szCs w:val="24"/>
          <w:u w:val="single"/>
        </w:rPr>
      </w:pPr>
    </w:p>
    <w:p w14:paraId="413CDDBF" w14:textId="403CEFD2" w:rsidR="00F7032F" w:rsidRPr="0091450A" w:rsidRDefault="00DD4076" w:rsidP="002D613F">
      <w:pPr>
        <w:spacing w:line="240" w:lineRule="auto"/>
        <w:rPr>
          <w:rFonts w:cs="Times New Roman"/>
          <w:b/>
          <w:i/>
          <w:color w:val="1F497D" w:themeColor="text2"/>
          <w:sz w:val="24"/>
          <w:szCs w:val="24"/>
          <w:u w:val="single"/>
        </w:rPr>
      </w:pPr>
      <w:r>
        <w:rPr>
          <w:noProof/>
        </w:rPr>
        <w:drawing>
          <wp:anchor distT="0" distB="0" distL="114300" distR="114300" simplePos="0" relativeHeight="251661317" behindDoc="0" locked="0" layoutInCell="1" allowOverlap="1" wp14:anchorId="368F0A35" wp14:editId="451076CE">
            <wp:simplePos x="0" y="0"/>
            <wp:positionH relativeFrom="margin">
              <wp:posOffset>-3175</wp:posOffset>
            </wp:positionH>
            <wp:positionV relativeFrom="paragraph">
              <wp:posOffset>177478</wp:posOffset>
            </wp:positionV>
            <wp:extent cx="5731510" cy="1705610"/>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705610"/>
                    </a:xfrm>
                    <a:prstGeom prst="rect">
                      <a:avLst/>
                    </a:prstGeom>
                  </pic:spPr>
                </pic:pic>
              </a:graphicData>
            </a:graphic>
          </wp:anchor>
        </w:drawing>
      </w:r>
    </w:p>
    <w:p w14:paraId="2A62B003" w14:textId="4FB22462" w:rsidR="00F7032F" w:rsidRPr="0091450A" w:rsidRDefault="00F7032F" w:rsidP="002D613F">
      <w:pPr>
        <w:spacing w:line="240" w:lineRule="auto"/>
        <w:rPr>
          <w:rFonts w:cs="Times New Roman"/>
          <w:b/>
          <w:i/>
          <w:color w:val="1F497D" w:themeColor="text2"/>
          <w:sz w:val="24"/>
          <w:szCs w:val="24"/>
          <w:u w:val="single"/>
        </w:rPr>
      </w:pPr>
    </w:p>
    <w:p w14:paraId="27073CB5" w14:textId="3CFD0A39" w:rsidR="00F7032F" w:rsidRDefault="00F7032F" w:rsidP="002D613F">
      <w:pPr>
        <w:spacing w:line="240" w:lineRule="auto"/>
        <w:rPr>
          <w:rFonts w:cs="Times New Roman"/>
          <w:b/>
          <w:i/>
          <w:color w:val="1F497D" w:themeColor="text2"/>
          <w:sz w:val="24"/>
          <w:szCs w:val="24"/>
          <w:u w:val="single"/>
        </w:rPr>
      </w:pPr>
    </w:p>
    <w:p w14:paraId="527DFE87" w14:textId="7C3F36A3" w:rsidR="00656717" w:rsidRDefault="00656717" w:rsidP="002D613F">
      <w:pPr>
        <w:spacing w:line="240" w:lineRule="auto"/>
        <w:rPr>
          <w:rFonts w:cs="Times New Roman"/>
          <w:b/>
          <w:i/>
          <w:color w:val="1F497D" w:themeColor="text2"/>
          <w:sz w:val="24"/>
          <w:szCs w:val="24"/>
          <w:u w:val="single"/>
        </w:rPr>
      </w:pPr>
    </w:p>
    <w:p w14:paraId="201FF684" w14:textId="77777777" w:rsidR="00656717" w:rsidRPr="0091450A" w:rsidRDefault="00656717" w:rsidP="002D613F">
      <w:pPr>
        <w:spacing w:line="240" w:lineRule="auto"/>
        <w:rPr>
          <w:rFonts w:cs="Times New Roman"/>
          <w:b/>
          <w:i/>
          <w:color w:val="1F497D" w:themeColor="text2"/>
          <w:sz w:val="24"/>
          <w:szCs w:val="24"/>
          <w:u w:val="single"/>
        </w:rPr>
      </w:pPr>
    </w:p>
    <w:p w14:paraId="5BB0A885" w14:textId="5E61B44B" w:rsidR="00F7032F" w:rsidRPr="0091450A" w:rsidRDefault="00F7032F" w:rsidP="002D613F">
      <w:pPr>
        <w:spacing w:line="240" w:lineRule="auto"/>
        <w:rPr>
          <w:rFonts w:cs="Times New Roman"/>
          <w:b/>
          <w:i/>
          <w:color w:val="1F497D" w:themeColor="text2"/>
          <w:sz w:val="24"/>
          <w:szCs w:val="24"/>
          <w:u w:val="single"/>
        </w:rPr>
      </w:pPr>
    </w:p>
    <w:p w14:paraId="324988F1" w14:textId="77777777" w:rsidR="00DD4076" w:rsidRPr="00DD4076" w:rsidRDefault="00DD4076" w:rsidP="002D613F">
      <w:pPr>
        <w:spacing w:after="0" w:line="240" w:lineRule="auto"/>
        <w:jc w:val="center"/>
        <w:rPr>
          <w:rFonts w:cs="Times New Roman"/>
          <w:color w:val="244061" w:themeColor="accent1" w:themeShade="80"/>
          <w:sz w:val="8"/>
          <w:szCs w:val="28"/>
        </w:rPr>
      </w:pPr>
    </w:p>
    <w:p w14:paraId="25F7E546" w14:textId="77777777" w:rsidR="00DD4076" w:rsidRDefault="00DD4076" w:rsidP="002D613F">
      <w:pPr>
        <w:spacing w:after="0" w:line="240" w:lineRule="auto"/>
        <w:jc w:val="center"/>
        <w:rPr>
          <w:rFonts w:cs="Times New Roman"/>
          <w:color w:val="244061" w:themeColor="accent1" w:themeShade="80"/>
          <w:sz w:val="28"/>
          <w:szCs w:val="28"/>
        </w:rPr>
      </w:pPr>
    </w:p>
    <w:p w14:paraId="1DCDD5AB" w14:textId="0E81D5E8" w:rsidR="00660513" w:rsidRPr="0091450A" w:rsidRDefault="00E41A3A" w:rsidP="002D613F">
      <w:pPr>
        <w:spacing w:after="0" w:line="240" w:lineRule="auto"/>
        <w:jc w:val="center"/>
        <w:rPr>
          <w:rFonts w:cs="Times New Roman"/>
          <w:color w:val="244061" w:themeColor="accent1" w:themeShade="80"/>
          <w:sz w:val="28"/>
          <w:szCs w:val="28"/>
        </w:rPr>
      </w:pPr>
      <w:r w:rsidRPr="0091450A">
        <w:rPr>
          <w:rFonts w:cs="Times New Roman"/>
          <w:color w:val="244061" w:themeColor="accent1" w:themeShade="80"/>
          <w:sz w:val="28"/>
          <w:szCs w:val="28"/>
        </w:rPr>
        <w:t>The International Network for Food and Obesity/NCDs Research, Monitoring and Action Support</w:t>
      </w:r>
      <w:r w:rsidR="00AB19E9" w:rsidRPr="0091450A">
        <w:rPr>
          <w:rFonts w:cs="Times New Roman"/>
          <w:color w:val="244061" w:themeColor="accent1" w:themeShade="80"/>
          <w:sz w:val="28"/>
          <w:szCs w:val="28"/>
        </w:rPr>
        <w:t xml:space="preserve"> (INFORMAS)</w:t>
      </w:r>
    </w:p>
    <w:p w14:paraId="17306BA5" w14:textId="4133C2DC" w:rsidR="00F7032F" w:rsidRPr="0091450A" w:rsidRDefault="0095193C" w:rsidP="002D613F">
      <w:pPr>
        <w:spacing w:after="0" w:line="240" w:lineRule="auto"/>
        <w:jc w:val="center"/>
        <w:rPr>
          <w:rFonts w:cs="Times New Roman"/>
          <w:color w:val="244061" w:themeColor="accent1" w:themeShade="80"/>
          <w:sz w:val="28"/>
          <w:szCs w:val="28"/>
        </w:rPr>
      </w:pPr>
      <w:r w:rsidRPr="0091450A">
        <w:rPr>
          <w:rFonts w:cs="Times New Roman"/>
          <w:color w:val="244061" w:themeColor="accent1" w:themeShade="80"/>
          <w:sz w:val="28"/>
          <w:szCs w:val="28"/>
        </w:rPr>
        <w:t xml:space="preserve">The </w:t>
      </w:r>
      <w:r w:rsidR="00F7032F" w:rsidRPr="0091450A">
        <w:rPr>
          <w:rFonts w:cs="Times New Roman"/>
          <w:color w:val="244061" w:themeColor="accent1" w:themeShade="80"/>
          <w:sz w:val="28"/>
          <w:szCs w:val="28"/>
        </w:rPr>
        <w:t>University of Auckland</w:t>
      </w:r>
    </w:p>
    <w:p w14:paraId="1CE2B2EB" w14:textId="3B9FA1F7" w:rsidR="00F7032F" w:rsidRPr="0091450A" w:rsidRDefault="00F7032F" w:rsidP="002D613F">
      <w:pPr>
        <w:spacing w:after="0" w:line="240" w:lineRule="auto"/>
        <w:jc w:val="center"/>
        <w:rPr>
          <w:rFonts w:cs="Times New Roman"/>
          <w:color w:val="244061" w:themeColor="accent1" w:themeShade="80"/>
          <w:sz w:val="28"/>
          <w:szCs w:val="28"/>
        </w:rPr>
      </w:pPr>
      <w:r w:rsidRPr="0091450A">
        <w:rPr>
          <w:rFonts w:cs="Times New Roman"/>
          <w:color w:val="244061" w:themeColor="accent1" w:themeShade="80"/>
          <w:sz w:val="28"/>
          <w:szCs w:val="28"/>
        </w:rPr>
        <w:t>New Zealand</w:t>
      </w:r>
    </w:p>
    <w:p w14:paraId="4CF29234" w14:textId="04525062" w:rsidR="00F7032F" w:rsidRDefault="00DD4076" w:rsidP="002D613F">
      <w:pPr>
        <w:spacing w:after="0" w:line="240" w:lineRule="auto"/>
        <w:jc w:val="center"/>
        <w:rPr>
          <w:rFonts w:cs="Times New Roman"/>
          <w:color w:val="244061" w:themeColor="accent1" w:themeShade="80"/>
          <w:sz w:val="28"/>
          <w:szCs w:val="28"/>
        </w:rPr>
      </w:pPr>
      <w:r w:rsidRPr="0091450A">
        <w:rPr>
          <w:noProof/>
          <w:color w:val="244061" w:themeColor="accent1" w:themeShade="80"/>
          <w:sz w:val="48"/>
          <w:lang w:eastAsia="zh-CN"/>
        </w:rPr>
        <w:drawing>
          <wp:anchor distT="0" distB="0" distL="114300" distR="114300" simplePos="0" relativeHeight="251658245" behindDoc="0" locked="0" layoutInCell="1" allowOverlap="1" wp14:anchorId="0B879DEF" wp14:editId="5A3B5D72">
            <wp:simplePos x="0" y="0"/>
            <wp:positionH relativeFrom="margin">
              <wp:posOffset>3940810</wp:posOffset>
            </wp:positionH>
            <wp:positionV relativeFrom="paragraph">
              <wp:posOffset>104453</wp:posOffset>
            </wp:positionV>
            <wp:extent cx="1786890" cy="796290"/>
            <wp:effectExtent l="0" t="0" r="3810" b="3810"/>
            <wp:wrapNone/>
            <wp:docPr id="1" name="Picture 1" descr="https://www.fmhs.auckland.ac.nz/content/dam/uoa/fmhs/FMHS%20Staff%20Intranet/graphics/logos/images/2014%20logos/SoPH_Col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mhs.auckland.ac.nz/content/dam/uoa/fmhs/FMHS%20Staff%20Intranet/graphics/logos/images/2014%20logos/SoPH_ColHor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8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50A">
        <w:rPr>
          <w:noProof/>
          <w:lang w:eastAsia="zh-CN"/>
        </w:rPr>
        <w:drawing>
          <wp:anchor distT="0" distB="0" distL="114300" distR="114300" simplePos="0" relativeHeight="251658242" behindDoc="0" locked="0" layoutInCell="1" allowOverlap="1" wp14:anchorId="7924B057" wp14:editId="2C947793">
            <wp:simplePos x="0" y="0"/>
            <wp:positionH relativeFrom="margin">
              <wp:align>left</wp:align>
            </wp:positionH>
            <wp:positionV relativeFrom="paragraph">
              <wp:posOffset>15240</wp:posOffset>
            </wp:positionV>
            <wp:extent cx="2004060" cy="805180"/>
            <wp:effectExtent l="0" t="0" r="0" b="0"/>
            <wp:wrapNone/>
            <wp:docPr id="7" name="Picture 7" descr="C:\Users\cdom826\AppData\Local\Microsoft\Windows\Temporary Internet Files\Content.Word\WO_informas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dom826\AppData\Local\Microsoft\Windows\Temporary Internet Files\Content.Word\WO_informas log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406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5AC0CDEF" w:rsidRPr="0091450A">
        <w:rPr>
          <w:rFonts w:cs="Times New Roman"/>
          <w:color w:val="244061" w:themeColor="accent1" w:themeShade="80"/>
          <w:sz w:val="28"/>
          <w:szCs w:val="28"/>
        </w:rPr>
        <w:t>December 2019</w:t>
      </w:r>
    </w:p>
    <w:p w14:paraId="75B69B08" w14:textId="53A53796" w:rsidR="009A7026" w:rsidRPr="0091450A" w:rsidRDefault="009A7026" w:rsidP="002D613F">
      <w:pPr>
        <w:spacing w:after="0" w:line="240" w:lineRule="auto"/>
        <w:jc w:val="center"/>
        <w:rPr>
          <w:rFonts w:cs="Times New Roman"/>
          <w:color w:val="244061" w:themeColor="accent1" w:themeShade="80"/>
          <w:sz w:val="28"/>
          <w:szCs w:val="28"/>
        </w:rPr>
      </w:pPr>
    </w:p>
    <w:p w14:paraId="7D269828" w14:textId="4027C72D" w:rsidR="009A7026" w:rsidRDefault="009A7026" w:rsidP="00656717">
      <w:pPr>
        <w:spacing w:line="240" w:lineRule="auto"/>
        <w:jc w:val="both"/>
        <w:rPr>
          <w:rFonts w:cs="Times New Roman"/>
          <w:b/>
          <w:i/>
          <w:color w:val="1F497D" w:themeColor="text2"/>
          <w:sz w:val="24"/>
          <w:szCs w:val="24"/>
          <w:u w:val="single"/>
        </w:rPr>
      </w:pPr>
    </w:p>
    <w:sdt>
      <w:sdtPr>
        <w:rPr>
          <w:rFonts w:eastAsiaTheme="minorHAnsi" w:cstheme="minorBidi"/>
          <w:b w:val="0"/>
          <w:bCs w:val="0"/>
          <w:color w:val="auto"/>
          <w:sz w:val="22"/>
          <w:szCs w:val="22"/>
          <w:lang w:val="en-NZ" w:eastAsia="en-US"/>
        </w:rPr>
        <w:id w:val="-608886311"/>
        <w:docPartObj>
          <w:docPartGallery w:val="Table of Contents"/>
          <w:docPartUnique/>
        </w:docPartObj>
      </w:sdtPr>
      <w:sdtEndPr>
        <w:rPr>
          <w:sz w:val="20"/>
        </w:rPr>
      </w:sdtEndPr>
      <w:sdtContent>
        <w:p w14:paraId="7E80377D" w14:textId="0B7D927F" w:rsidR="00C27604" w:rsidRPr="0091450A" w:rsidRDefault="00C27604" w:rsidP="008621DE">
          <w:pPr>
            <w:pStyle w:val="TOCHeading"/>
            <w:spacing w:before="0" w:line="240" w:lineRule="auto"/>
            <w:rPr>
              <w:lang w:val="en-NZ"/>
            </w:rPr>
          </w:pPr>
          <w:r w:rsidRPr="0091450A">
            <w:rPr>
              <w:lang w:val="en-NZ"/>
            </w:rPr>
            <w:t>Contents</w:t>
          </w:r>
        </w:p>
        <w:p w14:paraId="7B816BFE" w14:textId="5F815CE5" w:rsidR="0029456B" w:rsidRPr="0091450A" w:rsidRDefault="00C27604" w:rsidP="008621DE">
          <w:pPr>
            <w:pStyle w:val="TOC1"/>
            <w:spacing w:after="0"/>
            <w:rPr>
              <w:rFonts w:eastAsiaTheme="minorEastAsia"/>
              <w:noProof/>
              <w:sz w:val="22"/>
              <w:lang w:eastAsia="en-NZ"/>
            </w:rPr>
          </w:pPr>
          <w:r w:rsidRPr="0091450A">
            <w:fldChar w:fldCharType="begin"/>
          </w:r>
          <w:r w:rsidRPr="0091450A">
            <w:instrText xml:space="preserve"> TOC \o "1-3" \h \z \u </w:instrText>
          </w:r>
          <w:r w:rsidRPr="0091450A">
            <w:fldChar w:fldCharType="separate"/>
          </w:r>
        </w:p>
        <w:p w14:paraId="2F18F2C6" w14:textId="4594437D" w:rsidR="0029456B" w:rsidRPr="0091450A" w:rsidRDefault="00E84E26" w:rsidP="008621DE">
          <w:pPr>
            <w:pStyle w:val="TOC1"/>
            <w:rPr>
              <w:rFonts w:eastAsiaTheme="minorEastAsia"/>
              <w:noProof/>
              <w:sz w:val="22"/>
              <w:lang w:eastAsia="en-NZ"/>
            </w:rPr>
          </w:pPr>
          <w:hyperlink w:anchor="_Toc31623702" w:history="1">
            <w:r w:rsidR="0029456B" w:rsidRPr="0091450A">
              <w:rPr>
                <w:rStyle w:val="Hyperlink"/>
                <w:noProof/>
              </w:rPr>
              <w:t>Introduction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_Toc31623702 \h </w:instrText>
            </w:r>
            <w:r w:rsidR="0029456B" w:rsidRPr="0091450A">
              <w:rPr>
                <w:noProof/>
                <w:webHidden/>
              </w:rPr>
            </w:r>
            <w:r w:rsidR="0029456B" w:rsidRPr="0091450A">
              <w:rPr>
                <w:noProof/>
                <w:webHidden/>
              </w:rPr>
              <w:fldChar w:fldCharType="separate"/>
            </w:r>
            <w:r w:rsidR="008621DE">
              <w:rPr>
                <w:noProof/>
                <w:webHidden/>
              </w:rPr>
              <w:t>3</w:t>
            </w:r>
            <w:r w:rsidR="0029456B" w:rsidRPr="0091450A">
              <w:rPr>
                <w:noProof/>
                <w:webHidden/>
              </w:rPr>
              <w:fldChar w:fldCharType="end"/>
            </w:r>
          </w:hyperlink>
        </w:p>
        <w:p w14:paraId="6B266760" w14:textId="590FCB18"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03" w:history="1">
            <w:r w:rsidR="0029456B" w:rsidRPr="0091450A">
              <w:rPr>
                <w:rStyle w:val="Hyperlink"/>
                <w:noProof/>
              </w:rPr>
              <w:t>2014 Priority Recommendations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_Toc31623703 \h </w:instrText>
            </w:r>
            <w:r w:rsidR="0029456B" w:rsidRPr="0091450A">
              <w:rPr>
                <w:noProof/>
                <w:webHidden/>
              </w:rPr>
            </w:r>
            <w:r w:rsidR="0029456B" w:rsidRPr="0091450A">
              <w:rPr>
                <w:noProof/>
                <w:webHidden/>
              </w:rPr>
              <w:fldChar w:fldCharType="separate"/>
            </w:r>
            <w:r w:rsidR="008621DE">
              <w:rPr>
                <w:noProof/>
                <w:webHidden/>
              </w:rPr>
              <w:t>4</w:t>
            </w:r>
            <w:r w:rsidR="0029456B" w:rsidRPr="0091450A">
              <w:rPr>
                <w:noProof/>
                <w:webHidden/>
              </w:rPr>
              <w:fldChar w:fldCharType="end"/>
            </w:r>
          </w:hyperlink>
        </w:p>
        <w:p w14:paraId="3B58B8B9" w14:textId="098F6BF7"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04" w:history="1">
            <w:r w:rsidR="0029456B" w:rsidRPr="0091450A">
              <w:rPr>
                <w:rStyle w:val="Hyperlink"/>
                <w:noProof/>
              </w:rPr>
              <w:t>2017 Priority Recommendations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_Toc31623704 \h </w:instrText>
            </w:r>
            <w:r w:rsidR="0029456B" w:rsidRPr="0091450A">
              <w:rPr>
                <w:noProof/>
                <w:webHidden/>
              </w:rPr>
            </w:r>
            <w:r w:rsidR="0029456B" w:rsidRPr="0091450A">
              <w:rPr>
                <w:noProof/>
                <w:webHidden/>
              </w:rPr>
              <w:fldChar w:fldCharType="separate"/>
            </w:r>
            <w:r w:rsidR="008621DE">
              <w:rPr>
                <w:noProof/>
                <w:webHidden/>
              </w:rPr>
              <w:t>4</w:t>
            </w:r>
            <w:r w:rsidR="0029456B" w:rsidRPr="0091450A">
              <w:rPr>
                <w:noProof/>
                <w:webHidden/>
              </w:rPr>
              <w:fldChar w:fldCharType="end"/>
            </w:r>
          </w:hyperlink>
        </w:p>
        <w:p w14:paraId="55B36BF2" w14:textId="602D166F" w:rsidR="0029456B" w:rsidRPr="0091450A" w:rsidRDefault="00E84E26" w:rsidP="008621DE">
          <w:pPr>
            <w:pStyle w:val="TOC1"/>
            <w:rPr>
              <w:rFonts w:eastAsiaTheme="minorEastAsia"/>
              <w:noProof/>
              <w:sz w:val="22"/>
              <w:lang w:eastAsia="en-NZ"/>
            </w:rPr>
          </w:pPr>
          <w:hyperlink w:anchor="_Toc31623705" w:history="1">
            <w:r w:rsidR="0029456B" w:rsidRPr="0091450A">
              <w:rPr>
                <w:rStyle w:val="Hyperlink"/>
                <w:noProof/>
              </w:rPr>
              <w:t>Instructions for rating</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_Toc31623705 \h </w:instrText>
            </w:r>
            <w:r w:rsidR="0029456B" w:rsidRPr="0091450A">
              <w:rPr>
                <w:noProof/>
                <w:webHidden/>
              </w:rPr>
            </w:r>
            <w:r w:rsidR="0029456B" w:rsidRPr="0091450A">
              <w:rPr>
                <w:noProof/>
                <w:webHidden/>
              </w:rPr>
              <w:fldChar w:fldCharType="separate"/>
            </w:r>
            <w:r w:rsidR="008621DE">
              <w:rPr>
                <w:noProof/>
                <w:webHidden/>
              </w:rPr>
              <w:t>6</w:t>
            </w:r>
            <w:r w:rsidR="0029456B" w:rsidRPr="0091450A">
              <w:rPr>
                <w:noProof/>
                <w:webHidden/>
              </w:rPr>
              <w:fldChar w:fldCharType="end"/>
            </w:r>
          </w:hyperlink>
        </w:p>
        <w:p w14:paraId="5F40FB7A" w14:textId="66572980" w:rsidR="0029456B" w:rsidRPr="0091450A" w:rsidRDefault="00E84E26" w:rsidP="008621DE">
          <w:pPr>
            <w:pStyle w:val="TOC1"/>
            <w:rPr>
              <w:rFonts w:eastAsiaTheme="minorEastAsia"/>
              <w:noProof/>
              <w:sz w:val="22"/>
              <w:lang w:eastAsia="en-NZ"/>
            </w:rPr>
          </w:pPr>
          <w:hyperlink w:anchor="_Toc31623706" w:history="1">
            <w:r w:rsidR="0029456B" w:rsidRPr="0091450A">
              <w:rPr>
                <w:rStyle w:val="Hyperlink"/>
                <w:noProof/>
              </w:rPr>
              <w:t>Definitions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_Toc31623706 \h </w:instrText>
            </w:r>
            <w:r w:rsidR="0029456B" w:rsidRPr="0091450A">
              <w:rPr>
                <w:noProof/>
                <w:webHidden/>
              </w:rPr>
            </w:r>
            <w:r w:rsidR="0029456B" w:rsidRPr="0091450A">
              <w:rPr>
                <w:noProof/>
                <w:webHidden/>
              </w:rPr>
              <w:fldChar w:fldCharType="separate"/>
            </w:r>
            <w:r w:rsidR="008621DE">
              <w:rPr>
                <w:noProof/>
                <w:webHidden/>
              </w:rPr>
              <w:t>9</w:t>
            </w:r>
            <w:r w:rsidR="0029456B" w:rsidRPr="0091450A">
              <w:rPr>
                <w:noProof/>
                <w:webHidden/>
              </w:rPr>
              <w:fldChar w:fldCharType="end"/>
            </w:r>
          </w:hyperlink>
        </w:p>
        <w:p w14:paraId="5AFC6BFB" w14:textId="49EEE257" w:rsidR="0029456B" w:rsidRPr="0091450A" w:rsidRDefault="00E84E26" w:rsidP="008621DE">
          <w:pPr>
            <w:pStyle w:val="TOC1"/>
            <w:rPr>
              <w:rFonts w:eastAsiaTheme="minorEastAsia"/>
              <w:noProof/>
              <w:sz w:val="22"/>
              <w:lang w:eastAsia="en-NZ"/>
            </w:rPr>
          </w:pPr>
          <w:hyperlink w:anchor="_Toc31623707" w:history="1">
            <w:r w:rsidR="0029456B" w:rsidRPr="0091450A">
              <w:rPr>
                <w:rStyle w:val="Hyperlink"/>
                <w:noProof/>
              </w:rPr>
              <w:t>Important information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_Toc31623707 \h </w:instrText>
            </w:r>
            <w:r w:rsidR="0029456B" w:rsidRPr="0091450A">
              <w:rPr>
                <w:noProof/>
                <w:webHidden/>
              </w:rPr>
            </w:r>
            <w:r w:rsidR="0029456B" w:rsidRPr="0091450A">
              <w:rPr>
                <w:noProof/>
                <w:webHidden/>
              </w:rPr>
              <w:fldChar w:fldCharType="separate"/>
            </w:r>
            <w:r w:rsidR="008621DE">
              <w:rPr>
                <w:noProof/>
                <w:webHidden/>
              </w:rPr>
              <w:t>9</w:t>
            </w:r>
            <w:r w:rsidR="0029456B" w:rsidRPr="0091450A">
              <w:rPr>
                <w:noProof/>
                <w:webHidden/>
              </w:rPr>
              <w:fldChar w:fldCharType="end"/>
            </w:r>
          </w:hyperlink>
        </w:p>
        <w:p w14:paraId="20C77545" w14:textId="3CEDD66A" w:rsidR="0029456B" w:rsidRPr="0091450A" w:rsidRDefault="00E84E26" w:rsidP="008621DE">
          <w:pPr>
            <w:pStyle w:val="TOC1"/>
            <w:rPr>
              <w:rFonts w:eastAsiaTheme="minorEastAsia"/>
              <w:noProof/>
              <w:sz w:val="22"/>
              <w:lang w:eastAsia="en-NZ"/>
            </w:rPr>
          </w:pPr>
          <w:hyperlink w:anchor="_Toc31623708" w:history="1">
            <w:r w:rsidR="0029456B" w:rsidRPr="0091450A">
              <w:rPr>
                <w:rStyle w:val="Hyperlink"/>
                <w:noProof/>
              </w:rPr>
              <w:t>Abbreviations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_Toc31623708 \h </w:instrText>
            </w:r>
            <w:r w:rsidR="0029456B" w:rsidRPr="0091450A">
              <w:rPr>
                <w:noProof/>
                <w:webHidden/>
              </w:rPr>
            </w:r>
            <w:r w:rsidR="0029456B" w:rsidRPr="0091450A">
              <w:rPr>
                <w:noProof/>
                <w:webHidden/>
              </w:rPr>
              <w:fldChar w:fldCharType="separate"/>
            </w:r>
            <w:r w:rsidR="008621DE">
              <w:rPr>
                <w:noProof/>
                <w:webHidden/>
              </w:rPr>
              <w:t>10</w:t>
            </w:r>
            <w:r w:rsidR="0029456B" w:rsidRPr="0091450A">
              <w:rPr>
                <w:noProof/>
                <w:webHidden/>
              </w:rPr>
              <w:fldChar w:fldCharType="end"/>
            </w:r>
          </w:hyperlink>
        </w:p>
        <w:p w14:paraId="1EEA9FED" w14:textId="1BB10D2B" w:rsidR="0029456B" w:rsidRPr="0091450A" w:rsidRDefault="00E84E26" w:rsidP="008621DE">
          <w:pPr>
            <w:pStyle w:val="TOC1"/>
            <w:rPr>
              <w:rFonts w:eastAsiaTheme="minorEastAsia"/>
              <w:noProof/>
              <w:sz w:val="22"/>
              <w:lang w:eastAsia="en-NZ"/>
            </w:rPr>
          </w:pPr>
          <w:hyperlink w:anchor="_Toc31623709" w:history="1">
            <w:r w:rsidR="0029456B" w:rsidRPr="0091450A">
              <w:rPr>
                <w:rStyle w:val="Hyperlink"/>
                <w:noProof/>
              </w:rPr>
              <w:t>Acknowledgements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_Toc31623709 \h </w:instrText>
            </w:r>
            <w:r w:rsidR="0029456B" w:rsidRPr="0091450A">
              <w:rPr>
                <w:noProof/>
                <w:webHidden/>
              </w:rPr>
            </w:r>
            <w:r w:rsidR="0029456B" w:rsidRPr="0091450A">
              <w:rPr>
                <w:noProof/>
                <w:webHidden/>
              </w:rPr>
              <w:fldChar w:fldCharType="separate"/>
            </w:r>
            <w:r w:rsidR="008621DE">
              <w:rPr>
                <w:noProof/>
                <w:webHidden/>
              </w:rPr>
              <w:t>10</w:t>
            </w:r>
            <w:r w:rsidR="0029456B" w:rsidRPr="0091450A">
              <w:rPr>
                <w:noProof/>
                <w:webHidden/>
              </w:rPr>
              <w:fldChar w:fldCharType="end"/>
            </w:r>
          </w:hyperlink>
        </w:p>
        <w:p w14:paraId="2A0601FE" w14:textId="7A6B47B7" w:rsidR="0029456B" w:rsidRPr="0091450A" w:rsidRDefault="00E84E26" w:rsidP="008621DE">
          <w:pPr>
            <w:pStyle w:val="TOC1"/>
            <w:rPr>
              <w:rFonts w:eastAsiaTheme="minorEastAsia"/>
              <w:noProof/>
              <w:sz w:val="22"/>
              <w:lang w:eastAsia="en-NZ"/>
            </w:rPr>
          </w:pPr>
          <w:hyperlink w:anchor="_Toc31623710" w:history="1">
            <w:r w:rsidR="0029456B" w:rsidRPr="0091450A">
              <w:rPr>
                <w:rStyle w:val="Hyperlink"/>
                <w:noProof/>
              </w:rPr>
              <w:t>Authors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_Toc31623710 \h </w:instrText>
            </w:r>
            <w:r w:rsidR="0029456B" w:rsidRPr="0091450A">
              <w:rPr>
                <w:noProof/>
                <w:webHidden/>
              </w:rPr>
            </w:r>
            <w:r w:rsidR="0029456B" w:rsidRPr="0091450A">
              <w:rPr>
                <w:noProof/>
                <w:webHidden/>
              </w:rPr>
              <w:fldChar w:fldCharType="separate"/>
            </w:r>
            <w:r w:rsidR="008621DE">
              <w:rPr>
                <w:noProof/>
                <w:webHidden/>
              </w:rPr>
              <w:t>10</w:t>
            </w:r>
            <w:r w:rsidR="0029456B" w:rsidRPr="0091450A">
              <w:rPr>
                <w:noProof/>
                <w:webHidden/>
              </w:rPr>
              <w:fldChar w:fldCharType="end"/>
            </w:r>
          </w:hyperlink>
        </w:p>
        <w:p w14:paraId="43873E45" w14:textId="006F40F4" w:rsidR="0029456B" w:rsidRPr="0091450A" w:rsidRDefault="00E84E26" w:rsidP="008621DE">
          <w:pPr>
            <w:pStyle w:val="TOC1"/>
            <w:rPr>
              <w:rFonts w:eastAsiaTheme="minorEastAsia"/>
              <w:noProof/>
              <w:sz w:val="22"/>
              <w:lang w:eastAsia="en-NZ"/>
            </w:rPr>
          </w:pPr>
          <w:hyperlink w:anchor="_Toc31623711" w:history="1">
            <w:r w:rsidR="0029456B" w:rsidRPr="0091450A">
              <w:rPr>
                <w:rStyle w:val="Hyperlink"/>
                <w:noProof/>
              </w:rPr>
              <w:t>EVIDENCE SUMMARY</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_Toc31623711 \h </w:instrText>
            </w:r>
            <w:r w:rsidR="0029456B" w:rsidRPr="0091450A">
              <w:rPr>
                <w:noProof/>
                <w:webHidden/>
              </w:rPr>
            </w:r>
            <w:r w:rsidR="0029456B" w:rsidRPr="0091450A">
              <w:rPr>
                <w:noProof/>
                <w:webHidden/>
              </w:rPr>
              <w:fldChar w:fldCharType="separate"/>
            </w:r>
            <w:r w:rsidR="008621DE">
              <w:rPr>
                <w:noProof/>
                <w:webHidden/>
              </w:rPr>
              <w:t>11</w:t>
            </w:r>
            <w:r w:rsidR="0029456B" w:rsidRPr="0091450A">
              <w:rPr>
                <w:noProof/>
                <w:webHidden/>
              </w:rPr>
              <w:fldChar w:fldCharType="end"/>
            </w:r>
          </w:hyperlink>
        </w:p>
        <w:p w14:paraId="366CC478" w14:textId="1794CA31" w:rsidR="0029456B" w:rsidRPr="0091450A" w:rsidRDefault="00E84E26" w:rsidP="008621DE">
          <w:pPr>
            <w:pStyle w:val="TOC1"/>
            <w:rPr>
              <w:rFonts w:eastAsiaTheme="minorEastAsia"/>
              <w:noProof/>
              <w:sz w:val="22"/>
              <w:lang w:eastAsia="en-NZ"/>
            </w:rPr>
          </w:pPr>
          <w:hyperlink w:anchor="_Toc31623712" w:history="1">
            <w:r w:rsidR="0029456B" w:rsidRPr="0091450A">
              <w:rPr>
                <w:rStyle w:val="Hyperlink"/>
                <w:noProof/>
              </w:rPr>
              <w:t>Healthy Food Environment Policy Index: POLICY domains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_Toc31623712 \h </w:instrText>
            </w:r>
            <w:r w:rsidR="0029456B" w:rsidRPr="0091450A">
              <w:rPr>
                <w:noProof/>
                <w:webHidden/>
              </w:rPr>
            </w:r>
            <w:r w:rsidR="0029456B" w:rsidRPr="0091450A">
              <w:rPr>
                <w:noProof/>
                <w:webHidden/>
              </w:rPr>
              <w:fldChar w:fldCharType="separate"/>
            </w:r>
            <w:r w:rsidR="008621DE">
              <w:rPr>
                <w:noProof/>
                <w:webHidden/>
              </w:rPr>
              <w:t>11</w:t>
            </w:r>
            <w:r w:rsidR="0029456B" w:rsidRPr="0091450A">
              <w:rPr>
                <w:noProof/>
                <w:webHidden/>
              </w:rPr>
              <w:fldChar w:fldCharType="end"/>
            </w:r>
          </w:hyperlink>
        </w:p>
        <w:p w14:paraId="05B9FC8D" w14:textId="5977BEC4"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13" w:history="1">
            <w:r w:rsidR="0029456B" w:rsidRPr="0091450A">
              <w:rPr>
                <w:rStyle w:val="Hyperlink"/>
                <w:noProof/>
              </w:rPr>
              <w:t>1 FOOD COMPOSITION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_Toc31623713 \h </w:instrText>
            </w:r>
            <w:r w:rsidR="0029456B" w:rsidRPr="0091450A">
              <w:rPr>
                <w:noProof/>
                <w:webHidden/>
              </w:rPr>
            </w:r>
            <w:r w:rsidR="0029456B" w:rsidRPr="0091450A">
              <w:rPr>
                <w:noProof/>
                <w:webHidden/>
              </w:rPr>
              <w:fldChar w:fldCharType="separate"/>
            </w:r>
            <w:r w:rsidR="008621DE">
              <w:rPr>
                <w:noProof/>
                <w:webHidden/>
              </w:rPr>
              <w:t>11</w:t>
            </w:r>
            <w:r w:rsidR="0029456B" w:rsidRPr="0091450A">
              <w:rPr>
                <w:noProof/>
                <w:webHidden/>
              </w:rPr>
              <w:fldChar w:fldCharType="end"/>
            </w:r>
          </w:hyperlink>
        </w:p>
        <w:p w14:paraId="4B1A4F3D" w14:textId="5A94FCF3"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14" w:history="1">
            <w:r w:rsidR="0029456B" w:rsidRPr="0091450A">
              <w:rPr>
                <w:rStyle w:val="Hyperlink"/>
                <w:noProof/>
              </w:rPr>
              <w:t>COMP 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_Toc31623714 \h </w:instrText>
            </w:r>
            <w:r w:rsidR="0029456B" w:rsidRPr="0091450A">
              <w:rPr>
                <w:noProof/>
                <w:webHidden/>
              </w:rPr>
            </w:r>
            <w:r w:rsidR="0029456B" w:rsidRPr="0091450A">
              <w:rPr>
                <w:noProof/>
                <w:webHidden/>
              </w:rPr>
              <w:fldChar w:fldCharType="separate"/>
            </w:r>
            <w:r w:rsidR="008621DE">
              <w:rPr>
                <w:noProof/>
                <w:webHidden/>
              </w:rPr>
              <w:t>11</w:t>
            </w:r>
            <w:r w:rsidR="0029456B" w:rsidRPr="0091450A">
              <w:rPr>
                <w:noProof/>
                <w:webHidden/>
              </w:rPr>
              <w:fldChar w:fldCharType="end"/>
            </w:r>
          </w:hyperlink>
        </w:p>
        <w:p w14:paraId="4B5EC2D5" w14:textId="4ADA1493"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15" w:history="1">
            <w:r w:rsidR="0029456B" w:rsidRPr="0091450A">
              <w:rPr>
                <w:rStyle w:val="Hyperlink"/>
                <w:noProof/>
              </w:rPr>
              <w:t>COMP 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_Toc31623715 \h </w:instrText>
            </w:r>
            <w:r w:rsidR="0029456B" w:rsidRPr="0091450A">
              <w:rPr>
                <w:noProof/>
                <w:webHidden/>
              </w:rPr>
            </w:r>
            <w:r w:rsidR="0029456B" w:rsidRPr="0091450A">
              <w:rPr>
                <w:noProof/>
                <w:webHidden/>
              </w:rPr>
              <w:fldChar w:fldCharType="separate"/>
            </w:r>
            <w:r w:rsidR="008621DE">
              <w:rPr>
                <w:noProof/>
                <w:webHidden/>
              </w:rPr>
              <w:t>13</w:t>
            </w:r>
            <w:r w:rsidR="0029456B" w:rsidRPr="0091450A">
              <w:rPr>
                <w:noProof/>
                <w:webHidden/>
              </w:rPr>
              <w:fldChar w:fldCharType="end"/>
            </w:r>
          </w:hyperlink>
        </w:p>
        <w:p w14:paraId="0D653FE5" w14:textId="522761FE"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16" w:history="1">
            <w:r w:rsidR="0029456B" w:rsidRPr="0091450A">
              <w:rPr>
                <w:rStyle w:val="Hyperlink"/>
                <w:noProof/>
              </w:rPr>
              <w:t>2 FOOD LABELLING</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_Toc31623716 \h </w:instrText>
            </w:r>
            <w:r w:rsidR="0029456B" w:rsidRPr="0091450A">
              <w:rPr>
                <w:noProof/>
                <w:webHidden/>
              </w:rPr>
            </w:r>
            <w:r w:rsidR="0029456B" w:rsidRPr="0091450A">
              <w:rPr>
                <w:noProof/>
                <w:webHidden/>
              </w:rPr>
              <w:fldChar w:fldCharType="separate"/>
            </w:r>
            <w:r w:rsidR="008621DE">
              <w:rPr>
                <w:noProof/>
                <w:webHidden/>
              </w:rPr>
              <w:t>14</w:t>
            </w:r>
            <w:r w:rsidR="0029456B" w:rsidRPr="0091450A">
              <w:rPr>
                <w:noProof/>
                <w:webHidden/>
              </w:rPr>
              <w:fldChar w:fldCharType="end"/>
            </w:r>
          </w:hyperlink>
        </w:p>
        <w:p w14:paraId="0050F7DB" w14:textId="4BB7A5CA"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17" w:history="1">
            <w:r w:rsidR="0029456B" w:rsidRPr="0091450A">
              <w:rPr>
                <w:rStyle w:val="Hyperlink"/>
                <w:noProof/>
              </w:rPr>
              <w:t>LABEL1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_Toc31623717 \h </w:instrText>
            </w:r>
            <w:r w:rsidR="0029456B" w:rsidRPr="0091450A">
              <w:rPr>
                <w:noProof/>
                <w:webHidden/>
              </w:rPr>
            </w:r>
            <w:r w:rsidR="0029456B" w:rsidRPr="0091450A">
              <w:rPr>
                <w:noProof/>
                <w:webHidden/>
              </w:rPr>
              <w:fldChar w:fldCharType="separate"/>
            </w:r>
            <w:r w:rsidR="008621DE">
              <w:rPr>
                <w:noProof/>
                <w:webHidden/>
              </w:rPr>
              <w:t>14</w:t>
            </w:r>
            <w:r w:rsidR="0029456B" w:rsidRPr="0091450A">
              <w:rPr>
                <w:noProof/>
                <w:webHidden/>
              </w:rPr>
              <w:fldChar w:fldCharType="end"/>
            </w:r>
          </w:hyperlink>
        </w:p>
        <w:p w14:paraId="3D4140DC" w14:textId="34433012"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18" w:history="1">
            <w:r w:rsidR="0029456B" w:rsidRPr="0091450A">
              <w:rPr>
                <w:rStyle w:val="Hyperlink"/>
                <w:noProof/>
              </w:rPr>
              <w:t>LABEL2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_Toc31623718 \h </w:instrText>
            </w:r>
            <w:r w:rsidR="0029456B" w:rsidRPr="0091450A">
              <w:rPr>
                <w:noProof/>
                <w:webHidden/>
              </w:rPr>
            </w:r>
            <w:r w:rsidR="0029456B" w:rsidRPr="0091450A">
              <w:rPr>
                <w:noProof/>
                <w:webHidden/>
              </w:rPr>
              <w:fldChar w:fldCharType="separate"/>
            </w:r>
            <w:r w:rsidR="008621DE">
              <w:rPr>
                <w:noProof/>
                <w:webHidden/>
              </w:rPr>
              <w:t>15</w:t>
            </w:r>
            <w:r w:rsidR="0029456B" w:rsidRPr="0091450A">
              <w:rPr>
                <w:noProof/>
                <w:webHidden/>
              </w:rPr>
              <w:fldChar w:fldCharType="end"/>
            </w:r>
          </w:hyperlink>
        </w:p>
        <w:p w14:paraId="0B620986" w14:textId="2CEA8429"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19" w:history="1">
            <w:r w:rsidR="0029456B" w:rsidRPr="0091450A">
              <w:rPr>
                <w:rStyle w:val="Hyperlink"/>
                <w:noProof/>
              </w:rPr>
              <w:t>LABEL3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_Toc31623719 \h </w:instrText>
            </w:r>
            <w:r w:rsidR="0029456B" w:rsidRPr="0091450A">
              <w:rPr>
                <w:noProof/>
                <w:webHidden/>
              </w:rPr>
            </w:r>
            <w:r w:rsidR="0029456B" w:rsidRPr="0091450A">
              <w:rPr>
                <w:noProof/>
                <w:webHidden/>
              </w:rPr>
              <w:fldChar w:fldCharType="separate"/>
            </w:r>
            <w:r w:rsidR="008621DE">
              <w:rPr>
                <w:noProof/>
                <w:webHidden/>
              </w:rPr>
              <w:t>18</w:t>
            </w:r>
            <w:r w:rsidR="0029456B" w:rsidRPr="0091450A">
              <w:rPr>
                <w:noProof/>
                <w:webHidden/>
              </w:rPr>
              <w:fldChar w:fldCharType="end"/>
            </w:r>
          </w:hyperlink>
        </w:p>
        <w:p w14:paraId="4B141420" w14:textId="37BBEC24"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0" w:history="1">
            <w:r w:rsidR="0029456B" w:rsidRPr="0091450A">
              <w:rPr>
                <w:rStyle w:val="Hyperlink"/>
                <w:noProof/>
              </w:rPr>
              <w:t>LABEL4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_Toc31623720 \h </w:instrText>
            </w:r>
            <w:r w:rsidR="0029456B" w:rsidRPr="0091450A">
              <w:rPr>
                <w:noProof/>
                <w:webHidden/>
              </w:rPr>
            </w:r>
            <w:r w:rsidR="0029456B" w:rsidRPr="0091450A">
              <w:rPr>
                <w:noProof/>
                <w:webHidden/>
              </w:rPr>
              <w:fldChar w:fldCharType="separate"/>
            </w:r>
            <w:r w:rsidR="008621DE">
              <w:rPr>
                <w:noProof/>
                <w:webHidden/>
              </w:rPr>
              <w:t>20</w:t>
            </w:r>
            <w:r w:rsidR="0029456B" w:rsidRPr="0091450A">
              <w:rPr>
                <w:noProof/>
                <w:webHidden/>
              </w:rPr>
              <w:fldChar w:fldCharType="end"/>
            </w:r>
          </w:hyperlink>
        </w:p>
        <w:p w14:paraId="5C54DD2D" w14:textId="2A1DE5A0"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21" w:history="1">
            <w:r w:rsidR="0029456B" w:rsidRPr="0091450A">
              <w:rPr>
                <w:rStyle w:val="Hyperlink"/>
                <w:noProof/>
              </w:rPr>
              <w:t>3 FOOD PROMOTION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_Toc31623721 \h </w:instrText>
            </w:r>
            <w:r w:rsidR="0029456B" w:rsidRPr="0091450A">
              <w:rPr>
                <w:noProof/>
                <w:webHidden/>
              </w:rPr>
            </w:r>
            <w:r w:rsidR="0029456B" w:rsidRPr="0091450A">
              <w:rPr>
                <w:noProof/>
                <w:webHidden/>
              </w:rPr>
              <w:fldChar w:fldCharType="separate"/>
            </w:r>
            <w:r w:rsidR="008621DE">
              <w:rPr>
                <w:noProof/>
                <w:webHidden/>
              </w:rPr>
              <w:t>21</w:t>
            </w:r>
            <w:r w:rsidR="0029456B" w:rsidRPr="0091450A">
              <w:rPr>
                <w:noProof/>
                <w:webHidden/>
              </w:rPr>
              <w:fldChar w:fldCharType="end"/>
            </w:r>
          </w:hyperlink>
        </w:p>
        <w:p w14:paraId="3EB5E11D" w14:textId="2D361CEF"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2" w:history="1">
            <w:r w:rsidR="0029456B" w:rsidRPr="0091450A">
              <w:rPr>
                <w:rStyle w:val="Hyperlink"/>
                <w:noProof/>
              </w:rPr>
              <w:t>PROMO1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_Toc31623722 \h </w:instrText>
            </w:r>
            <w:r w:rsidR="0029456B" w:rsidRPr="0091450A">
              <w:rPr>
                <w:noProof/>
                <w:webHidden/>
              </w:rPr>
            </w:r>
            <w:r w:rsidR="0029456B" w:rsidRPr="0091450A">
              <w:rPr>
                <w:noProof/>
                <w:webHidden/>
              </w:rPr>
              <w:fldChar w:fldCharType="separate"/>
            </w:r>
            <w:r w:rsidR="008621DE">
              <w:rPr>
                <w:noProof/>
                <w:webHidden/>
              </w:rPr>
              <w:t>21</w:t>
            </w:r>
            <w:r w:rsidR="0029456B" w:rsidRPr="0091450A">
              <w:rPr>
                <w:noProof/>
                <w:webHidden/>
              </w:rPr>
              <w:fldChar w:fldCharType="end"/>
            </w:r>
          </w:hyperlink>
        </w:p>
        <w:p w14:paraId="6289E03D" w14:textId="647372D0"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3" w:history="1">
            <w:r w:rsidR="0029456B" w:rsidRPr="0091450A">
              <w:rPr>
                <w:rStyle w:val="Hyperlink"/>
                <w:noProof/>
              </w:rPr>
              <w:t>PROMO2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_Toc31623723 \h </w:instrText>
            </w:r>
            <w:r w:rsidR="0029456B" w:rsidRPr="0091450A">
              <w:rPr>
                <w:noProof/>
                <w:webHidden/>
              </w:rPr>
            </w:r>
            <w:r w:rsidR="0029456B" w:rsidRPr="0091450A">
              <w:rPr>
                <w:noProof/>
                <w:webHidden/>
              </w:rPr>
              <w:fldChar w:fldCharType="separate"/>
            </w:r>
            <w:r w:rsidR="008621DE">
              <w:rPr>
                <w:noProof/>
                <w:webHidden/>
              </w:rPr>
              <w:t>23</w:t>
            </w:r>
            <w:r w:rsidR="0029456B" w:rsidRPr="0091450A">
              <w:rPr>
                <w:noProof/>
                <w:webHidden/>
              </w:rPr>
              <w:fldChar w:fldCharType="end"/>
            </w:r>
          </w:hyperlink>
        </w:p>
        <w:p w14:paraId="5E6C61AB" w14:textId="1FC9BD0E"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4" w:history="1">
            <w:r w:rsidR="0029456B" w:rsidRPr="0091450A">
              <w:rPr>
                <w:rStyle w:val="Hyperlink"/>
                <w:noProof/>
              </w:rPr>
              <w:t>PROMO3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_Toc31623724 \h </w:instrText>
            </w:r>
            <w:r w:rsidR="0029456B" w:rsidRPr="0091450A">
              <w:rPr>
                <w:noProof/>
                <w:webHidden/>
              </w:rPr>
            </w:r>
            <w:r w:rsidR="0029456B" w:rsidRPr="0091450A">
              <w:rPr>
                <w:noProof/>
                <w:webHidden/>
              </w:rPr>
              <w:fldChar w:fldCharType="separate"/>
            </w:r>
            <w:r w:rsidR="008621DE">
              <w:rPr>
                <w:noProof/>
                <w:webHidden/>
              </w:rPr>
              <w:t>24</w:t>
            </w:r>
            <w:r w:rsidR="0029456B" w:rsidRPr="0091450A">
              <w:rPr>
                <w:noProof/>
                <w:webHidden/>
              </w:rPr>
              <w:fldChar w:fldCharType="end"/>
            </w:r>
          </w:hyperlink>
        </w:p>
        <w:p w14:paraId="7EEBD155" w14:textId="116CE064"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25" w:history="1">
            <w:r w:rsidR="0029456B" w:rsidRPr="0091450A">
              <w:rPr>
                <w:rStyle w:val="Hyperlink"/>
                <w:noProof/>
              </w:rPr>
              <w:t>4 FOOD PRICES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_Toc31623725 \h </w:instrText>
            </w:r>
            <w:r w:rsidR="0029456B" w:rsidRPr="0091450A">
              <w:rPr>
                <w:noProof/>
                <w:webHidden/>
              </w:rPr>
            </w:r>
            <w:r w:rsidR="0029456B" w:rsidRPr="0091450A">
              <w:rPr>
                <w:noProof/>
                <w:webHidden/>
              </w:rPr>
              <w:fldChar w:fldCharType="separate"/>
            </w:r>
            <w:r w:rsidR="008621DE">
              <w:rPr>
                <w:noProof/>
                <w:webHidden/>
              </w:rPr>
              <w:t>25</w:t>
            </w:r>
            <w:r w:rsidR="0029456B" w:rsidRPr="0091450A">
              <w:rPr>
                <w:noProof/>
                <w:webHidden/>
              </w:rPr>
              <w:fldChar w:fldCharType="end"/>
            </w:r>
          </w:hyperlink>
        </w:p>
        <w:p w14:paraId="37CA9F84" w14:textId="75A721C0"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6" w:history="1">
            <w:r w:rsidR="0029456B" w:rsidRPr="0091450A">
              <w:rPr>
                <w:rStyle w:val="Hyperlink"/>
                <w:noProof/>
              </w:rPr>
              <w:t>PRICES1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_Toc31623726 \h </w:instrText>
            </w:r>
            <w:r w:rsidR="0029456B" w:rsidRPr="0091450A">
              <w:rPr>
                <w:noProof/>
                <w:webHidden/>
              </w:rPr>
            </w:r>
            <w:r w:rsidR="0029456B" w:rsidRPr="0091450A">
              <w:rPr>
                <w:noProof/>
                <w:webHidden/>
              </w:rPr>
              <w:fldChar w:fldCharType="separate"/>
            </w:r>
            <w:r w:rsidR="008621DE">
              <w:rPr>
                <w:noProof/>
                <w:webHidden/>
              </w:rPr>
              <w:t>25</w:t>
            </w:r>
            <w:r w:rsidR="0029456B" w:rsidRPr="0091450A">
              <w:rPr>
                <w:noProof/>
                <w:webHidden/>
              </w:rPr>
              <w:fldChar w:fldCharType="end"/>
            </w:r>
          </w:hyperlink>
        </w:p>
        <w:p w14:paraId="73566BAF" w14:textId="3C6ABBF9"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7" w:history="1">
            <w:r w:rsidR="0029456B" w:rsidRPr="0091450A">
              <w:rPr>
                <w:rStyle w:val="Hyperlink"/>
                <w:noProof/>
              </w:rPr>
              <w:t>PRICES2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_Toc31623727 \h </w:instrText>
            </w:r>
            <w:r w:rsidR="0029456B" w:rsidRPr="0091450A">
              <w:rPr>
                <w:noProof/>
                <w:webHidden/>
              </w:rPr>
            </w:r>
            <w:r w:rsidR="0029456B" w:rsidRPr="0091450A">
              <w:rPr>
                <w:noProof/>
                <w:webHidden/>
              </w:rPr>
              <w:fldChar w:fldCharType="separate"/>
            </w:r>
            <w:r w:rsidR="008621DE">
              <w:rPr>
                <w:noProof/>
                <w:webHidden/>
              </w:rPr>
              <w:t>25</w:t>
            </w:r>
            <w:r w:rsidR="0029456B" w:rsidRPr="0091450A">
              <w:rPr>
                <w:noProof/>
                <w:webHidden/>
              </w:rPr>
              <w:fldChar w:fldCharType="end"/>
            </w:r>
          </w:hyperlink>
        </w:p>
        <w:p w14:paraId="556E0585" w14:textId="24EAB8CA"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8" w:history="1">
            <w:r w:rsidR="0029456B" w:rsidRPr="0091450A">
              <w:rPr>
                <w:rStyle w:val="Hyperlink"/>
                <w:noProof/>
              </w:rPr>
              <w:t>PRICES3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_Toc31623728 \h </w:instrText>
            </w:r>
            <w:r w:rsidR="0029456B" w:rsidRPr="0091450A">
              <w:rPr>
                <w:noProof/>
                <w:webHidden/>
              </w:rPr>
            </w:r>
            <w:r w:rsidR="0029456B" w:rsidRPr="0091450A">
              <w:rPr>
                <w:noProof/>
                <w:webHidden/>
              </w:rPr>
              <w:fldChar w:fldCharType="separate"/>
            </w:r>
            <w:r w:rsidR="008621DE">
              <w:rPr>
                <w:noProof/>
                <w:webHidden/>
              </w:rPr>
              <w:t>26</w:t>
            </w:r>
            <w:r w:rsidR="0029456B" w:rsidRPr="0091450A">
              <w:rPr>
                <w:noProof/>
                <w:webHidden/>
              </w:rPr>
              <w:fldChar w:fldCharType="end"/>
            </w:r>
          </w:hyperlink>
        </w:p>
        <w:p w14:paraId="78D69D59" w14:textId="6C9330D4"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29" w:history="1">
            <w:r w:rsidR="0029456B" w:rsidRPr="0091450A">
              <w:rPr>
                <w:rStyle w:val="Hyperlink"/>
                <w:noProof/>
              </w:rPr>
              <w:t>PRICES4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_Toc31623729 \h </w:instrText>
            </w:r>
            <w:r w:rsidR="0029456B" w:rsidRPr="0091450A">
              <w:rPr>
                <w:noProof/>
                <w:webHidden/>
              </w:rPr>
            </w:r>
            <w:r w:rsidR="0029456B" w:rsidRPr="0091450A">
              <w:rPr>
                <w:noProof/>
                <w:webHidden/>
              </w:rPr>
              <w:fldChar w:fldCharType="separate"/>
            </w:r>
            <w:r w:rsidR="008621DE">
              <w:rPr>
                <w:noProof/>
                <w:webHidden/>
              </w:rPr>
              <w:t>27</w:t>
            </w:r>
            <w:r w:rsidR="0029456B" w:rsidRPr="0091450A">
              <w:rPr>
                <w:noProof/>
                <w:webHidden/>
              </w:rPr>
              <w:fldChar w:fldCharType="end"/>
            </w:r>
          </w:hyperlink>
        </w:p>
        <w:p w14:paraId="5C5F5DF6" w14:textId="098A8475"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30" w:history="1">
            <w:r w:rsidR="0029456B" w:rsidRPr="0091450A">
              <w:rPr>
                <w:rStyle w:val="Hyperlink"/>
                <w:noProof/>
              </w:rPr>
              <w:t>5 FOOD PROVISION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_Toc31623730 \h </w:instrText>
            </w:r>
            <w:r w:rsidR="0029456B" w:rsidRPr="0091450A">
              <w:rPr>
                <w:noProof/>
                <w:webHidden/>
              </w:rPr>
            </w:r>
            <w:r w:rsidR="0029456B" w:rsidRPr="0091450A">
              <w:rPr>
                <w:noProof/>
                <w:webHidden/>
              </w:rPr>
              <w:fldChar w:fldCharType="separate"/>
            </w:r>
            <w:r w:rsidR="008621DE">
              <w:rPr>
                <w:noProof/>
                <w:webHidden/>
              </w:rPr>
              <w:t>28</w:t>
            </w:r>
            <w:r w:rsidR="0029456B" w:rsidRPr="0091450A">
              <w:rPr>
                <w:noProof/>
                <w:webHidden/>
              </w:rPr>
              <w:fldChar w:fldCharType="end"/>
            </w:r>
          </w:hyperlink>
        </w:p>
        <w:p w14:paraId="51A47F4E" w14:textId="7F9DD4AD"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1" w:history="1">
            <w:r w:rsidR="0029456B" w:rsidRPr="0091450A">
              <w:rPr>
                <w:rStyle w:val="Hyperlink"/>
                <w:noProof/>
              </w:rPr>
              <w:t>PROV1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_Toc31623731 \h </w:instrText>
            </w:r>
            <w:r w:rsidR="0029456B" w:rsidRPr="0091450A">
              <w:rPr>
                <w:noProof/>
                <w:webHidden/>
              </w:rPr>
            </w:r>
            <w:r w:rsidR="0029456B" w:rsidRPr="0091450A">
              <w:rPr>
                <w:noProof/>
                <w:webHidden/>
              </w:rPr>
              <w:fldChar w:fldCharType="separate"/>
            </w:r>
            <w:r w:rsidR="008621DE">
              <w:rPr>
                <w:noProof/>
                <w:webHidden/>
              </w:rPr>
              <w:t>28</w:t>
            </w:r>
            <w:r w:rsidR="0029456B" w:rsidRPr="0091450A">
              <w:rPr>
                <w:noProof/>
                <w:webHidden/>
              </w:rPr>
              <w:fldChar w:fldCharType="end"/>
            </w:r>
          </w:hyperlink>
        </w:p>
        <w:p w14:paraId="2EB4C47B" w14:textId="1C0B335D"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2" w:history="1">
            <w:r w:rsidR="0029456B" w:rsidRPr="0091450A">
              <w:rPr>
                <w:rStyle w:val="Hyperlink"/>
                <w:noProof/>
              </w:rPr>
              <w:t>PROV2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_Toc31623732 \h </w:instrText>
            </w:r>
            <w:r w:rsidR="0029456B" w:rsidRPr="0091450A">
              <w:rPr>
                <w:noProof/>
                <w:webHidden/>
              </w:rPr>
            </w:r>
            <w:r w:rsidR="0029456B" w:rsidRPr="0091450A">
              <w:rPr>
                <w:noProof/>
                <w:webHidden/>
              </w:rPr>
              <w:fldChar w:fldCharType="separate"/>
            </w:r>
            <w:r w:rsidR="008621DE">
              <w:rPr>
                <w:noProof/>
                <w:webHidden/>
              </w:rPr>
              <w:t>30</w:t>
            </w:r>
            <w:r w:rsidR="0029456B" w:rsidRPr="0091450A">
              <w:rPr>
                <w:noProof/>
                <w:webHidden/>
              </w:rPr>
              <w:fldChar w:fldCharType="end"/>
            </w:r>
          </w:hyperlink>
        </w:p>
        <w:p w14:paraId="67E260CC" w14:textId="15FA2233"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3" w:history="1">
            <w:r w:rsidR="0029456B" w:rsidRPr="0091450A">
              <w:rPr>
                <w:rStyle w:val="Hyperlink"/>
                <w:noProof/>
              </w:rPr>
              <w:t>PROV3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_Toc31623733 \h </w:instrText>
            </w:r>
            <w:r w:rsidR="0029456B" w:rsidRPr="0091450A">
              <w:rPr>
                <w:noProof/>
                <w:webHidden/>
              </w:rPr>
            </w:r>
            <w:r w:rsidR="0029456B" w:rsidRPr="0091450A">
              <w:rPr>
                <w:noProof/>
                <w:webHidden/>
              </w:rPr>
              <w:fldChar w:fldCharType="separate"/>
            </w:r>
            <w:r w:rsidR="008621DE">
              <w:rPr>
                <w:noProof/>
                <w:webHidden/>
              </w:rPr>
              <w:t>31</w:t>
            </w:r>
            <w:r w:rsidR="0029456B" w:rsidRPr="0091450A">
              <w:rPr>
                <w:noProof/>
                <w:webHidden/>
              </w:rPr>
              <w:fldChar w:fldCharType="end"/>
            </w:r>
          </w:hyperlink>
        </w:p>
        <w:p w14:paraId="72A86233" w14:textId="37676637"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4" w:history="1">
            <w:r w:rsidR="0029456B" w:rsidRPr="0091450A">
              <w:rPr>
                <w:rStyle w:val="Hyperlink"/>
                <w:noProof/>
              </w:rPr>
              <w:t>PROV4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_Toc31623734 \h </w:instrText>
            </w:r>
            <w:r w:rsidR="0029456B" w:rsidRPr="0091450A">
              <w:rPr>
                <w:noProof/>
                <w:webHidden/>
              </w:rPr>
            </w:r>
            <w:r w:rsidR="0029456B" w:rsidRPr="0091450A">
              <w:rPr>
                <w:noProof/>
                <w:webHidden/>
              </w:rPr>
              <w:fldChar w:fldCharType="separate"/>
            </w:r>
            <w:r w:rsidR="008621DE">
              <w:rPr>
                <w:noProof/>
                <w:webHidden/>
              </w:rPr>
              <w:t>34</w:t>
            </w:r>
            <w:r w:rsidR="0029456B" w:rsidRPr="0091450A">
              <w:rPr>
                <w:noProof/>
                <w:webHidden/>
              </w:rPr>
              <w:fldChar w:fldCharType="end"/>
            </w:r>
          </w:hyperlink>
        </w:p>
        <w:p w14:paraId="40CC348A" w14:textId="5F405B6F"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35" w:history="1">
            <w:r w:rsidR="0029456B" w:rsidRPr="0091450A">
              <w:rPr>
                <w:rStyle w:val="Hyperlink"/>
                <w:noProof/>
              </w:rPr>
              <w:t>6 FOOD RETAIL</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_Toc31623735 \h </w:instrText>
            </w:r>
            <w:r w:rsidR="0029456B" w:rsidRPr="0091450A">
              <w:rPr>
                <w:noProof/>
                <w:webHidden/>
              </w:rPr>
            </w:r>
            <w:r w:rsidR="0029456B" w:rsidRPr="0091450A">
              <w:rPr>
                <w:noProof/>
                <w:webHidden/>
              </w:rPr>
              <w:fldChar w:fldCharType="separate"/>
            </w:r>
            <w:r w:rsidR="008621DE">
              <w:rPr>
                <w:noProof/>
                <w:webHidden/>
              </w:rPr>
              <w:t>35</w:t>
            </w:r>
            <w:r w:rsidR="0029456B" w:rsidRPr="0091450A">
              <w:rPr>
                <w:noProof/>
                <w:webHidden/>
              </w:rPr>
              <w:fldChar w:fldCharType="end"/>
            </w:r>
          </w:hyperlink>
        </w:p>
        <w:p w14:paraId="75086F44" w14:textId="5A563776"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6" w:history="1">
            <w:r w:rsidR="0029456B" w:rsidRPr="0091450A">
              <w:rPr>
                <w:rStyle w:val="Hyperlink"/>
                <w:noProof/>
              </w:rPr>
              <w:t>RETAIL1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_Toc31623736 \h </w:instrText>
            </w:r>
            <w:r w:rsidR="0029456B" w:rsidRPr="0091450A">
              <w:rPr>
                <w:noProof/>
                <w:webHidden/>
              </w:rPr>
            </w:r>
            <w:r w:rsidR="0029456B" w:rsidRPr="0091450A">
              <w:rPr>
                <w:noProof/>
                <w:webHidden/>
              </w:rPr>
              <w:fldChar w:fldCharType="separate"/>
            </w:r>
            <w:r w:rsidR="008621DE">
              <w:rPr>
                <w:noProof/>
                <w:webHidden/>
              </w:rPr>
              <w:t>35</w:t>
            </w:r>
            <w:r w:rsidR="0029456B" w:rsidRPr="0091450A">
              <w:rPr>
                <w:noProof/>
                <w:webHidden/>
              </w:rPr>
              <w:fldChar w:fldCharType="end"/>
            </w:r>
          </w:hyperlink>
        </w:p>
        <w:p w14:paraId="5FA17B70" w14:textId="0A0C6E49"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7" w:history="1">
            <w:r w:rsidR="0029456B" w:rsidRPr="0091450A">
              <w:rPr>
                <w:rStyle w:val="Hyperlink"/>
                <w:noProof/>
              </w:rPr>
              <w:t>RETAIL2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_Toc31623737 \h </w:instrText>
            </w:r>
            <w:r w:rsidR="0029456B" w:rsidRPr="0091450A">
              <w:rPr>
                <w:noProof/>
                <w:webHidden/>
              </w:rPr>
            </w:r>
            <w:r w:rsidR="0029456B" w:rsidRPr="0091450A">
              <w:rPr>
                <w:noProof/>
                <w:webHidden/>
              </w:rPr>
              <w:fldChar w:fldCharType="separate"/>
            </w:r>
            <w:r w:rsidR="008621DE">
              <w:rPr>
                <w:noProof/>
                <w:webHidden/>
              </w:rPr>
              <w:t>36</w:t>
            </w:r>
            <w:r w:rsidR="0029456B" w:rsidRPr="0091450A">
              <w:rPr>
                <w:noProof/>
                <w:webHidden/>
              </w:rPr>
              <w:fldChar w:fldCharType="end"/>
            </w:r>
          </w:hyperlink>
        </w:p>
        <w:p w14:paraId="51095BB7" w14:textId="2D329886"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8" w:history="1">
            <w:r w:rsidR="0029456B" w:rsidRPr="0091450A">
              <w:rPr>
                <w:rStyle w:val="Hyperlink"/>
                <w:noProof/>
              </w:rPr>
              <w:t>RETAIL3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_Toc31623738 \h </w:instrText>
            </w:r>
            <w:r w:rsidR="0029456B" w:rsidRPr="0091450A">
              <w:rPr>
                <w:noProof/>
                <w:webHidden/>
              </w:rPr>
            </w:r>
            <w:r w:rsidR="0029456B" w:rsidRPr="0091450A">
              <w:rPr>
                <w:noProof/>
                <w:webHidden/>
              </w:rPr>
              <w:fldChar w:fldCharType="separate"/>
            </w:r>
            <w:r w:rsidR="008621DE">
              <w:rPr>
                <w:noProof/>
                <w:webHidden/>
              </w:rPr>
              <w:t>37</w:t>
            </w:r>
            <w:r w:rsidR="0029456B" w:rsidRPr="0091450A">
              <w:rPr>
                <w:noProof/>
                <w:webHidden/>
              </w:rPr>
              <w:fldChar w:fldCharType="end"/>
            </w:r>
          </w:hyperlink>
        </w:p>
        <w:p w14:paraId="6F106820" w14:textId="046D0472"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39" w:history="1">
            <w:r w:rsidR="0029456B" w:rsidRPr="0091450A">
              <w:rPr>
                <w:rStyle w:val="Hyperlink"/>
                <w:noProof/>
              </w:rPr>
              <w:t>RETAIL4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_Toc31623739 \h </w:instrText>
            </w:r>
            <w:r w:rsidR="0029456B" w:rsidRPr="0091450A">
              <w:rPr>
                <w:noProof/>
                <w:webHidden/>
              </w:rPr>
            </w:r>
            <w:r w:rsidR="0029456B" w:rsidRPr="0091450A">
              <w:rPr>
                <w:noProof/>
                <w:webHidden/>
              </w:rPr>
              <w:fldChar w:fldCharType="separate"/>
            </w:r>
            <w:r w:rsidR="008621DE">
              <w:rPr>
                <w:noProof/>
                <w:webHidden/>
              </w:rPr>
              <w:t>37</w:t>
            </w:r>
            <w:r w:rsidR="0029456B" w:rsidRPr="0091450A">
              <w:rPr>
                <w:noProof/>
                <w:webHidden/>
              </w:rPr>
              <w:fldChar w:fldCharType="end"/>
            </w:r>
          </w:hyperlink>
        </w:p>
        <w:p w14:paraId="63777C00" w14:textId="59A3BB8B"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40" w:history="1">
            <w:r w:rsidR="0029456B" w:rsidRPr="0091450A">
              <w:rPr>
                <w:rStyle w:val="Hyperlink"/>
                <w:noProof/>
              </w:rPr>
              <w:t>7 FOOD TRADE AND INVESTMENT</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_Toc31623740 \h </w:instrText>
            </w:r>
            <w:r w:rsidR="0029456B" w:rsidRPr="0091450A">
              <w:rPr>
                <w:noProof/>
                <w:webHidden/>
              </w:rPr>
            </w:r>
            <w:r w:rsidR="0029456B" w:rsidRPr="0091450A">
              <w:rPr>
                <w:noProof/>
                <w:webHidden/>
              </w:rPr>
              <w:fldChar w:fldCharType="separate"/>
            </w:r>
            <w:r w:rsidR="008621DE">
              <w:rPr>
                <w:noProof/>
                <w:webHidden/>
              </w:rPr>
              <w:t>38</w:t>
            </w:r>
            <w:r w:rsidR="0029456B" w:rsidRPr="0091450A">
              <w:rPr>
                <w:noProof/>
                <w:webHidden/>
              </w:rPr>
              <w:fldChar w:fldCharType="end"/>
            </w:r>
          </w:hyperlink>
        </w:p>
        <w:p w14:paraId="79DCE6E3" w14:textId="105D78B6"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1" w:history="1">
            <w:r w:rsidR="0029456B" w:rsidRPr="0091450A">
              <w:rPr>
                <w:rStyle w:val="Hyperlink"/>
                <w:noProof/>
              </w:rPr>
              <w:t>TRADE1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_Toc31623741 \h </w:instrText>
            </w:r>
            <w:r w:rsidR="0029456B" w:rsidRPr="0091450A">
              <w:rPr>
                <w:noProof/>
                <w:webHidden/>
              </w:rPr>
            </w:r>
            <w:r w:rsidR="0029456B" w:rsidRPr="0091450A">
              <w:rPr>
                <w:noProof/>
                <w:webHidden/>
              </w:rPr>
              <w:fldChar w:fldCharType="separate"/>
            </w:r>
            <w:r w:rsidR="008621DE">
              <w:rPr>
                <w:noProof/>
                <w:webHidden/>
              </w:rPr>
              <w:t>38</w:t>
            </w:r>
            <w:r w:rsidR="0029456B" w:rsidRPr="0091450A">
              <w:rPr>
                <w:noProof/>
                <w:webHidden/>
              </w:rPr>
              <w:fldChar w:fldCharType="end"/>
            </w:r>
          </w:hyperlink>
        </w:p>
        <w:p w14:paraId="2A9278F8" w14:textId="7A0AEA3E"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2" w:history="1">
            <w:r w:rsidR="0029456B" w:rsidRPr="0091450A">
              <w:rPr>
                <w:rStyle w:val="Hyperlink"/>
                <w:noProof/>
              </w:rPr>
              <w:t>TRADE2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_Toc31623742 \h </w:instrText>
            </w:r>
            <w:r w:rsidR="0029456B" w:rsidRPr="0091450A">
              <w:rPr>
                <w:noProof/>
                <w:webHidden/>
              </w:rPr>
            </w:r>
            <w:r w:rsidR="0029456B" w:rsidRPr="0091450A">
              <w:rPr>
                <w:noProof/>
                <w:webHidden/>
              </w:rPr>
              <w:fldChar w:fldCharType="separate"/>
            </w:r>
            <w:r w:rsidR="008621DE">
              <w:rPr>
                <w:noProof/>
                <w:webHidden/>
              </w:rPr>
              <w:t>39</w:t>
            </w:r>
            <w:r w:rsidR="0029456B" w:rsidRPr="0091450A">
              <w:rPr>
                <w:noProof/>
                <w:webHidden/>
              </w:rPr>
              <w:fldChar w:fldCharType="end"/>
            </w:r>
          </w:hyperlink>
        </w:p>
        <w:p w14:paraId="50378827" w14:textId="5D236031" w:rsidR="0029456B" w:rsidRPr="0091450A" w:rsidRDefault="00E84E26" w:rsidP="008621DE">
          <w:pPr>
            <w:pStyle w:val="TOC1"/>
            <w:rPr>
              <w:rFonts w:eastAsiaTheme="minorEastAsia"/>
              <w:noProof/>
              <w:sz w:val="22"/>
              <w:lang w:eastAsia="en-NZ"/>
            </w:rPr>
          </w:pPr>
          <w:hyperlink w:anchor="_Toc31623743" w:history="1">
            <w:r w:rsidR="0029456B" w:rsidRPr="0091450A">
              <w:rPr>
                <w:rStyle w:val="Hyperlink"/>
                <w:noProof/>
              </w:rPr>
              <w:t>Food Environment Policy Index: INFRASTRUCTURE SUPPORT domains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_Toc31623743 \h </w:instrText>
            </w:r>
            <w:r w:rsidR="0029456B" w:rsidRPr="0091450A">
              <w:rPr>
                <w:noProof/>
                <w:webHidden/>
              </w:rPr>
            </w:r>
            <w:r w:rsidR="0029456B" w:rsidRPr="0091450A">
              <w:rPr>
                <w:noProof/>
                <w:webHidden/>
              </w:rPr>
              <w:fldChar w:fldCharType="separate"/>
            </w:r>
            <w:r w:rsidR="008621DE">
              <w:rPr>
                <w:noProof/>
                <w:webHidden/>
              </w:rPr>
              <w:t>40</w:t>
            </w:r>
            <w:r w:rsidR="0029456B" w:rsidRPr="0091450A">
              <w:rPr>
                <w:noProof/>
                <w:webHidden/>
              </w:rPr>
              <w:fldChar w:fldCharType="end"/>
            </w:r>
          </w:hyperlink>
        </w:p>
        <w:p w14:paraId="7D6F13A2" w14:textId="060CC75F"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44" w:history="1">
            <w:r w:rsidR="0029456B" w:rsidRPr="0091450A">
              <w:rPr>
                <w:rStyle w:val="Hyperlink"/>
                <w:noProof/>
              </w:rPr>
              <w:t>8 LEADERSHIP</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_Toc31623744 \h </w:instrText>
            </w:r>
            <w:r w:rsidR="0029456B" w:rsidRPr="0091450A">
              <w:rPr>
                <w:noProof/>
                <w:webHidden/>
              </w:rPr>
            </w:r>
            <w:r w:rsidR="0029456B" w:rsidRPr="0091450A">
              <w:rPr>
                <w:noProof/>
                <w:webHidden/>
              </w:rPr>
              <w:fldChar w:fldCharType="separate"/>
            </w:r>
            <w:r w:rsidR="008621DE">
              <w:rPr>
                <w:noProof/>
                <w:webHidden/>
              </w:rPr>
              <w:t>40</w:t>
            </w:r>
            <w:r w:rsidR="0029456B" w:rsidRPr="0091450A">
              <w:rPr>
                <w:noProof/>
                <w:webHidden/>
              </w:rPr>
              <w:fldChar w:fldCharType="end"/>
            </w:r>
          </w:hyperlink>
        </w:p>
        <w:p w14:paraId="29513B65" w14:textId="3DAD7913"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5" w:history="1">
            <w:r w:rsidR="0029456B" w:rsidRPr="0091450A">
              <w:rPr>
                <w:rStyle w:val="Hyperlink"/>
                <w:noProof/>
              </w:rPr>
              <w:t>LEAD1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_Toc31623745 \h </w:instrText>
            </w:r>
            <w:r w:rsidR="0029456B" w:rsidRPr="0091450A">
              <w:rPr>
                <w:noProof/>
                <w:webHidden/>
              </w:rPr>
            </w:r>
            <w:r w:rsidR="0029456B" w:rsidRPr="0091450A">
              <w:rPr>
                <w:noProof/>
                <w:webHidden/>
              </w:rPr>
              <w:fldChar w:fldCharType="separate"/>
            </w:r>
            <w:r w:rsidR="008621DE">
              <w:rPr>
                <w:noProof/>
                <w:webHidden/>
              </w:rPr>
              <w:t>40</w:t>
            </w:r>
            <w:r w:rsidR="0029456B" w:rsidRPr="0091450A">
              <w:rPr>
                <w:noProof/>
                <w:webHidden/>
              </w:rPr>
              <w:fldChar w:fldCharType="end"/>
            </w:r>
          </w:hyperlink>
        </w:p>
        <w:p w14:paraId="2C6049D0" w14:textId="70B2F6BE"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6" w:history="1">
            <w:r w:rsidR="0029456B" w:rsidRPr="0091450A">
              <w:rPr>
                <w:rStyle w:val="Hyperlink"/>
                <w:noProof/>
              </w:rPr>
              <w:t>LEAD2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_Toc31623746 \h </w:instrText>
            </w:r>
            <w:r w:rsidR="0029456B" w:rsidRPr="0091450A">
              <w:rPr>
                <w:noProof/>
                <w:webHidden/>
              </w:rPr>
            </w:r>
            <w:r w:rsidR="0029456B" w:rsidRPr="0091450A">
              <w:rPr>
                <w:noProof/>
                <w:webHidden/>
              </w:rPr>
              <w:fldChar w:fldCharType="separate"/>
            </w:r>
            <w:r w:rsidR="008621DE">
              <w:rPr>
                <w:noProof/>
                <w:webHidden/>
              </w:rPr>
              <w:t>42</w:t>
            </w:r>
            <w:r w:rsidR="0029456B" w:rsidRPr="0091450A">
              <w:rPr>
                <w:noProof/>
                <w:webHidden/>
              </w:rPr>
              <w:fldChar w:fldCharType="end"/>
            </w:r>
          </w:hyperlink>
        </w:p>
        <w:p w14:paraId="04FC8C47" w14:textId="00E8A4CC"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7" w:history="1">
            <w:r w:rsidR="0029456B" w:rsidRPr="0091450A">
              <w:rPr>
                <w:rStyle w:val="Hyperlink"/>
                <w:noProof/>
              </w:rPr>
              <w:t>LEAD3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_Toc31623747 \h </w:instrText>
            </w:r>
            <w:r w:rsidR="0029456B" w:rsidRPr="0091450A">
              <w:rPr>
                <w:noProof/>
                <w:webHidden/>
              </w:rPr>
            </w:r>
            <w:r w:rsidR="0029456B" w:rsidRPr="0091450A">
              <w:rPr>
                <w:noProof/>
                <w:webHidden/>
              </w:rPr>
              <w:fldChar w:fldCharType="separate"/>
            </w:r>
            <w:r w:rsidR="008621DE">
              <w:rPr>
                <w:noProof/>
                <w:webHidden/>
              </w:rPr>
              <w:t>42</w:t>
            </w:r>
            <w:r w:rsidR="0029456B" w:rsidRPr="0091450A">
              <w:rPr>
                <w:noProof/>
                <w:webHidden/>
              </w:rPr>
              <w:fldChar w:fldCharType="end"/>
            </w:r>
          </w:hyperlink>
        </w:p>
        <w:p w14:paraId="679E3FDB" w14:textId="23E8D718"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8" w:history="1">
            <w:r w:rsidR="0029456B" w:rsidRPr="0091450A">
              <w:rPr>
                <w:rStyle w:val="Hyperlink"/>
                <w:noProof/>
              </w:rPr>
              <w:t>LEAD4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_Toc31623748 \h </w:instrText>
            </w:r>
            <w:r w:rsidR="0029456B" w:rsidRPr="0091450A">
              <w:rPr>
                <w:noProof/>
                <w:webHidden/>
              </w:rPr>
            </w:r>
            <w:r w:rsidR="0029456B" w:rsidRPr="0091450A">
              <w:rPr>
                <w:noProof/>
                <w:webHidden/>
              </w:rPr>
              <w:fldChar w:fldCharType="separate"/>
            </w:r>
            <w:r w:rsidR="008621DE">
              <w:rPr>
                <w:noProof/>
                <w:webHidden/>
              </w:rPr>
              <w:t>43</w:t>
            </w:r>
            <w:r w:rsidR="0029456B" w:rsidRPr="0091450A">
              <w:rPr>
                <w:noProof/>
                <w:webHidden/>
              </w:rPr>
              <w:fldChar w:fldCharType="end"/>
            </w:r>
          </w:hyperlink>
        </w:p>
        <w:p w14:paraId="3D049A03" w14:textId="33C7AF27"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49" w:history="1">
            <w:r w:rsidR="0029456B" w:rsidRPr="0091450A">
              <w:rPr>
                <w:rStyle w:val="Hyperlink"/>
                <w:noProof/>
              </w:rPr>
              <w:t>LEAD5</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_Toc31623749 \h </w:instrText>
            </w:r>
            <w:r w:rsidR="0029456B" w:rsidRPr="0091450A">
              <w:rPr>
                <w:noProof/>
                <w:webHidden/>
              </w:rPr>
            </w:r>
            <w:r w:rsidR="0029456B" w:rsidRPr="0091450A">
              <w:rPr>
                <w:noProof/>
                <w:webHidden/>
              </w:rPr>
              <w:fldChar w:fldCharType="separate"/>
            </w:r>
            <w:r w:rsidR="008621DE">
              <w:rPr>
                <w:noProof/>
                <w:webHidden/>
              </w:rPr>
              <w:t>44</w:t>
            </w:r>
            <w:r w:rsidR="0029456B" w:rsidRPr="0091450A">
              <w:rPr>
                <w:noProof/>
                <w:webHidden/>
              </w:rPr>
              <w:fldChar w:fldCharType="end"/>
            </w:r>
          </w:hyperlink>
        </w:p>
        <w:p w14:paraId="74953CAE" w14:textId="67F94A76"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50" w:history="1">
            <w:r w:rsidR="0029456B" w:rsidRPr="0091450A">
              <w:rPr>
                <w:rStyle w:val="Hyperlink"/>
                <w:noProof/>
              </w:rPr>
              <w:t>9 GOVERNANCE</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_Toc31623750 \h </w:instrText>
            </w:r>
            <w:r w:rsidR="0029456B" w:rsidRPr="0091450A">
              <w:rPr>
                <w:noProof/>
                <w:webHidden/>
              </w:rPr>
            </w:r>
            <w:r w:rsidR="0029456B" w:rsidRPr="0091450A">
              <w:rPr>
                <w:noProof/>
                <w:webHidden/>
              </w:rPr>
              <w:fldChar w:fldCharType="separate"/>
            </w:r>
            <w:r w:rsidR="008621DE">
              <w:rPr>
                <w:noProof/>
                <w:webHidden/>
              </w:rPr>
              <w:t>46</w:t>
            </w:r>
            <w:r w:rsidR="0029456B" w:rsidRPr="0091450A">
              <w:rPr>
                <w:noProof/>
                <w:webHidden/>
              </w:rPr>
              <w:fldChar w:fldCharType="end"/>
            </w:r>
          </w:hyperlink>
        </w:p>
        <w:p w14:paraId="1C45C604" w14:textId="76CD621C"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1" w:history="1">
            <w:r w:rsidR="0029456B" w:rsidRPr="0091450A">
              <w:rPr>
                <w:rStyle w:val="Hyperlink"/>
                <w:noProof/>
              </w:rPr>
              <w:t>GOVER1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_Toc31623751 \h </w:instrText>
            </w:r>
            <w:r w:rsidR="0029456B" w:rsidRPr="0091450A">
              <w:rPr>
                <w:noProof/>
                <w:webHidden/>
              </w:rPr>
            </w:r>
            <w:r w:rsidR="0029456B" w:rsidRPr="0091450A">
              <w:rPr>
                <w:noProof/>
                <w:webHidden/>
              </w:rPr>
              <w:fldChar w:fldCharType="separate"/>
            </w:r>
            <w:r w:rsidR="008621DE">
              <w:rPr>
                <w:noProof/>
                <w:webHidden/>
              </w:rPr>
              <w:t>46</w:t>
            </w:r>
            <w:r w:rsidR="0029456B" w:rsidRPr="0091450A">
              <w:rPr>
                <w:noProof/>
                <w:webHidden/>
              </w:rPr>
              <w:fldChar w:fldCharType="end"/>
            </w:r>
          </w:hyperlink>
        </w:p>
        <w:p w14:paraId="3BCA4306" w14:textId="3B84A39C"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2" w:history="1">
            <w:r w:rsidR="0029456B" w:rsidRPr="0091450A">
              <w:rPr>
                <w:rStyle w:val="Hyperlink"/>
                <w:noProof/>
              </w:rPr>
              <w:t>GOVER2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_Toc31623752 \h </w:instrText>
            </w:r>
            <w:r w:rsidR="0029456B" w:rsidRPr="0091450A">
              <w:rPr>
                <w:noProof/>
                <w:webHidden/>
              </w:rPr>
            </w:r>
            <w:r w:rsidR="0029456B" w:rsidRPr="0091450A">
              <w:rPr>
                <w:noProof/>
                <w:webHidden/>
              </w:rPr>
              <w:fldChar w:fldCharType="separate"/>
            </w:r>
            <w:r w:rsidR="008621DE">
              <w:rPr>
                <w:noProof/>
                <w:webHidden/>
              </w:rPr>
              <w:t>47</w:t>
            </w:r>
            <w:r w:rsidR="0029456B" w:rsidRPr="0091450A">
              <w:rPr>
                <w:noProof/>
                <w:webHidden/>
              </w:rPr>
              <w:fldChar w:fldCharType="end"/>
            </w:r>
          </w:hyperlink>
        </w:p>
        <w:p w14:paraId="597A002A" w14:textId="23820869"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3" w:history="1">
            <w:r w:rsidR="0029456B" w:rsidRPr="0091450A">
              <w:rPr>
                <w:rStyle w:val="Hyperlink"/>
                <w:noProof/>
              </w:rPr>
              <w:t>GOVER3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_Toc31623753 \h </w:instrText>
            </w:r>
            <w:r w:rsidR="0029456B" w:rsidRPr="0091450A">
              <w:rPr>
                <w:noProof/>
                <w:webHidden/>
              </w:rPr>
            </w:r>
            <w:r w:rsidR="0029456B" w:rsidRPr="0091450A">
              <w:rPr>
                <w:noProof/>
                <w:webHidden/>
              </w:rPr>
              <w:fldChar w:fldCharType="separate"/>
            </w:r>
            <w:r w:rsidR="008621DE">
              <w:rPr>
                <w:noProof/>
                <w:webHidden/>
              </w:rPr>
              <w:t>48</w:t>
            </w:r>
            <w:r w:rsidR="0029456B" w:rsidRPr="0091450A">
              <w:rPr>
                <w:noProof/>
                <w:webHidden/>
              </w:rPr>
              <w:fldChar w:fldCharType="end"/>
            </w:r>
          </w:hyperlink>
        </w:p>
        <w:p w14:paraId="386533EF" w14:textId="1CE32B68"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4" w:history="1">
            <w:r w:rsidR="0029456B" w:rsidRPr="0091450A">
              <w:rPr>
                <w:rStyle w:val="Hyperlink"/>
                <w:noProof/>
              </w:rPr>
              <w:t>GOVER4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_Toc31623754 \h </w:instrText>
            </w:r>
            <w:r w:rsidR="0029456B" w:rsidRPr="0091450A">
              <w:rPr>
                <w:noProof/>
                <w:webHidden/>
              </w:rPr>
            </w:r>
            <w:r w:rsidR="0029456B" w:rsidRPr="0091450A">
              <w:rPr>
                <w:noProof/>
                <w:webHidden/>
              </w:rPr>
              <w:fldChar w:fldCharType="separate"/>
            </w:r>
            <w:r w:rsidR="008621DE">
              <w:rPr>
                <w:noProof/>
                <w:webHidden/>
              </w:rPr>
              <w:t>48</w:t>
            </w:r>
            <w:r w:rsidR="0029456B" w:rsidRPr="0091450A">
              <w:rPr>
                <w:noProof/>
                <w:webHidden/>
              </w:rPr>
              <w:fldChar w:fldCharType="end"/>
            </w:r>
          </w:hyperlink>
        </w:p>
        <w:p w14:paraId="1D862826" w14:textId="5A48B418"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55" w:history="1">
            <w:r w:rsidR="0029456B" w:rsidRPr="0091450A">
              <w:rPr>
                <w:rStyle w:val="Hyperlink"/>
                <w:noProof/>
              </w:rPr>
              <w:t>10 MONITORING AND INTELLIGENCE</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_Toc31623755 \h </w:instrText>
            </w:r>
            <w:r w:rsidR="0029456B" w:rsidRPr="0091450A">
              <w:rPr>
                <w:noProof/>
                <w:webHidden/>
              </w:rPr>
            </w:r>
            <w:r w:rsidR="0029456B" w:rsidRPr="0091450A">
              <w:rPr>
                <w:noProof/>
                <w:webHidden/>
              </w:rPr>
              <w:fldChar w:fldCharType="separate"/>
            </w:r>
            <w:r w:rsidR="008621DE">
              <w:rPr>
                <w:noProof/>
                <w:webHidden/>
              </w:rPr>
              <w:t>49</w:t>
            </w:r>
            <w:r w:rsidR="0029456B" w:rsidRPr="0091450A">
              <w:rPr>
                <w:noProof/>
                <w:webHidden/>
              </w:rPr>
              <w:fldChar w:fldCharType="end"/>
            </w:r>
          </w:hyperlink>
        </w:p>
        <w:p w14:paraId="3EBF08DB" w14:textId="2734400F"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6" w:history="1">
            <w:r w:rsidR="0029456B" w:rsidRPr="0091450A">
              <w:rPr>
                <w:rStyle w:val="Hyperlink"/>
                <w:noProof/>
              </w:rPr>
              <w:t>MONIT1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_Toc31623756 \h </w:instrText>
            </w:r>
            <w:r w:rsidR="0029456B" w:rsidRPr="0091450A">
              <w:rPr>
                <w:noProof/>
                <w:webHidden/>
              </w:rPr>
            </w:r>
            <w:r w:rsidR="0029456B" w:rsidRPr="0091450A">
              <w:rPr>
                <w:noProof/>
                <w:webHidden/>
              </w:rPr>
              <w:fldChar w:fldCharType="separate"/>
            </w:r>
            <w:r w:rsidR="008621DE">
              <w:rPr>
                <w:noProof/>
                <w:webHidden/>
              </w:rPr>
              <w:t>49</w:t>
            </w:r>
            <w:r w:rsidR="0029456B" w:rsidRPr="0091450A">
              <w:rPr>
                <w:noProof/>
                <w:webHidden/>
              </w:rPr>
              <w:fldChar w:fldCharType="end"/>
            </w:r>
          </w:hyperlink>
        </w:p>
        <w:p w14:paraId="41C3853D" w14:textId="4DB07E71"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7" w:history="1">
            <w:r w:rsidR="0029456B" w:rsidRPr="0091450A">
              <w:rPr>
                <w:rStyle w:val="Hyperlink"/>
                <w:noProof/>
              </w:rPr>
              <w:t>MONIT2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_Toc31623757 \h </w:instrText>
            </w:r>
            <w:r w:rsidR="0029456B" w:rsidRPr="0091450A">
              <w:rPr>
                <w:noProof/>
                <w:webHidden/>
              </w:rPr>
            </w:r>
            <w:r w:rsidR="0029456B" w:rsidRPr="0091450A">
              <w:rPr>
                <w:noProof/>
                <w:webHidden/>
              </w:rPr>
              <w:fldChar w:fldCharType="separate"/>
            </w:r>
            <w:r w:rsidR="008621DE">
              <w:rPr>
                <w:noProof/>
                <w:webHidden/>
              </w:rPr>
              <w:t>50</w:t>
            </w:r>
            <w:r w:rsidR="0029456B" w:rsidRPr="0091450A">
              <w:rPr>
                <w:noProof/>
                <w:webHidden/>
              </w:rPr>
              <w:fldChar w:fldCharType="end"/>
            </w:r>
          </w:hyperlink>
        </w:p>
        <w:p w14:paraId="04DB3A2C" w14:textId="5189E346"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8" w:history="1">
            <w:r w:rsidR="0029456B" w:rsidRPr="0091450A">
              <w:rPr>
                <w:rStyle w:val="Hyperlink"/>
                <w:noProof/>
              </w:rPr>
              <w:t>MONIT3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_Toc31623758 \h </w:instrText>
            </w:r>
            <w:r w:rsidR="0029456B" w:rsidRPr="0091450A">
              <w:rPr>
                <w:noProof/>
                <w:webHidden/>
              </w:rPr>
            </w:r>
            <w:r w:rsidR="0029456B" w:rsidRPr="0091450A">
              <w:rPr>
                <w:noProof/>
                <w:webHidden/>
              </w:rPr>
              <w:fldChar w:fldCharType="separate"/>
            </w:r>
            <w:r w:rsidR="008621DE">
              <w:rPr>
                <w:noProof/>
                <w:webHidden/>
              </w:rPr>
              <w:t>51</w:t>
            </w:r>
            <w:r w:rsidR="0029456B" w:rsidRPr="0091450A">
              <w:rPr>
                <w:noProof/>
                <w:webHidden/>
              </w:rPr>
              <w:fldChar w:fldCharType="end"/>
            </w:r>
          </w:hyperlink>
        </w:p>
        <w:p w14:paraId="6953689F" w14:textId="68E3DBE2"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59" w:history="1">
            <w:r w:rsidR="0029456B" w:rsidRPr="0091450A">
              <w:rPr>
                <w:rStyle w:val="Hyperlink"/>
                <w:noProof/>
              </w:rPr>
              <w:t>MONIT4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_Toc31623759 \h </w:instrText>
            </w:r>
            <w:r w:rsidR="0029456B" w:rsidRPr="0091450A">
              <w:rPr>
                <w:noProof/>
                <w:webHidden/>
              </w:rPr>
            </w:r>
            <w:r w:rsidR="0029456B" w:rsidRPr="0091450A">
              <w:rPr>
                <w:noProof/>
                <w:webHidden/>
              </w:rPr>
              <w:fldChar w:fldCharType="separate"/>
            </w:r>
            <w:r w:rsidR="008621DE">
              <w:rPr>
                <w:noProof/>
                <w:webHidden/>
              </w:rPr>
              <w:t>52</w:t>
            </w:r>
            <w:r w:rsidR="0029456B" w:rsidRPr="0091450A">
              <w:rPr>
                <w:noProof/>
                <w:webHidden/>
              </w:rPr>
              <w:fldChar w:fldCharType="end"/>
            </w:r>
          </w:hyperlink>
        </w:p>
        <w:p w14:paraId="3FE19645" w14:textId="5A235935"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0" w:history="1">
            <w:r w:rsidR="0029456B" w:rsidRPr="0091450A">
              <w:rPr>
                <w:rStyle w:val="Hyperlink"/>
                <w:noProof/>
              </w:rPr>
              <w:t>MONIT5</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_Toc31623760 \h </w:instrText>
            </w:r>
            <w:r w:rsidR="0029456B" w:rsidRPr="0091450A">
              <w:rPr>
                <w:noProof/>
                <w:webHidden/>
              </w:rPr>
            </w:r>
            <w:r w:rsidR="0029456B" w:rsidRPr="0091450A">
              <w:rPr>
                <w:noProof/>
                <w:webHidden/>
              </w:rPr>
              <w:fldChar w:fldCharType="separate"/>
            </w:r>
            <w:r w:rsidR="008621DE">
              <w:rPr>
                <w:noProof/>
                <w:webHidden/>
              </w:rPr>
              <w:t>53</w:t>
            </w:r>
            <w:r w:rsidR="0029456B" w:rsidRPr="0091450A">
              <w:rPr>
                <w:noProof/>
                <w:webHidden/>
              </w:rPr>
              <w:fldChar w:fldCharType="end"/>
            </w:r>
          </w:hyperlink>
        </w:p>
        <w:p w14:paraId="4C4EAE3B" w14:textId="13A61724"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1" w:history="1">
            <w:r w:rsidR="0029456B" w:rsidRPr="0091450A">
              <w:rPr>
                <w:rStyle w:val="Hyperlink"/>
                <w:noProof/>
              </w:rPr>
              <w:t>MONIT6</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_Toc31623761 \h </w:instrText>
            </w:r>
            <w:r w:rsidR="0029456B" w:rsidRPr="0091450A">
              <w:rPr>
                <w:noProof/>
                <w:webHidden/>
              </w:rPr>
            </w:r>
            <w:r w:rsidR="0029456B" w:rsidRPr="0091450A">
              <w:rPr>
                <w:noProof/>
                <w:webHidden/>
              </w:rPr>
              <w:fldChar w:fldCharType="separate"/>
            </w:r>
            <w:r w:rsidR="008621DE">
              <w:rPr>
                <w:noProof/>
                <w:webHidden/>
              </w:rPr>
              <w:t>54</w:t>
            </w:r>
            <w:r w:rsidR="0029456B" w:rsidRPr="0091450A">
              <w:rPr>
                <w:noProof/>
                <w:webHidden/>
              </w:rPr>
              <w:fldChar w:fldCharType="end"/>
            </w:r>
          </w:hyperlink>
        </w:p>
        <w:p w14:paraId="017EED1F" w14:textId="6CA3E570"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62" w:history="1">
            <w:r w:rsidR="0029456B" w:rsidRPr="0091450A">
              <w:rPr>
                <w:rStyle w:val="Hyperlink"/>
                <w:noProof/>
              </w:rPr>
              <w:t>11 FUNDING AND RESOURCES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_Toc31623762 \h </w:instrText>
            </w:r>
            <w:r w:rsidR="0029456B" w:rsidRPr="0091450A">
              <w:rPr>
                <w:noProof/>
                <w:webHidden/>
              </w:rPr>
            </w:r>
            <w:r w:rsidR="0029456B" w:rsidRPr="0091450A">
              <w:rPr>
                <w:noProof/>
                <w:webHidden/>
              </w:rPr>
              <w:fldChar w:fldCharType="separate"/>
            </w:r>
            <w:r w:rsidR="008621DE">
              <w:rPr>
                <w:noProof/>
                <w:webHidden/>
              </w:rPr>
              <w:t>54</w:t>
            </w:r>
            <w:r w:rsidR="0029456B" w:rsidRPr="0091450A">
              <w:rPr>
                <w:noProof/>
                <w:webHidden/>
              </w:rPr>
              <w:fldChar w:fldCharType="end"/>
            </w:r>
          </w:hyperlink>
        </w:p>
        <w:p w14:paraId="7D5B7003" w14:textId="5B358825"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3" w:history="1">
            <w:r w:rsidR="0029456B" w:rsidRPr="0091450A">
              <w:rPr>
                <w:rStyle w:val="Hyperlink"/>
                <w:noProof/>
              </w:rPr>
              <w:t>FUND1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_Toc31623763 \h </w:instrText>
            </w:r>
            <w:r w:rsidR="0029456B" w:rsidRPr="0091450A">
              <w:rPr>
                <w:noProof/>
                <w:webHidden/>
              </w:rPr>
            </w:r>
            <w:r w:rsidR="0029456B" w:rsidRPr="0091450A">
              <w:rPr>
                <w:noProof/>
                <w:webHidden/>
              </w:rPr>
              <w:fldChar w:fldCharType="separate"/>
            </w:r>
            <w:r w:rsidR="008621DE">
              <w:rPr>
                <w:noProof/>
                <w:webHidden/>
              </w:rPr>
              <w:t>54</w:t>
            </w:r>
            <w:r w:rsidR="0029456B" w:rsidRPr="0091450A">
              <w:rPr>
                <w:noProof/>
                <w:webHidden/>
              </w:rPr>
              <w:fldChar w:fldCharType="end"/>
            </w:r>
          </w:hyperlink>
        </w:p>
        <w:p w14:paraId="37E5144F" w14:textId="31395DB2"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4" w:history="1">
            <w:r w:rsidR="0029456B" w:rsidRPr="0091450A">
              <w:rPr>
                <w:rStyle w:val="Hyperlink"/>
                <w:noProof/>
              </w:rPr>
              <w:t>FUND2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_Toc31623764 \h </w:instrText>
            </w:r>
            <w:r w:rsidR="0029456B" w:rsidRPr="0091450A">
              <w:rPr>
                <w:noProof/>
                <w:webHidden/>
              </w:rPr>
            </w:r>
            <w:r w:rsidR="0029456B" w:rsidRPr="0091450A">
              <w:rPr>
                <w:noProof/>
                <w:webHidden/>
              </w:rPr>
              <w:fldChar w:fldCharType="separate"/>
            </w:r>
            <w:r w:rsidR="008621DE">
              <w:rPr>
                <w:noProof/>
                <w:webHidden/>
              </w:rPr>
              <w:t>56</w:t>
            </w:r>
            <w:r w:rsidR="0029456B" w:rsidRPr="0091450A">
              <w:rPr>
                <w:noProof/>
                <w:webHidden/>
              </w:rPr>
              <w:fldChar w:fldCharType="end"/>
            </w:r>
          </w:hyperlink>
        </w:p>
        <w:p w14:paraId="6A48EB65" w14:textId="07B5F185"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5" w:history="1">
            <w:r w:rsidR="0029456B" w:rsidRPr="0091450A">
              <w:rPr>
                <w:rStyle w:val="Hyperlink"/>
                <w:noProof/>
              </w:rPr>
              <w:t>FUND3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_Toc31623765 \h </w:instrText>
            </w:r>
            <w:r w:rsidR="0029456B" w:rsidRPr="0091450A">
              <w:rPr>
                <w:noProof/>
                <w:webHidden/>
              </w:rPr>
            </w:r>
            <w:r w:rsidR="0029456B" w:rsidRPr="0091450A">
              <w:rPr>
                <w:noProof/>
                <w:webHidden/>
              </w:rPr>
              <w:fldChar w:fldCharType="separate"/>
            </w:r>
            <w:r w:rsidR="008621DE">
              <w:rPr>
                <w:noProof/>
                <w:webHidden/>
              </w:rPr>
              <w:t>57</w:t>
            </w:r>
            <w:r w:rsidR="0029456B" w:rsidRPr="0091450A">
              <w:rPr>
                <w:noProof/>
                <w:webHidden/>
              </w:rPr>
              <w:fldChar w:fldCharType="end"/>
            </w:r>
          </w:hyperlink>
        </w:p>
        <w:p w14:paraId="0A7B7396" w14:textId="7C14C648"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66" w:history="1">
            <w:r w:rsidR="0029456B" w:rsidRPr="0091450A">
              <w:rPr>
                <w:rStyle w:val="Hyperlink"/>
                <w:noProof/>
              </w:rPr>
              <w:t>12 PLATFORMS FOR INTERACTION</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_Toc31623766 \h </w:instrText>
            </w:r>
            <w:r w:rsidR="0029456B" w:rsidRPr="0091450A">
              <w:rPr>
                <w:noProof/>
                <w:webHidden/>
              </w:rPr>
            </w:r>
            <w:r w:rsidR="0029456B" w:rsidRPr="0091450A">
              <w:rPr>
                <w:noProof/>
                <w:webHidden/>
              </w:rPr>
              <w:fldChar w:fldCharType="separate"/>
            </w:r>
            <w:r w:rsidR="008621DE">
              <w:rPr>
                <w:noProof/>
                <w:webHidden/>
              </w:rPr>
              <w:t>57</w:t>
            </w:r>
            <w:r w:rsidR="0029456B" w:rsidRPr="0091450A">
              <w:rPr>
                <w:noProof/>
                <w:webHidden/>
              </w:rPr>
              <w:fldChar w:fldCharType="end"/>
            </w:r>
          </w:hyperlink>
        </w:p>
        <w:p w14:paraId="3D0DF891" w14:textId="318A291A"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7" w:history="1">
            <w:r w:rsidR="0029456B" w:rsidRPr="0091450A">
              <w:rPr>
                <w:rStyle w:val="Hyperlink"/>
                <w:noProof/>
              </w:rPr>
              <w:t>PLATF1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_Toc31623767 \h </w:instrText>
            </w:r>
            <w:r w:rsidR="0029456B" w:rsidRPr="0091450A">
              <w:rPr>
                <w:noProof/>
                <w:webHidden/>
              </w:rPr>
            </w:r>
            <w:r w:rsidR="0029456B" w:rsidRPr="0091450A">
              <w:rPr>
                <w:noProof/>
                <w:webHidden/>
              </w:rPr>
              <w:fldChar w:fldCharType="separate"/>
            </w:r>
            <w:r w:rsidR="008621DE">
              <w:rPr>
                <w:noProof/>
                <w:webHidden/>
              </w:rPr>
              <w:t>57</w:t>
            </w:r>
            <w:r w:rsidR="0029456B" w:rsidRPr="0091450A">
              <w:rPr>
                <w:noProof/>
                <w:webHidden/>
              </w:rPr>
              <w:fldChar w:fldCharType="end"/>
            </w:r>
          </w:hyperlink>
        </w:p>
        <w:p w14:paraId="5C05998E" w14:textId="58AE947E"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8" w:history="1">
            <w:r w:rsidR="0029456B" w:rsidRPr="0091450A">
              <w:rPr>
                <w:rStyle w:val="Hyperlink"/>
                <w:noProof/>
              </w:rPr>
              <w:t>PLATF2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_Toc31623768 \h </w:instrText>
            </w:r>
            <w:r w:rsidR="0029456B" w:rsidRPr="0091450A">
              <w:rPr>
                <w:noProof/>
                <w:webHidden/>
              </w:rPr>
            </w:r>
            <w:r w:rsidR="0029456B" w:rsidRPr="0091450A">
              <w:rPr>
                <w:noProof/>
                <w:webHidden/>
              </w:rPr>
              <w:fldChar w:fldCharType="separate"/>
            </w:r>
            <w:r w:rsidR="008621DE">
              <w:rPr>
                <w:noProof/>
                <w:webHidden/>
              </w:rPr>
              <w:t>58</w:t>
            </w:r>
            <w:r w:rsidR="0029456B" w:rsidRPr="0091450A">
              <w:rPr>
                <w:noProof/>
                <w:webHidden/>
              </w:rPr>
              <w:fldChar w:fldCharType="end"/>
            </w:r>
          </w:hyperlink>
        </w:p>
        <w:p w14:paraId="5DE0D658" w14:textId="5EB49DA9"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69" w:history="1">
            <w:r w:rsidR="0029456B" w:rsidRPr="0091450A">
              <w:rPr>
                <w:rStyle w:val="Hyperlink"/>
                <w:noProof/>
              </w:rPr>
              <w:t>PLATF3</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_Toc31623769 \h </w:instrText>
            </w:r>
            <w:r w:rsidR="0029456B" w:rsidRPr="0091450A">
              <w:rPr>
                <w:noProof/>
                <w:webHidden/>
              </w:rPr>
            </w:r>
            <w:r w:rsidR="0029456B" w:rsidRPr="0091450A">
              <w:rPr>
                <w:noProof/>
                <w:webHidden/>
              </w:rPr>
              <w:fldChar w:fldCharType="separate"/>
            </w:r>
            <w:r w:rsidR="008621DE">
              <w:rPr>
                <w:noProof/>
                <w:webHidden/>
              </w:rPr>
              <w:t>60</w:t>
            </w:r>
            <w:r w:rsidR="0029456B" w:rsidRPr="0091450A">
              <w:rPr>
                <w:noProof/>
                <w:webHidden/>
              </w:rPr>
              <w:fldChar w:fldCharType="end"/>
            </w:r>
          </w:hyperlink>
        </w:p>
        <w:p w14:paraId="158BCE2E" w14:textId="26E71C85"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70" w:history="1">
            <w:r w:rsidR="0029456B" w:rsidRPr="0091450A">
              <w:rPr>
                <w:rStyle w:val="Hyperlink"/>
                <w:noProof/>
              </w:rPr>
              <w:t>PLATF4</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_Toc31623770 \h </w:instrText>
            </w:r>
            <w:r w:rsidR="0029456B" w:rsidRPr="0091450A">
              <w:rPr>
                <w:noProof/>
                <w:webHidden/>
              </w:rPr>
            </w:r>
            <w:r w:rsidR="0029456B" w:rsidRPr="0091450A">
              <w:rPr>
                <w:noProof/>
                <w:webHidden/>
              </w:rPr>
              <w:fldChar w:fldCharType="separate"/>
            </w:r>
            <w:r w:rsidR="008621DE">
              <w:rPr>
                <w:noProof/>
                <w:webHidden/>
              </w:rPr>
              <w:t>61</w:t>
            </w:r>
            <w:r w:rsidR="0029456B" w:rsidRPr="0091450A">
              <w:rPr>
                <w:noProof/>
                <w:webHidden/>
              </w:rPr>
              <w:fldChar w:fldCharType="end"/>
            </w:r>
          </w:hyperlink>
        </w:p>
        <w:p w14:paraId="2F7176E1" w14:textId="2626B5C4" w:rsidR="0029456B" w:rsidRPr="0091450A" w:rsidRDefault="00E84E26" w:rsidP="008621DE">
          <w:pPr>
            <w:pStyle w:val="TOC2"/>
            <w:tabs>
              <w:tab w:val="right" w:leader="dot" w:pos="9016"/>
            </w:tabs>
            <w:spacing w:line="240" w:lineRule="auto"/>
            <w:rPr>
              <w:rFonts w:eastAsiaTheme="minorEastAsia"/>
              <w:noProof/>
              <w:sz w:val="22"/>
              <w:lang w:eastAsia="en-NZ"/>
            </w:rPr>
          </w:pPr>
          <w:hyperlink w:anchor="_Toc31623771" w:history="1">
            <w:r w:rsidR="0029456B" w:rsidRPr="0091450A">
              <w:rPr>
                <w:rStyle w:val="Hyperlink"/>
                <w:noProof/>
              </w:rPr>
              <w:t>13 HEALTH IN ALL POLICIES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_Toc31623771 \h </w:instrText>
            </w:r>
            <w:r w:rsidR="0029456B" w:rsidRPr="0091450A">
              <w:rPr>
                <w:noProof/>
                <w:webHidden/>
              </w:rPr>
            </w:r>
            <w:r w:rsidR="0029456B" w:rsidRPr="0091450A">
              <w:rPr>
                <w:noProof/>
                <w:webHidden/>
              </w:rPr>
              <w:fldChar w:fldCharType="separate"/>
            </w:r>
            <w:r w:rsidR="008621DE">
              <w:rPr>
                <w:noProof/>
                <w:webHidden/>
              </w:rPr>
              <w:t>63</w:t>
            </w:r>
            <w:r w:rsidR="0029456B" w:rsidRPr="0091450A">
              <w:rPr>
                <w:noProof/>
                <w:webHidden/>
              </w:rPr>
              <w:fldChar w:fldCharType="end"/>
            </w:r>
          </w:hyperlink>
        </w:p>
        <w:p w14:paraId="2EEA6A1C" w14:textId="3A07A4F5"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72" w:history="1">
            <w:r w:rsidR="0029456B" w:rsidRPr="0091450A">
              <w:rPr>
                <w:rStyle w:val="Hyperlink"/>
                <w:noProof/>
              </w:rPr>
              <w:t>HIAP1</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_Toc31623772 \h </w:instrText>
            </w:r>
            <w:r w:rsidR="0029456B" w:rsidRPr="0091450A">
              <w:rPr>
                <w:noProof/>
                <w:webHidden/>
              </w:rPr>
            </w:r>
            <w:r w:rsidR="0029456B" w:rsidRPr="0091450A">
              <w:rPr>
                <w:noProof/>
                <w:webHidden/>
              </w:rPr>
              <w:fldChar w:fldCharType="separate"/>
            </w:r>
            <w:r w:rsidR="008621DE">
              <w:rPr>
                <w:noProof/>
                <w:webHidden/>
              </w:rPr>
              <w:t>63</w:t>
            </w:r>
            <w:r w:rsidR="0029456B" w:rsidRPr="0091450A">
              <w:rPr>
                <w:noProof/>
                <w:webHidden/>
              </w:rPr>
              <w:fldChar w:fldCharType="end"/>
            </w:r>
          </w:hyperlink>
        </w:p>
        <w:p w14:paraId="71F57BE0" w14:textId="68F5A5AE" w:rsidR="0029456B" w:rsidRPr="0091450A" w:rsidRDefault="00E84E26" w:rsidP="008621DE">
          <w:pPr>
            <w:pStyle w:val="TOC3"/>
            <w:tabs>
              <w:tab w:val="right" w:leader="dot" w:pos="9016"/>
            </w:tabs>
            <w:spacing w:line="240" w:lineRule="auto"/>
            <w:rPr>
              <w:rFonts w:eastAsiaTheme="minorEastAsia"/>
              <w:noProof/>
              <w:sz w:val="22"/>
              <w:lang w:eastAsia="en-NZ"/>
            </w:rPr>
          </w:pPr>
          <w:hyperlink w:anchor="_Toc31623773" w:history="1">
            <w:r w:rsidR="0029456B" w:rsidRPr="0091450A">
              <w:rPr>
                <w:rStyle w:val="Hyperlink"/>
                <w:noProof/>
              </w:rPr>
              <w:t>HIAP2</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_Toc31623773 \h </w:instrText>
            </w:r>
            <w:r w:rsidR="0029456B" w:rsidRPr="0091450A">
              <w:rPr>
                <w:noProof/>
                <w:webHidden/>
              </w:rPr>
            </w:r>
            <w:r w:rsidR="0029456B" w:rsidRPr="0091450A">
              <w:rPr>
                <w:noProof/>
                <w:webHidden/>
              </w:rPr>
              <w:fldChar w:fldCharType="separate"/>
            </w:r>
            <w:r w:rsidR="008621DE">
              <w:rPr>
                <w:noProof/>
                <w:webHidden/>
              </w:rPr>
              <w:t>63</w:t>
            </w:r>
            <w:r w:rsidR="0029456B" w:rsidRPr="0091450A">
              <w:rPr>
                <w:noProof/>
                <w:webHidden/>
              </w:rPr>
              <w:fldChar w:fldCharType="end"/>
            </w:r>
          </w:hyperlink>
        </w:p>
        <w:p w14:paraId="719E3A0E" w14:textId="250F7126" w:rsidR="0029456B" w:rsidRPr="0091450A" w:rsidRDefault="00E84E26" w:rsidP="008621DE">
          <w:pPr>
            <w:pStyle w:val="TOC1"/>
            <w:rPr>
              <w:rFonts w:eastAsiaTheme="minorEastAsia"/>
              <w:noProof/>
              <w:sz w:val="22"/>
              <w:lang w:eastAsia="en-NZ"/>
            </w:rPr>
          </w:pPr>
          <w:hyperlink w:anchor="_Toc31623774" w:history="1">
            <w:r w:rsidR="0029456B" w:rsidRPr="0091450A">
              <w:rPr>
                <w:rStyle w:val="Hyperlink"/>
                <w:noProof/>
              </w:rPr>
              <w:t>References</w:t>
            </w:r>
            <w:r w:rsidR="0029456B" w:rsidRPr="0091450A">
              <w:rPr>
                <w:noProof/>
                <w:webHidden/>
              </w:rPr>
              <w:tab/>
            </w:r>
            <w:r w:rsidR="0029456B" w:rsidRPr="0091450A">
              <w:rPr>
                <w:noProof/>
                <w:webHidden/>
              </w:rPr>
              <w:fldChar w:fldCharType="begin"/>
            </w:r>
            <w:r w:rsidR="0029456B" w:rsidRPr="0091450A">
              <w:rPr>
                <w:noProof/>
                <w:webHidden/>
              </w:rPr>
              <w:instrText xml:space="preserve"> PAGEREF _Toc31623774 \h </w:instrText>
            </w:r>
            <w:r w:rsidR="0029456B" w:rsidRPr="0091450A">
              <w:rPr>
                <w:noProof/>
                <w:webHidden/>
              </w:rPr>
            </w:r>
            <w:r w:rsidR="0029456B" w:rsidRPr="0091450A">
              <w:rPr>
                <w:noProof/>
                <w:webHidden/>
              </w:rPr>
              <w:fldChar w:fldCharType="separate"/>
            </w:r>
            <w:r w:rsidR="008621DE">
              <w:rPr>
                <w:noProof/>
                <w:webHidden/>
              </w:rPr>
              <w:t>65</w:t>
            </w:r>
            <w:r w:rsidR="0029456B" w:rsidRPr="0091450A">
              <w:rPr>
                <w:noProof/>
                <w:webHidden/>
              </w:rPr>
              <w:fldChar w:fldCharType="end"/>
            </w:r>
          </w:hyperlink>
        </w:p>
        <w:p w14:paraId="17DDADD9" w14:textId="6BC0F11E" w:rsidR="00C27604" w:rsidRPr="0091450A" w:rsidRDefault="00C27604" w:rsidP="008621DE">
          <w:pPr>
            <w:spacing w:after="0" w:line="240" w:lineRule="auto"/>
          </w:pPr>
          <w:r w:rsidRPr="0091450A">
            <w:rPr>
              <w:b/>
            </w:rPr>
            <w:fldChar w:fldCharType="end"/>
          </w:r>
        </w:p>
      </w:sdtContent>
    </w:sdt>
    <w:p w14:paraId="7504FDB2" w14:textId="77777777" w:rsidR="00B20C63" w:rsidRPr="0091450A" w:rsidRDefault="00B20C63" w:rsidP="002D613F">
      <w:pPr>
        <w:spacing w:line="240" w:lineRule="auto"/>
        <w:rPr>
          <w:rFonts w:cs="Times New Roman"/>
          <w:color w:val="244061" w:themeColor="accent1" w:themeShade="80"/>
          <w:sz w:val="32"/>
          <w:szCs w:val="32"/>
        </w:rPr>
      </w:pPr>
      <w:r w:rsidRPr="0091450A">
        <w:rPr>
          <w:rFonts w:cs="Times New Roman"/>
          <w:color w:val="244061" w:themeColor="accent1" w:themeShade="80"/>
          <w:sz w:val="32"/>
          <w:szCs w:val="32"/>
        </w:rPr>
        <w:br w:type="page"/>
      </w:r>
    </w:p>
    <w:p w14:paraId="5B858F92" w14:textId="77777777" w:rsidR="00B20C63" w:rsidRPr="0091450A" w:rsidRDefault="00B20C63" w:rsidP="002D613F">
      <w:pPr>
        <w:pStyle w:val="Heading1"/>
        <w:spacing w:line="240" w:lineRule="auto"/>
        <w:jc w:val="both"/>
      </w:pPr>
      <w:bookmarkStart w:id="3" w:name="_Toc31623702"/>
      <w:r w:rsidRPr="0091450A">
        <w:lastRenderedPageBreak/>
        <w:t>Introduction</w:t>
      </w:r>
      <w:bookmarkEnd w:id="3"/>
    </w:p>
    <w:p w14:paraId="09AF1EBA" w14:textId="5C719149" w:rsidR="007D12E6" w:rsidRPr="0091450A" w:rsidRDefault="007D12E6" w:rsidP="002D613F">
      <w:pPr>
        <w:spacing w:after="0" w:line="240" w:lineRule="auto"/>
        <w:jc w:val="both"/>
      </w:pPr>
      <w:r w:rsidRPr="0091450A">
        <w:t>New Zealand has an unacceptably high prevalence of overweight and obesity. Two in three adults and one in three children are overweight or obese.  Diet-related non-communicable diseases (NCDs), such as diabetes, c</w:t>
      </w:r>
      <w:r w:rsidR="00A050C1" w:rsidRPr="0091450A">
        <w:t>ardiovascular diseases and cancer</w:t>
      </w:r>
      <w:r w:rsidR="00C930CE" w:rsidRPr="0091450A">
        <w:t>,</w:t>
      </w:r>
      <w:r w:rsidRPr="0091450A">
        <w:t xml:space="preserve"> are the biggest cause of death and ill-health in New Zealand and they are preventable. </w:t>
      </w:r>
    </w:p>
    <w:p w14:paraId="0BDF7D22" w14:textId="77777777" w:rsidR="0029456B" w:rsidRPr="0091450A" w:rsidRDefault="0029456B" w:rsidP="002D613F">
      <w:pPr>
        <w:spacing w:after="0" w:line="240" w:lineRule="auto"/>
        <w:jc w:val="both"/>
      </w:pPr>
    </w:p>
    <w:p w14:paraId="27968C52" w14:textId="1B962413" w:rsidR="0078796B" w:rsidRPr="0091450A" w:rsidRDefault="007D12E6" w:rsidP="002D613F">
      <w:pPr>
        <w:spacing w:line="240" w:lineRule="auto"/>
        <w:jc w:val="both"/>
      </w:pPr>
      <w:r w:rsidRPr="0091450A">
        <w:t xml:space="preserve">Effective government policies are essential to </w:t>
      </w:r>
      <w:r w:rsidR="00FE41D4">
        <w:t>make food environments</w:t>
      </w:r>
      <w:r w:rsidRPr="0091450A">
        <w:t xml:space="preserve"> healthi</w:t>
      </w:r>
      <w:r w:rsidR="00FE41D4">
        <w:t>er</w:t>
      </w:r>
      <w:r w:rsidRPr="0091450A">
        <w:rPr>
          <w:rStyle w:val="FootnoteReference"/>
        </w:rPr>
        <w:footnoteReference w:id="2"/>
      </w:r>
      <w:r w:rsidRPr="0091450A">
        <w:t xml:space="preserve"> and reduce the very high levels of obesity, NCDs, and their related inequalities. It is</w:t>
      </w:r>
      <w:r w:rsidR="004D393A" w:rsidRPr="0091450A">
        <w:t xml:space="preserve"> critical that the New Zealand G</w:t>
      </w:r>
      <w:r w:rsidRPr="0091450A">
        <w:t>overnment implements preventive policies</w:t>
      </w:r>
      <w:r w:rsidR="008D3EA1" w:rsidRPr="0091450A">
        <w:t xml:space="preserve"> and actions</w:t>
      </w:r>
      <w:r w:rsidRPr="0091450A">
        <w:t xml:space="preserve"> to match the magnitude of the burden that unhealthy diets are creating</w:t>
      </w:r>
      <w:r w:rsidR="008D3EA1" w:rsidRPr="0091450A">
        <w:t xml:space="preserve"> in New Zealand</w:t>
      </w:r>
      <w:r w:rsidRPr="0091450A">
        <w:t>. Monitoring the</w:t>
      </w:r>
      <w:r w:rsidR="002239F4" w:rsidRPr="0091450A">
        <w:t xml:space="preserve"> level</w:t>
      </w:r>
      <w:r w:rsidRPr="0091450A">
        <w:t xml:space="preserve"> of implementation of the policies and actions recommended by the World Health Organisation</w:t>
      </w:r>
      <w:r w:rsidR="00B771AA" w:rsidRPr="0091450A">
        <w:t xml:space="preserve"> (WHO)</w:t>
      </w:r>
      <w:r w:rsidRPr="0091450A">
        <w:t xml:space="preserve"> is an important part of ensuring progress towards </w:t>
      </w:r>
      <w:r w:rsidR="009C1044">
        <w:t>healthier diets</w:t>
      </w:r>
      <w:r w:rsidRPr="0091450A">
        <w:t xml:space="preserve"> for New Zealanders.</w:t>
      </w:r>
    </w:p>
    <w:p w14:paraId="465EFAB8" w14:textId="14D623B5" w:rsidR="007D12E6" w:rsidRPr="0091450A" w:rsidRDefault="0072358B" w:rsidP="002D613F">
      <w:pPr>
        <w:spacing w:after="0" w:line="240" w:lineRule="auto"/>
        <w:jc w:val="both"/>
        <w:rPr>
          <w:b/>
        </w:rPr>
      </w:pPr>
      <w:r w:rsidRPr="0091450A">
        <w:rPr>
          <w:b/>
          <w:i/>
        </w:rPr>
        <w:t>The Healthy Food E</w:t>
      </w:r>
      <w:r w:rsidR="007D12E6" w:rsidRPr="0091450A">
        <w:rPr>
          <w:b/>
          <w:i/>
        </w:rPr>
        <w:t>n</w:t>
      </w:r>
      <w:r w:rsidRPr="0091450A">
        <w:rPr>
          <w:b/>
          <w:i/>
        </w:rPr>
        <w:t>vironment Policy I</w:t>
      </w:r>
      <w:r w:rsidR="007D12E6" w:rsidRPr="0091450A">
        <w:rPr>
          <w:b/>
          <w:i/>
        </w:rPr>
        <w:t>ndex (Food-EPI)</w:t>
      </w:r>
    </w:p>
    <w:p w14:paraId="44C536BE" w14:textId="0C13628B" w:rsidR="007D12E6" w:rsidRPr="0091450A" w:rsidRDefault="007D12E6" w:rsidP="002D613F">
      <w:pPr>
        <w:spacing w:after="0" w:line="240" w:lineRule="auto"/>
      </w:pPr>
      <w:r w:rsidRPr="0091450A">
        <w:t>The Food-EPI has been developed by the International Network for Food and Obesity/NCDs Research Monitoring and Action Support (INFORMAS)</w:t>
      </w:r>
      <w:r w:rsidR="00B83BAC">
        <w:t>. INFORMAS</w:t>
      </w:r>
      <w:r w:rsidRPr="0091450A">
        <w:t xml:space="preserve"> assess</w:t>
      </w:r>
      <w:r w:rsidR="00B83BAC">
        <w:t>es</w:t>
      </w:r>
      <w:r w:rsidRPr="0091450A">
        <w:t xml:space="preserve"> the level of implementation </w:t>
      </w:r>
      <w:r w:rsidR="009C1044">
        <w:t xml:space="preserve">and </w:t>
      </w:r>
      <w:r w:rsidR="00B83BAC">
        <w:t>p</w:t>
      </w:r>
      <w:r w:rsidRPr="0091450A">
        <w:t>riority</w:t>
      </w:r>
      <w:r w:rsidR="009C1044">
        <w:t xml:space="preserve"> of</w:t>
      </w:r>
      <w:r w:rsidRPr="0091450A">
        <w:t xml:space="preserve"> </w:t>
      </w:r>
      <w:r w:rsidR="002239F4" w:rsidRPr="0091450A">
        <w:t xml:space="preserve">government </w:t>
      </w:r>
      <w:r w:rsidRPr="0091450A">
        <w:t xml:space="preserve">policies and actions to improve the healthiness of food environments against </w:t>
      </w:r>
      <w:r w:rsidR="00272F15">
        <w:t xml:space="preserve">the </w:t>
      </w:r>
      <w:r w:rsidRPr="0091450A">
        <w:t>international best practice</w:t>
      </w:r>
      <w:r w:rsidR="003262DE" w:rsidRPr="0091450A">
        <w:t xml:space="preserve"> (Figure 1)</w:t>
      </w:r>
      <w:r w:rsidRPr="0091450A">
        <w:t>.</w:t>
      </w:r>
    </w:p>
    <w:p w14:paraId="3663B8D3" w14:textId="77777777" w:rsidR="00DB7F5C" w:rsidRPr="0091450A" w:rsidRDefault="00DB7F5C" w:rsidP="002D613F">
      <w:pPr>
        <w:spacing w:after="0" w:line="240" w:lineRule="auto"/>
      </w:pPr>
    </w:p>
    <w:p w14:paraId="5CD1DEF4" w14:textId="6E5BEA26" w:rsidR="007D12E6" w:rsidRPr="0091450A" w:rsidRDefault="007D12E6" w:rsidP="002D613F">
      <w:pPr>
        <w:spacing w:after="0" w:line="240" w:lineRule="auto"/>
        <w:jc w:val="center"/>
      </w:pPr>
      <w:r w:rsidRPr="0091450A">
        <w:rPr>
          <w:noProof/>
          <w:lang w:eastAsia="zh-CN"/>
        </w:rPr>
        <w:drawing>
          <wp:inline distT="0" distB="0" distL="0" distR="0" wp14:anchorId="404BB2FE" wp14:editId="2BB41ECA">
            <wp:extent cx="5248275" cy="2981960"/>
            <wp:effectExtent l="0" t="0" r="952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2542"/>
                    <a:stretch/>
                  </pic:blipFill>
                  <pic:spPr bwMode="auto">
                    <a:xfrm>
                      <a:off x="0" y="0"/>
                      <a:ext cx="5303427" cy="3013296"/>
                    </a:xfrm>
                    <a:prstGeom prst="rect">
                      <a:avLst/>
                    </a:prstGeom>
                    <a:noFill/>
                    <a:ln>
                      <a:noFill/>
                    </a:ln>
                    <a:extLst>
                      <a:ext uri="{53640926-AAD7-44D8-BBD7-CCE9431645EC}">
                        <a14:shadowObscured xmlns:a14="http://schemas.microsoft.com/office/drawing/2010/main"/>
                      </a:ext>
                    </a:extLst>
                  </pic:spPr>
                </pic:pic>
              </a:graphicData>
            </a:graphic>
          </wp:inline>
        </w:drawing>
      </w:r>
    </w:p>
    <w:p w14:paraId="7A631EDD" w14:textId="40DAEA76" w:rsidR="007D12E6" w:rsidRPr="0091450A" w:rsidRDefault="007D12E6" w:rsidP="002D613F">
      <w:pPr>
        <w:spacing w:before="240" w:after="0" w:line="240" w:lineRule="auto"/>
        <w:jc w:val="both"/>
        <w:rPr>
          <w:b/>
          <w:szCs w:val="20"/>
        </w:rPr>
      </w:pPr>
      <w:r w:rsidRPr="0091450A">
        <w:rPr>
          <w:b/>
          <w:szCs w:val="20"/>
        </w:rPr>
        <w:t>Figure 1:</w:t>
      </w:r>
      <w:r w:rsidR="0072358B" w:rsidRPr="0091450A">
        <w:rPr>
          <w:b/>
          <w:szCs w:val="20"/>
        </w:rPr>
        <w:t xml:space="preserve"> Components and domains of the </w:t>
      </w:r>
      <w:r w:rsidRPr="0091450A">
        <w:rPr>
          <w:b/>
          <w:szCs w:val="20"/>
        </w:rPr>
        <w:t>Healthy</w:t>
      </w:r>
      <w:r w:rsidR="0072358B" w:rsidRPr="0091450A">
        <w:rPr>
          <w:b/>
          <w:szCs w:val="20"/>
        </w:rPr>
        <w:t xml:space="preserve"> Food Environment Policy Index </w:t>
      </w:r>
      <w:r w:rsidRPr="0091450A">
        <w:rPr>
          <w:b/>
          <w:szCs w:val="20"/>
        </w:rPr>
        <w:t>(Food-EPI)</w:t>
      </w:r>
    </w:p>
    <w:p w14:paraId="5254DDBE" w14:textId="77777777" w:rsidR="00954746" w:rsidRPr="0091450A" w:rsidRDefault="00954746" w:rsidP="002D613F">
      <w:pPr>
        <w:spacing w:after="0" w:line="240" w:lineRule="auto"/>
        <w:jc w:val="both"/>
      </w:pPr>
    </w:p>
    <w:p w14:paraId="785BB774" w14:textId="69A89638" w:rsidR="007D12E6" w:rsidRPr="0091450A" w:rsidRDefault="007D12E6" w:rsidP="002D613F">
      <w:pPr>
        <w:spacing w:after="0" w:line="240" w:lineRule="auto"/>
        <w:jc w:val="both"/>
        <w:rPr>
          <w:i/>
        </w:rPr>
      </w:pPr>
      <w:r w:rsidRPr="0091450A">
        <w:t>The index consists of two components (Policies and Infrastructure Support), 13 domains and 47 goo</w:t>
      </w:r>
      <w:r w:rsidR="003262DE" w:rsidRPr="0091450A">
        <w:t>d practice indicators</w:t>
      </w:r>
      <w:r w:rsidR="00B771AA" w:rsidRPr="0091450A">
        <w:t xml:space="preserve">. The current </w:t>
      </w:r>
      <w:r w:rsidRPr="0091450A">
        <w:t>expert panel</w:t>
      </w:r>
      <w:r w:rsidR="00B771AA" w:rsidRPr="0091450A">
        <w:t xml:space="preserve"> aims</w:t>
      </w:r>
      <w:r w:rsidRPr="0091450A">
        <w:t xml:space="preserve"> </w:t>
      </w:r>
      <w:r w:rsidR="00B771AA" w:rsidRPr="0091450A">
        <w:t>to rate</w:t>
      </w:r>
      <w:r w:rsidRPr="0091450A">
        <w:t xml:space="preserve"> the </w:t>
      </w:r>
      <w:r w:rsidR="003262DE" w:rsidRPr="0091450A">
        <w:t xml:space="preserve">level </w:t>
      </w:r>
      <w:r w:rsidRPr="0091450A">
        <w:t xml:space="preserve">of implementation of policies on food environments by the Government against international best practice. </w:t>
      </w:r>
    </w:p>
    <w:p w14:paraId="6FBE82F1" w14:textId="77777777" w:rsidR="00B54885" w:rsidRPr="0091450A" w:rsidRDefault="00B54885" w:rsidP="002D613F">
      <w:pPr>
        <w:spacing w:line="240" w:lineRule="auto"/>
        <w:rPr>
          <w:b/>
          <w:i/>
        </w:rPr>
      </w:pPr>
      <w:r w:rsidRPr="0091450A">
        <w:rPr>
          <w:b/>
          <w:i/>
        </w:rPr>
        <w:br w:type="page"/>
      </w:r>
    </w:p>
    <w:p w14:paraId="7199CCEE" w14:textId="422DBD28" w:rsidR="007D12E6" w:rsidRPr="0091450A" w:rsidRDefault="007D12E6" w:rsidP="002D613F">
      <w:pPr>
        <w:spacing w:after="0" w:line="240" w:lineRule="auto"/>
        <w:jc w:val="both"/>
        <w:rPr>
          <w:b/>
          <w:i/>
        </w:rPr>
      </w:pPr>
      <w:r w:rsidRPr="0091450A">
        <w:rPr>
          <w:b/>
          <w:i/>
        </w:rPr>
        <w:lastRenderedPageBreak/>
        <w:t>The New Zealand Food-EPI 2014</w:t>
      </w:r>
      <w:r w:rsidR="008A0887" w:rsidRPr="0091450A">
        <w:rPr>
          <w:b/>
          <w:i/>
        </w:rPr>
        <w:t xml:space="preserve"> &amp; 2017</w:t>
      </w:r>
    </w:p>
    <w:p w14:paraId="55CD1DFD" w14:textId="26DA41CD" w:rsidR="001A1A24" w:rsidRPr="0091450A" w:rsidRDefault="007D12E6" w:rsidP="002D613F">
      <w:pPr>
        <w:spacing w:after="0" w:line="240" w:lineRule="auto"/>
        <w:jc w:val="both"/>
      </w:pPr>
      <w:r w:rsidRPr="0091450A">
        <w:t xml:space="preserve">More than 50 experts participated in the </w:t>
      </w:r>
      <w:r w:rsidR="00162FCE" w:rsidRPr="0091450A">
        <w:t xml:space="preserve">first </w:t>
      </w:r>
      <w:r w:rsidRPr="0091450A">
        <w:t>Food-EPI in May 2014</w:t>
      </w:r>
      <w:r w:rsidR="00A12875" w:rsidRPr="0091450A">
        <w:t xml:space="preserve"> and 70 experts </w:t>
      </w:r>
      <w:r w:rsidR="0029456B" w:rsidRPr="0091450A">
        <w:t xml:space="preserve">in May </w:t>
      </w:r>
      <w:r w:rsidR="00A12875" w:rsidRPr="0091450A">
        <w:t>2017</w:t>
      </w:r>
      <w:r w:rsidRPr="0091450A">
        <w:t>. It was found that t</w:t>
      </w:r>
      <w:r w:rsidR="00162FCE" w:rsidRPr="0091450A">
        <w:t>he New Zealand Government was</w:t>
      </w:r>
      <w:r w:rsidR="002B70FB" w:rsidRPr="0091450A">
        <w:t xml:space="preserve"> performing well,</w:t>
      </w:r>
      <w:r w:rsidRPr="0091450A">
        <w:t xml:space="preserve"> at the level of international best practice, </w:t>
      </w:r>
      <w:r w:rsidR="0091450A" w:rsidRPr="0091450A">
        <w:t>regarding</w:t>
      </w:r>
      <w:r w:rsidRPr="0091450A">
        <w:t xml:space="preserve"> preventing unhealthy foods carrying health claims, providing ingredient lists and nutrition information panels on packaged foods, transparency in policy development processes, providing access to information for the public and monitoring</w:t>
      </w:r>
      <w:r w:rsidR="00E215B0">
        <w:t xml:space="preserve"> the</w:t>
      </w:r>
      <w:r w:rsidRPr="0091450A">
        <w:t xml:space="preserve"> prevalence of NCDs and their risk factors.  </w:t>
      </w:r>
      <w:r w:rsidR="00A12875" w:rsidRPr="0091450A">
        <w:t xml:space="preserve">There has also been progress since 2014 with health star ratings, systems-based approaches with communities, developing healthy food and drink policy in the public sector, and improving platforms for interaction. </w:t>
      </w:r>
      <w:r w:rsidRPr="0091450A">
        <w:t>H</w:t>
      </w:r>
      <w:r w:rsidR="00162FCE" w:rsidRPr="0091450A">
        <w:t xml:space="preserve">owever, </w:t>
      </w:r>
      <w:r w:rsidRPr="0091450A">
        <w:t xml:space="preserve">major ‘implementation gaps’ </w:t>
      </w:r>
      <w:r w:rsidR="00162FCE" w:rsidRPr="0091450A">
        <w:t xml:space="preserve">were identified </w:t>
      </w:r>
      <w:r w:rsidRPr="0091450A">
        <w:t xml:space="preserve">with </w:t>
      </w:r>
      <w:r w:rsidR="00162FCE" w:rsidRPr="0091450A">
        <w:t xml:space="preserve">the level of implementation of </w:t>
      </w:r>
      <w:r w:rsidRPr="0091450A">
        <w:t xml:space="preserve">about three quarters (74%) of the policy indicators and half (48%) of the infrastructure support indicators rated as ‘low’ or ‘very little, if any’ </w:t>
      </w:r>
      <w:r w:rsidR="00162FCE" w:rsidRPr="0091450A">
        <w:t>compared to international best practice</w:t>
      </w:r>
      <w:r w:rsidRPr="0091450A">
        <w:t xml:space="preserve">. </w:t>
      </w:r>
      <w:r w:rsidR="00D45110" w:rsidRPr="0091450A">
        <w:t xml:space="preserve">These gaps decreased slightly in 2017 with 70% of policy indicators and 29% of infrastructure support indicators rated as ‘low’ or ‘very little’ compared to best practice. </w:t>
      </w:r>
      <w:r w:rsidR="00C63FE2" w:rsidRPr="0091450A">
        <w:t>For both time periods, the major implementation gaps noted were for food environment policies, especially for healthy food policies in schools, fiscal policies, food retail policies and protection of food environments from trade and investment agreement</w:t>
      </w:r>
      <w:r w:rsidR="00C519FC">
        <w:t>s</w:t>
      </w:r>
      <w:r w:rsidR="00C63FE2" w:rsidRPr="0091450A">
        <w:t>. Implementation gaps for infrastructure support were leadership to reduce obesity and improve public health nutrition, lack of a national nutrition survey</w:t>
      </w:r>
      <w:r w:rsidR="00961AAA">
        <w:t xml:space="preserve"> and</w:t>
      </w:r>
      <w:r w:rsidR="00C63FE2" w:rsidRPr="0091450A">
        <w:t xml:space="preserve"> targets to reduce childhood obesity rates</w:t>
      </w:r>
      <w:r w:rsidR="00961AAA">
        <w:t>,</w:t>
      </w:r>
      <w:r w:rsidR="00C63FE2" w:rsidRPr="0091450A">
        <w:t xml:space="preserve"> inequalities and achieve WHO recommendations for average population sugar, salt and saturated fat intakes. There was no comprehensive obesity/NCD action plan in 2014, with some improvement by 2017.</w:t>
      </w:r>
    </w:p>
    <w:p w14:paraId="27EA70B6" w14:textId="77777777" w:rsidR="0029456B" w:rsidRPr="0091450A" w:rsidRDefault="0029456B" w:rsidP="002D613F">
      <w:pPr>
        <w:spacing w:after="0" w:line="240" w:lineRule="auto"/>
        <w:jc w:val="both"/>
      </w:pPr>
    </w:p>
    <w:p w14:paraId="3457C6F7" w14:textId="6AB41546" w:rsidR="007D12E6" w:rsidRPr="0091450A" w:rsidRDefault="00F13595" w:rsidP="002D613F">
      <w:pPr>
        <w:spacing w:after="0" w:line="240" w:lineRule="auto"/>
        <w:jc w:val="both"/>
        <w:rPr>
          <w:rFonts w:cs="Calibri"/>
        </w:rPr>
      </w:pPr>
      <w:r w:rsidRPr="0091450A">
        <w:t xml:space="preserve">The ratings were informed by extensive documented evidence of current implementation of policies by the Government, validated by government officials, and international best practice examples or benchmarks for each of the indicators. </w:t>
      </w:r>
      <w:r w:rsidR="00162FCE" w:rsidRPr="0091450A">
        <w:t>In 2014</w:t>
      </w:r>
      <w:r w:rsidR="002B70FB" w:rsidRPr="0091450A">
        <w:t>,</w:t>
      </w:r>
      <w:r w:rsidR="00162FCE" w:rsidRPr="0091450A">
        <w:t xml:space="preserve"> </w:t>
      </w:r>
      <w:r w:rsidR="0078796B" w:rsidRPr="0091450A">
        <w:t>based</w:t>
      </w:r>
      <w:r w:rsidR="00B55C4D" w:rsidRPr="0091450A">
        <w:t xml:space="preserve"> </w:t>
      </w:r>
      <w:r w:rsidRPr="0091450A">
        <w:t xml:space="preserve">on the implementation gaps identified, </w:t>
      </w:r>
      <w:r w:rsidR="00162FCE" w:rsidRPr="0091450A">
        <w:t>t</w:t>
      </w:r>
      <w:r w:rsidR="007D12E6" w:rsidRPr="0091450A">
        <w:t>he Expert Panel recommended 34 concrete actions to improve the healthiness of food environments</w:t>
      </w:r>
      <w:r w:rsidR="007D12E6" w:rsidRPr="0091450A">
        <w:rPr>
          <w:rFonts w:cs="Calibri"/>
        </w:rPr>
        <w:t>, prio</w:t>
      </w:r>
      <w:r w:rsidR="002B70FB" w:rsidRPr="0091450A">
        <w:rPr>
          <w:rFonts w:cs="Calibri"/>
        </w:rPr>
        <w:t>ritising 7 for immediate action</w:t>
      </w:r>
      <w:r w:rsidR="001A6B2A" w:rsidRPr="0091450A">
        <w:rPr>
          <w:rFonts w:cs="Calibri"/>
        </w:rPr>
        <w:t xml:space="preserve"> in 2014</w:t>
      </w:r>
      <w:r w:rsidR="00081731" w:rsidRPr="0091450A">
        <w:rPr>
          <w:rFonts w:cs="Calibri"/>
        </w:rPr>
        <w:t>. In 2017, 53 actions were proposed with nine prioritised</w:t>
      </w:r>
      <w:r w:rsidR="001A6B2A" w:rsidRPr="0091450A">
        <w:rPr>
          <w:rFonts w:cs="Calibri"/>
        </w:rPr>
        <w:t xml:space="preserve"> </w:t>
      </w:r>
      <w:r w:rsidR="00E96C84" w:rsidRPr="0091450A">
        <w:rPr>
          <w:rFonts w:cs="Calibri"/>
        </w:rPr>
        <w:t>as shown below</w:t>
      </w:r>
      <w:r w:rsidR="002B70FB" w:rsidRPr="0091450A">
        <w:rPr>
          <w:rFonts w:cs="Calibri"/>
        </w:rPr>
        <w:t>:</w:t>
      </w:r>
    </w:p>
    <w:p w14:paraId="0C94B761" w14:textId="09CE6825" w:rsidR="007D12E6" w:rsidRPr="0091450A" w:rsidRDefault="007D12E6" w:rsidP="002D613F">
      <w:pPr>
        <w:spacing w:after="0" w:line="240" w:lineRule="auto"/>
        <w:rPr>
          <w:lang w:eastAsia="en-NZ"/>
        </w:rPr>
      </w:pPr>
    </w:p>
    <w:tbl>
      <w:tblPr>
        <w:tblStyle w:val="GridTable1Light-Accent5"/>
        <w:tblW w:w="5000" w:type="pct"/>
        <w:tblLook w:val="04A0" w:firstRow="1" w:lastRow="0" w:firstColumn="1" w:lastColumn="0" w:noHBand="0" w:noVBand="1"/>
      </w:tblPr>
      <w:tblGrid>
        <w:gridCol w:w="4269"/>
        <w:gridCol w:w="4747"/>
      </w:tblGrid>
      <w:tr w:rsidR="00BA261F" w:rsidRPr="0091450A" w14:paraId="4C361992" w14:textId="77777777" w:rsidTr="0038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31849B" w:themeFill="accent5" w:themeFillShade="BF"/>
          </w:tcPr>
          <w:p w14:paraId="028085DA" w14:textId="66BCC5BE" w:rsidR="00BA261F" w:rsidRPr="0091450A" w:rsidRDefault="00BA261F" w:rsidP="002D613F">
            <w:pPr>
              <w:pStyle w:val="Heading3"/>
              <w:spacing w:before="0" w:after="240"/>
              <w:jc w:val="center"/>
              <w:outlineLvl w:val="2"/>
              <w:rPr>
                <w:color w:val="FFFFFF" w:themeColor="background1"/>
              </w:rPr>
            </w:pPr>
            <w:bookmarkStart w:id="4" w:name="_Toc31623703"/>
            <w:r w:rsidRPr="0091450A">
              <w:rPr>
                <w:color w:val="FFFFFF" w:themeColor="background1"/>
                <w:sz w:val="22"/>
              </w:rPr>
              <w:t>2014</w:t>
            </w:r>
            <w:r w:rsidR="0085431F" w:rsidRPr="0091450A">
              <w:rPr>
                <w:color w:val="FFFFFF" w:themeColor="background1"/>
                <w:sz w:val="22"/>
              </w:rPr>
              <w:t xml:space="preserve"> Priority Recommendations</w:t>
            </w:r>
            <w:bookmarkEnd w:id="4"/>
          </w:p>
        </w:tc>
        <w:tc>
          <w:tcPr>
            <w:tcW w:w="0" w:type="pct"/>
            <w:shd w:val="clear" w:color="auto" w:fill="31849B" w:themeFill="accent5" w:themeFillShade="BF"/>
          </w:tcPr>
          <w:p w14:paraId="179BB9DD" w14:textId="53897B3A" w:rsidR="00BA261F" w:rsidRPr="0091450A" w:rsidRDefault="00BA261F" w:rsidP="002D613F">
            <w:pPr>
              <w:pStyle w:val="Heading3"/>
              <w:spacing w:before="0" w:after="240"/>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rPr>
            </w:pPr>
            <w:bookmarkStart w:id="5" w:name="_Toc31623704"/>
            <w:r w:rsidRPr="0091450A">
              <w:rPr>
                <w:color w:val="FFFFFF" w:themeColor="background1"/>
                <w:sz w:val="22"/>
              </w:rPr>
              <w:t>2017</w:t>
            </w:r>
            <w:r w:rsidR="0085431F" w:rsidRPr="0091450A">
              <w:rPr>
                <w:color w:val="FFFFFF" w:themeColor="background1"/>
                <w:sz w:val="22"/>
              </w:rPr>
              <w:t xml:space="preserve"> Priority Recommendations</w:t>
            </w:r>
            <w:bookmarkEnd w:id="5"/>
          </w:p>
        </w:tc>
      </w:tr>
      <w:tr w:rsidR="000A211C" w:rsidRPr="0091450A" w14:paraId="0867AA50"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4EF07DDA" w14:textId="5DE4FE72" w:rsidR="001A1A24" w:rsidRPr="0091450A" w:rsidRDefault="000A211C" w:rsidP="002D613F">
            <w:pPr>
              <w:pStyle w:val="ListParagraph"/>
              <w:numPr>
                <w:ilvl w:val="0"/>
                <w:numId w:val="116"/>
              </w:numPr>
              <w:rPr>
                <w:b w:val="0"/>
                <w:bCs w:val="0"/>
              </w:rPr>
            </w:pPr>
            <w:r w:rsidRPr="0091450A">
              <w:rPr>
                <w:b w:val="0"/>
                <w:bCs w:val="0"/>
                <w:i/>
              </w:rPr>
              <w:t>Implement a comprehensive national action plan</w:t>
            </w:r>
            <w:r w:rsidRPr="0091450A">
              <w:rPr>
                <w:b w:val="0"/>
                <w:bCs w:val="0"/>
              </w:rPr>
              <w:t xml:space="preserve"> for obesity and NCD prevention.</w:t>
            </w:r>
          </w:p>
        </w:tc>
        <w:tc>
          <w:tcPr>
            <w:tcW w:w="0" w:type="pct"/>
            <w:shd w:val="clear" w:color="auto" w:fill="FFFFFF" w:themeFill="background1"/>
          </w:tcPr>
          <w:p w14:paraId="6F3EA64B" w14:textId="77777777" w:rsidR="001A1A24" w:rsidRPr="0091450A" w:rsidRDefault="000A211C"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Strengthen the Childhood Obesity Plan</w:t>
            </w:r>
            <w:r w:rsidRPr="0091450A">
              <w:t xml:space="preserve"> including policy objectives and targets to reduce obesity prevalence and inequalities, and more and stronger policies to create healthy children’s food </w:t>
            </w:r>
            <w:r w:rsidR="00067CDC" w:rsidRPr="0091450A">
              <w:t>environments and</w:t>
            </w:r>
            <w:r w:rsidRPr="0091450A">
              <w:t xml:space="preserve"> increasing funding for the implementation and evaluation of the plan.</w:t>
            </w:r>
          </w:p>
          <w:p w14:paraId="7B18FB25" w14:textId="532C8D89" w:rsidR="00383E19" w:rsidRPr="0091450A" w:rsidRDefault="00383E19" w:rsidP="002D613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0A211C" w:rsidRPr="0091450A" w14:paraId="0DDCC675"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52326988" w14:textId="75ADE533" w:rsidR="000A211C" w:rsidRPr="0091450A" w:rsidRDefault="000A211C" w:rsidP="002D613F">
            <w:pPr>
              <w:pStyle w:val="ListParagraph"/>
              <w:numPr>
                <w:ilvl w:val="0"/>
                <w:numId w:val="116"/>
              </w:numPr>
              <w:rPr>
                <w:b w:val="0"/>
                <w:bCs w:val="0"/>
                <w:i/>
              </w:rPr>
            </w:pPr>
            <w:r w:rsidRPr="0091450A">
              <w:rPr>
                <w:b w:val="0"/>
                <w:bCs w:val="0"/>
                <w:i/>
              </w:rPr>
              <w:t>Set priorities in Statements of Intent and set targets for:</w:t>
            </w:r>
          </w:p>
          <w:p w14:paraId="73077320" w14:textId="15346A63" w:rsidR="000A211C" w:rsidRPr="0091450A" w:rsidRDefault="00401359" w:rsidP="002D613F">
            <w:pPr>
              <w:pStyle w:val="ListParagraph"/>
              <w:numPr>
                <w:ilvl w:val="0"/>
                <w:numId w:val="117"/>
              </w:numPr>
              <w:rPr>
                <w:b w:val="0"/>
                <w:bCs w:val="0"/>
              </w:rPr>
            </w:pPr>
            <w:r w:rsidRPr="0091450A">
              <w:rPr>
                <w:b w:val="0"/>
                <w:bCs w:val="0"/>
              </w:rPr>
              <w:t>R</w:t>
            </w:r>
            <w:r w:rsidR="000A211C" w:rsidRPr="0091450A">
              <w:rPr>
                <w:b w:val="0"/>
                <w:bCs w:val="0"/>
              </w:rPr>
              <w:t>educing childhood &amp; adolescent obesity</w:t>
            </w:r>
          </w:p>
          <w:p w14:paraId="7FD881F7" w14:textId="6226A6CB" w:rsidR="000A211C" w:rsidRPr="0091450A" w:rsidRDefault="00401359" w:rsidP="002D613F">
            <w:pPr>
              <w:pStyle w:val="ListParagraph"/>
              <w:numPr>
                <w:ilvl w:val="0"/>
                <w:numId w:val="117"/>
              </w:numPr>
              <w:rPr>
                <w:b w:val="0"/>
                <w:bCs w:val="0"/>
              </w:rPr>
            </w:pPr>
            <w:r w:rsidRPr="0091450A">
              <w:rPr>
                <w:b w:val="0"/>
                <w:bCs w:val="0"/>
              </w:rPr>
              <w:t>R</w:t>
            </w:r>
            <w:r w:rsidR="000A211C" w:rsidRPr="0091450A">
              <w:rPr>
                <w:b w:val="0"/>
                <w:bCs w:val="0"/>
              </w:rPr>
              <w:t>educing salt, sugar &amp; saturated fat intake</w:t>
            </w:r>
          </w:p>
          <w:p w14:paraId="2FFEDDF0" w14:textId="3CE53E59" w:rsidR="000A211C" w:rsidRPr="0091450A" w:rsidRDefault="0078796B" w:rsidP="002D613F">
            <w:pPr>
              <w:pStyle w:val="ListParagraph"/>
              <w:numPr>
                <w:ilvl w:val="0"/>
                <w:numId w:val="117"/>
              </w:numPr>
              <w:rPr>
                <w:b w:val="0"/>
                <w:bCs w:val="0"/>
              </w:rPr>
            </w:pPr>
            <w:r w:rsidRPr="0091450A">
              <w:rPr>
                <w:b w:val="0"/>
                <w:bCs w:val="0"/>
              </w:rPr>
              <w:t>Food</w:t>
            </w:r>
            <w:r w:rsidR="000A211C" w:rsidRPr="0091450A">
              <w:rPr>
                <w:b w:val="0"/>
                <w:bCs w:val="0"/>
              </w:rPr>
              <w:t xml:space="preserve"> composition (salt &amp; saturated fat) in key food groups.</w:t>
            </w:r>
          </w:p>
          <w:p w14:paraId="6BB91393" w14:textId="77777777" w:rsidR="001A1A24" w:rsidRPr="0091450A" w:rsidRDefault="001A1A24" w:rsidP="002D613F">
            <w:pPr>
              <w:rPr>
                <w:b w:val="0"/>
                <w:bCs w:val="0"/>
              </w:rPr>
            </w:pPr>
          </w:p>
        </w:tc>
        <w:tc>
          <w:tcPr>
            <w:tcW w:w="0" w:type="pct"/>
            <w:shd w:val="clear" w:color="auto" w:fill="FFFFFF" w:themeFill="background1"/>
          </w:tcPr>
          <w:p w14:paraId="2B9D266A" w14:textId="5044D087" w:rsidR="001A1A24" w:rsidRPr="0091450A" w:rsidRDefault="000A211C"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i/>
              </w:rPr>
            </w:pPr>
            <w:r w:rsidRPr="0091450A">
              <w:rPr>
                <w:i/>
              </w:rPr>
              <w:t>Set targets for</w:t>
            </w:r>
            <w:r w:rsidR="001819BD" w:rsidRPr="0091450A">
              <w:rPr>
                <w:i/>
              </w:rPr>
              <w:t>:</w:t>
            </w:r>
          </w:p>
          <w:p w14:paraId="78AA446E" w14:textId="77777777" w:rsidR="000A211C" w:rsidRPr="0091450A" w:rsidRDefault="000A211C" w:rsidP="002D613F">
            <w:pPr>
              <w:pStyle w:val="ListParagraph"/>
              <w:numPr>
                <w:ilvl w:val="0"/>
                <w:numId w:val="120"/>
              </w:numPr>
              <w:cnfStyle w:val="000000000000" w:firstRow="0" w:lastRow="0" w:firstColumn="0" w:lastColumn="0" w:oddVBand="0" w:evenVBand="0" w:oddHBand="0" w:evenHBand="0" w:firstRowFirstColumn="0" w:firstRowLastColumn="0" w:lastRowFirstColumn="0" w:lastRowLastColumn="0"/>
            </w:pPr>
            <w:r w:rsidRPr="0091450A">
              <w:t xml:space="preserve">Reducing childhood overweight and obesity by 8 percentage-points (from one-third to one-quarter) by 2025 with decreasing inequalities </w:t>
            </w:r>
          </w:p>
          <w:p w14:paraId="10E170CD" w14:textId="77777777" w:rsidR="000A211C" w:rsidRPr="0091450A" w:rsidRDefault="000A211C" w:rsidP="002D613F">
            <w:pPr>
              <w:pStyle w:val="ListParagraph"/>
              <w:numPr>
                <w:ilvl w:val="0"/>
                <w:numId w:val="120"/>
              </w:numPr>
              <w:cnfStyle w:val="000000000000" w:firstRow="0" w:lastRow="0" w:firstColumn="0" w:lastColumn="0" w:oddVBand="0" w:evenVBand="0" w:oddHBand="0" w:evenHBand="0" w:firstRowFirstColumn="0" w:firstRowLastColumn="0" w:lastRowFirstColumn="0" w:lastRowLastColumn="0"/>
            </w:pPr>
            <w:r w:rsidRPr="0091450A">
              <w:t>Reducing mean population intakes of salt, sugar and saturated fat based on WHO recommendations</w:t>
            </w:r>
          </w:p>
          <w:p w14:paraId="7F6DA473" w14:textId="77777777" w:rsidR="000A211C" w:rsidRPr="0091450A" w:rsidRDefault="000A211C" w:rsidP="002D613F">
            <w:pPr>
              <w:pStyle w:val="ListParagraph"/>
              <w:numPr>
                <w:ilvl w:val="0"/>
                <w:numId w:val="120"/>
              </w:numPr>
              <w:cnfStyle w:val="000000000000" w:firstRow="0" w:lastRow="0" w:firstColumn="0" w:lastColumn="0" w:oddVBand="0" w:evenVBand="0" w:oddHBand="0" w:evenHBand="0" w:firstRowFirstColumn="0" w:firstRowLastColumn="0" w:lastRowFirstColumn="0" w:lastRowLastColumn="0"/>
            </w:pPr>
            <w:r w:rsidRPr="0091450A">
              <w:t>Voluntary reformulation of composition (salt, sugar and saturated fat) in key food groups</w:t>
            </w:r>
          </w:p>
          <w:p w14:paraId="3630EC0F" w14:textId="517E902B" w:rsidR="00383E19" w:rsidRPr="0091450A" w:rsidRDefault="00383E19" w:rsidP="002D613F">
            <w:pPr>
              <w:pStyle w:val="ListParagraph"/>
              <w:cnfStyle w:val="000000000000" w:firstRow="0" w:lastRow="0" w:firstColumn="0" w:lastColumn="0" w:oddVBand="0" w:evenVBand="0" w:oddHBand="0" w:evenHBand="0" w:firstRowFirstColumn="0" w:firstRowLastColumn="0" w:lastRowFirstColumn="0" w:lastRowLastColumn="0"/>
            </w:pPr>
          </w:p>
        </w:tc>
      </w:tr>
      <w:tr w:rsidR="000A211C" w:rsidRPr="0091450A" w14:paraId="7BBD4185"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139FE2BD" w14:textId="42701DF6" w:rsidR="000A211C" w:rsidRPr="0091450A" w:rsidRDefault="000A211C" w:rsidP="002D613F">
            <w:pPr>
              <w:pStyle w:val="ListParagraph"/>
              <w:numPr>
                <w:ilvl w:val="0"/>
                <w:numId w:val="116"/>
              </w:numPr>
              <w:rPr>
                <w:b w:val="0"/>
                <w:bCs w:val="0"/>
              </w:rPr>
            </w:pPr>
            <w:r w:rsidRPr="0091450A">
              <w:rPr>
                <w:b w:val="0"/>
                <w:bCs w:val="0"/>
                <w:i/>
              </w:rPr>
              <w:t xml:space="preserve">Increase funding </w:t>
            </w:r>
            <w:r w:rsidRPr="0091450A">
              <w:rPr>
                <w:b w:val="0"/>
                <w:bCs w:val="0"/>
              </w:rPr>
              <w:t>for population nutrition promotion, doubling it to at least $70m/year.</w:t>
            </w:r>
          </w:p>
          <w:p w14:paraId="74D5F5A2" w14:textId="77777777" w:rsidR="001A1A24" w:rsidRPr="0091450A" w:rsidRDefault="001A1A24" w:rsidP="002D613F">
            <w:pPr>
              <w:rPr>
                <w:b w:val="0"/>
                <w:bCs w:val="0"/>
              </w:rPr>
            </w:pPr>
          </w:p>
        </w:tc>
        <w:tc>
          <w:tcPr>
            <w:tcW w:w="0" w:type="pct"/>
            <w:shd w:val="clear" w:color="auto" w:fill="FFFFFF" w:themeFill="background1"/>
          </w:tcPr>
          <w:p w14:paraId="4F3D3F96" w14:textId="3D679076" w:rsidR="001A1A24" w:rsidRPr="0091450A" w:rsidRDefault="000A211C"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Increase funding</w:t>
            </w:r>
            <w:r w:rsidRPr="0091450A">
              <w:t xml:space="preserve"> for population nutrition promotion to at least 10% of obesity/overweight healthcare costs</w:t>
            </w:r>
          </w:p>
        </w:tc>
      </w:tr>
      <w:tr w:rsidR="000A211C" w:rsidRPr="0091450A" w14:paraId="3B4DE683"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0815A0DF" w14:textId="5F719A7D" w:rsidR="000A211C" w:rsidRPr="0091450A" w:rsidRDefault="000A211C" w:rsidP="002D613F">
            <w:pPr>
              <w:pStyle w:val="ListParagraph"/>
              <w:numPr>
                <w:ilvl w:val="0"/>
                <w:numId w:val="116"/>
              </w:numPr>
              <w:rPr>
                <w:b w:val="0"/>
                <w:bCs w:val="0"/>
                <w:i/>
              </w:rPr>
            </w:pPr>
            <w:r w:rsidRPr="0091450A">
              <w:rPr>
                <w:b w:val="0"/>
                <w:bCs w:val="0"/>
                <w:i/>
              </w:rPr>
              <w:t>Reduce the promotion of unhealthy foods to children and adolescents by:</w:t>
            </w:r>
          </w:p>
          <w:p w14:paraId="40C93353" w14:textId="305E95DE" w:rsidR="000A211C" w:rsidRPr="0091450A" w:rsidRDefault="00401359" w:rsidP="002D613F">
            <w:pPr>
              <w:pStyle w:val="ListParagraph"/>
              <w:numPr>
                <w:ilvl w:val="0"/>
                <w:numId w:val="118"/>
              </w:numPr>
              <w:rPr>
                <w:b w:val="0"/>
                <w:bCs w:val="0"/>
              </w:rPr>
            </w:pPr>
            <w:r w:rsidRPr="0091450A">
              <w:rPr>
                <w:b w:val="0"/>
                <w:bCs w:val="0"/>
              </w:rPr>
              <w:t>R</w:t>
            </w:r>
            <w:r w:rsidR="000A211C" w:rsidRPr="0091450A">
              <w:rPr>
                <w:b w:val="0"/>
                <w:bCs w:val="0"/>
              </w:rPr>
              <w:t>estricting the marketing of unhealthy foods to children &amp; adolescents through broadcast and non-broadcast media</w:t>
            </w:r>
          </w:p>
          <w:p w14:paraId="01C2C65B" w14:textId="0F4D7F66" w:rsidR="000A211C" w:rsidRPr="0091450A" w:rsidRDefault="0078796B" w:rsidP="002D613F">
            <w:pPr>
              <w:pStyle w:val="ListParagraph"/>
              <w:numPr>
                <w:ilvl w:val="0"/>
                <w:numId w:val="118"/>
              </w:numPr>
              <w:rPr>
                <w:b w:val="0"/>
                <w:bCs w:val="0"/>
              </w:rPr>
            </w:pPr>
            <w:r w:rsidRPr="0091450A">
              <w:rPr>
                <w:b w:val="0"/>
                <w:bCs w:val="0"/>
              </w:rPr>
              <w:t>Ensuring</w:t>
            </w:r>
            <w:r w:rsidR="000A211C" w:rsidRPr="0091450A">
              <w:rPr>
                <w:b w:val="0"/>
                <w:bCs w:val="0"/>
              </w:rPr>
              <w:t xml:space="preserve"> that schools and ECE </w:t>
            </w:r>
            <w:r w:rsidRPr="0091450A">
              <w:rPr>
                <w:b w:val="0"/>
                <w:bCs w:val="0"/>
              </w:rPr>
              <w:t>services are</w:t>
            </w:r>
            <w:r w:rsidR="000A211C" w:rsidRPr="0091450A">
              <w:rPr>
                <w:b w:val="0"/>
                <w:bCs w:val="0"/>
              </w:rPr>
              <w:t xml:space="preserve"> free of commercial promotion of unhealthy foods.</w:t>
            </w:r>
          </w:p>
          <w:p w14:paraId="0BFD79E2" w14:textId="77777777" w:rsidR="001A1A24" w:rsidRPr="0091450A" w:rsidRDefault="001A1A24" w:rsidP="002D613F">
            <w:pPr>
              <w:rPr>
                <w:b w:val="0"/>
                <w:bCs w:val="0"/>
              </w:rPr>
            </w:pPr>
          </w:p>
        </w:tc>
        <w:tc>
          <w:tcPr>
            <w:tcW w:w="0" w:type="pct"/>
            <w:shd w:val="clear" w:color="auto" w:fill="FFFFFF" w:themeFill="background1"/>
          </w:tcPr>
          <w:p w14:paraId="66E11359" w14:textId="77777777" w:rsidR="001A1A24" w:rsidRPr="0091450A" w:rsidRDefault="000A211C"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i/>
              </w:rPr>
            </w:pPr>
            <w:r w:rsidRPr="0091450A">
              <w:rPr>
                <w:i/>
              </w:rPr>
              <w:t>Regulate unhealthy food marketing, as defined by the WHO nutrient profiling model, to children up to 18 years</w:t>
            </w:r>
          </w:p>
          <w:p w14:paraId="48138CCC" w14:textId="48091280" w:rsidR="000A211C" w:rsidRPr="0091450A" w:rsidRDefault="000A211C" w:rsidP="002D613F">
            <w:pPr>
              <w:pStyle w:val="ListParagraph"/>
              <w:numPr>
                <w:ilvl w:val="0"/>
                <w:numId w:val="121"/>
              </w:numPr>
              <w:cnfStyle w:val="000000000000" w:firstRow="0" w:lastRow="0" w:firstColumn="0" w:lastColumn="0" w:oddVBand="0" w:evenVBand="0" w:oddHBand="0" w:evenHBand="0" w:firstRowFirstColumn="0" w:firstRowLastColumn="0" w:lastRowFirstColumn="0" w:lastRowLastColumn="0"/>
            </w:pPr>
            <w:r w:rsidRPr="0091450A">
              <w:t xml:space="preserve">In broadcast media, including during </w:t>
            </w:r>
            <w:r w:rsidR="00205B45" w:rsidRPr="0091450A">
              <w:t>children’s peak viewing times (e.g. up to 9</w:t>
            </w:r>
            <w:r w:rsidR="00167C7E">
              <w:t xml:space="preserve"> </w:t>
            </w:r>
            <w:r w:rsidR="00205B45" w:rsidRPr="0091450A">
              <w:t>pm)</w:t>
            </w:r>
          </w:p>
          <w:p w14:paraId="69D0C981" w14:textId="34110761" w:rsidR="00205B45" w:rsidRPr="0091450A" w:rsidRDefault="00205B45" w:rsidP="002D613F">
            <w:pPr>
              <w:pStyle w:val="ListParagraph"/>
              <w:numPr>
                <w:ilvl w:val="0"/>
                <w:numId w:val="121"/>
              </w:numPr>
              <w:cnfStyle w:val="000000000000" w:firstRow="0" w:lastRow="0" w:firstColumn="0" w:lastColumn="0" w:oddVBand="0" w:evenVBand="0" w:oddHBand="0" w:evenHBand="0" w:firstRowFirstColumn="0" w:firstRowLastColumn="0" w:lastRowFirstColumn="0" w:lastRowLastColumn="0"/>
            </w:pPr>
            <w:r w:rsidRPr="0091450A">
              <w:t>In non-broadcast media, including food packaging, sport</w:t>
            </w:r>
            <w:r w:rsidR="000E34C2" w:rsidRPr="0091450A">
              <w:t>s</w:t>
            </w:r>
            <w:r w:rsidRPr="0091450A">
              <w:t xml:space="preserve"> sponsorship and social media</w:t>
            </w:r>
          </w:p>
          <w:p w14:paraId="4AB55D8D" w14:textId="77777777" w:rsidR="00205B45" w:rsidRPr="0091450A" w:rsidRDefault="00205B45" w:rsidP="002D613F">
            <w:pPr>
              <w:pStyle w:val="ListParagraph"/>
              <w:numPr>
                <w:ilvl w:val="0"/>
                <w:numId w:val="121"/>
              </w:numPr>
              <w:cnfStyle w:val="000000000000" w:firstRow="0" w:lastRow="0" w:firstColumn="0" w:lastColumn="0" w:oddVBand="0" w:evenVBand="0" w:oddHBand="0" w:evenHBand="0" w:firstRowFirstColumn="0" w:firstRowLastColumn="0" w:lastRowFirstColumn="0" w:lastRowLastColumn="0"/>
            </w:pPr>
            <w:r w:rsidRPr="0091450A">
              <w:lastRenderedPageBreak/>
              <w:t>In children’s settings, including ‘school food zones’</w:t>
            </w:r>
          </w:p>
          <w:p w14:paraId="16399D22" w14:textId="2C4AC005" w:rsidR="00383E19" w:rsidRPr="0091450A" w:rsidRDefault="00383E19" w:rsidP="002D613F">
            <w:pPr>
              <w:pStyle w:val="ListParagraph"/>
              <w:ind w:left="1080"/>
              <w:cnfStyle w:val="000000000000" w:firstRow="0" w:lastRow="0" w:firstColumn="0" w:lastColumn="0" w:oddVBand="0" w:evenVBand="0" w:oddHBand="0" w:evenHBand="0" w:firstRowFirstColumn="0" w:firstRowLastColumn="0" w:lastRowFirstColumn="0" w:lastRowLastColumn="0"/>
            </w:pPr>
          </w:p>
        </w:tc>
      </w:tr>
      <w:tr w:rsidR="000A211C" w:rsidRPr="0091450A" w14:paraId="320DF398"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52A87E7E" w14:textId="4CEB83BD" w:rsidR="000A211C" w:rsidRPr="0091450A" w:rsidRDefault="000A211C" w:rsidP="002D613F">
            <w:pPr>
              <w:pStyle w:val="ListParagraph"/>
              <w:numPr>
                <w:ilvl w:val="0"/>
                <w:numId w:val="116"/>
              </w:numPr>
              <w:rPr>
                <w:b w:val="0"/>
                <w:bCs w:val="0"/>
              </w:rPr>
            </w:pPr>
            <w:r w:rsidRPr="0091450A">
              <w:rPr>
                <w:b w:val="0"/>
                <w:bCs w:val="0"/>
                <w:i/>
              </w:rPr>
              <w:lastRenderedPageBreak/>
              <w:t>Ensure that food provided in or sold by schools and ECE services</w:t>
            </w:r>
            <w:r w:rsidRPr="0091450A">
              <w:rPr>
                <w:b w:val="0"/>
                <w:bCs w:val="0"/>
              </w:rPr>
              <w:t xml:space="preserve"> meets dietary guidelines.</w:t>
            </w:r>
          </w:p>
          <w:p w14:paraId="3690FC2B" w14:textId="77777777" w:rsidR="001A1A24" w:rsidRPr="0091450A" w:rsidRDefault="001A1A24" w:rsidP="002D613F">
            <w:pPr>
              <w:rPr>
                <w:b w:val="0"/>
                <w:bCs w:val="0"/>
              </w:rPr>
            </w:pPr>
          </w:p>
        </w:tc>
        <w:tc>
          <w:tcPr>
            <w:tcW w:w="0" w:type="pct"/>
            <w:shd w:val="clear" w:color="auto" w:fill="FFFFFF" w:themeFill="background1"/>
          </w:tcPr>
          <w:p w14:paraId="7326C985" w14:textId="7C7E88FC" w:rsidR="001A1A24" w:rsidRPr="0091450A" w:rsidRDefault="00205B45"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Ensure healthy foods in schools and early childhood education services</w:t>
            </w:r>
            <w:r w:rsidRPr="0091450A">
              <w:rPr>
                <w:b/>
              </w:rPr>
              <w:t xml:space="preserve"> </w:t>
            </w:r>
            <w:r w:rsidRPr="0091450A">
              <w:t>using the updated Ministry of Health Food and Beverage Classification System</w:t>
            </w:r>
          </w:p>
        </w:tc>
      </w:tr>
      <w:tr w:rsidR="000A211C" w:rsidRPr="0091450A" w14:paraId="2C9E3567"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65DEB02D" w14:textId="6524A6DC" w:rsidR="000A211C" w:rsidRPr="0091450A" w:rsidRDefault="000A211C" w:rsidP="002D613F">
            <w:pPr>
              <w:pStyle w:val="ListParagraph"/>
              <w:numPr>
                <w:ilvl w:val="0"/>
                <w:numId w:val="116"/>
              </w:numPr>
              <w:rPr>
                <w:b w:val="0"/>
                <w:bCs w:val="0"/>
              </w:rPr>
            </w:pPr>
            <w:r w:rsidRPr="0091450A">
              <w:rPr>
                <w:b w:val="0"/>
                <w:bCs w:val="0"/>
                <w:i/>
              </w:rPr>
              <w:t>Implement the front-of-pack Health Star Rating</w:t>
            </w:r>
            <w:r w:rsidRPr="0091450A">
              <w:rPr>
                <w:b w:val="0"/>
                <w:bCs w:val="0"/>
              </w:rPr>
              <w:t xml:space="preserve"> labelling system. </w:t>
            </w:r>
          </w:p>
          <w:p w14:paraId="5C46E6DC" w14:textId="2B199753" w:rsidR="001A1A24" w:rsidRPr="0091450A" w:rsidRDefault="001A1A24" w:rsidP="002D613F">
            <w:pPr>
              <w:rPr>
                <w:b w:val="0"/>
                <w:bCs w:val="0"/>
              </w:rPr>
            </w:pPr>
          </w:p>
        </w:tc>
        <w:tc>
          <w:tcPr>
            <w:tcW w:w="0" w:type="pct"/>
            <w:shd w:val="clear" w:color="auto" w:fill="FFFFFF" w:themeFill="background1"/>
          </w:tcPr>
          <w:p w14:paraId="6ABB866C" w14:textId="77777777" w:rsidR="001A1A24" w:rsidRPr="0091450A" w:rsidRDefault="00383E19"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Strengthen the health star rating system</w:t>
            </w:r>
            <w:r w:rsidRPr="0091450A">
              <w:t xml:space="preserve"> by urgently addressing anomalies in the design algorithm (especially for sugar), increasing funding for promotion and making it mandatory if there is not widespread uptake by 2019.</w:t>
            </w:r>
          </w:p>
          <w:p w14:paraId="27135B31" w14:textId="740E7C17" w:rsidR="00383E19" w:rsidRPr="0091450A" w:rsidRDefault="00383E19" w:rsidP="002D613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0A211C" w:rsidRPr="0091450A" w14:paraId="6039A063"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3EE29D24" w14:textId="6F2B753D" w:rsidR="000A211C" w:rsidRPr="0091450A" w:rsidRDefault="000A211C" w:rsidP="002D613F">
            <w:pPr>
              <w:pStyle w:val="ListParagraph"/>
              <w:numPr>
                <w:ilvl w:val="0"/>
                <w:numId w:val="116"/>
              </w:numPr>
              <w:rPr>
                <w:b w:val="0"/>
                <w:bCs w:val="0"/>
              </w:rPr>
            </w:pPr>
            <w:r w:rsidRPr="0091450A">
              <w:rPr>
                <w:b w:val="0"/>
                <w:bCs w:val="0"/>
                <w:i/>
              </w:rPr>
              <w:t xml:space="preserve">Introduce an excise tax </w:t>
            </w:r>
            <w:r w:rsidRPr="0091450A">
              <w:rPr>
                <w:b w:val="0"/>
                <w:bCs w:val="0"/>
              </w:rPr>
              <w:t>of at least 20% on sugar-sweetened beverages.</w:t>
            </w:r>
          </w:p>
          <w:p w14:paraId="4C7378A6" w14:textId="77777777" w:rsidR="001A1A24" w:rsidRPr="0091450A" w:rsidRDefault="001A1A24" w:rsidP="002D613F">
            <w:pPr>
              <w:rPr>
                <w:b w:val="0"/>
                <w:bCs w:val="0"/>
              </w:rPr>
            </w:pPr>
          </w:p>
        </w:tc>
        <w:tc>
          <w:tcPr>
            <w:tcW w:w="0" w:type="pct"/>
            <w:shd w:val="clear" w:color="auto" w:fill="FFFFFF" w:themeFill="background1"/>
          </w:tcPr>
          <w:p w14:paraId="44E051AF" w14:textId="77777777" w:rsidR="001A1A24" w:rsidRPr="0091450A" w:rsidRDefault="00383E19"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Introduce a substantial (e.g. 20%) tax on sugar-sweetened beverages</w:t>
            </w:r>
            <w:r w:rsidRPr="0091450A">
              <w:t xml:space="preserve"> and explore using the revenue for programs to improve public health and wellbeing.</w:t>
            </w:r>
          </w:p>
          <w:p w14:paraId="04E8560B" w14:textId="020CECAD" w:rsidR="00383E19" w:rsidRPr="0091450A" w:rsidRDefault="00383E19" w:rsidP="002D613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0A211C" w:rsidRPr="0091450A" w14:paraId="42D80118"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1DCADF3E" w14:textId="77777777" w:rsidR="001A1A24" w:rsidRPr="0091450A" w:rsidRDefault="001A1A24" w:rsidP="002D613F">
            <w:pPr>
              <w:rPr>
                <w:b w:val="0"/>
                <w:bCs w:val="0"/>
              </w:rPr>
            </w:pPr>
          </w:p>
        </w:tc>
        <w:tc>
          <w:tcPr>
            <w:tcW w:w="0" w:type="pct"/>
            <w:shd w:val="clear" w:color="auto" w:fill="FFFFFF" w:themeFill="background1"/>
          </w:tcPr>
          <w:p w14:paraId="6404AB92" w14:textId="77777777" w:rsidR="001A1A24" w:rsidRPr="0091450A" w:rsidRDefault="00BA5ADE"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 xml:space="preserve">Implement </w:t>
            </w:r>
            <w:r w:rsidR="006663CF" w:rsidRPr="0091450A">
              <w:rPr>
                <w:i/>
              </w:rPr>
              <w:t>the new Eating and Activity guidelines</w:t>
            </w:r>
            <w:r w:rsidR="006663CF" w:rsidRPr="0091450A">
              <w:t xml:space="preserve"> by increasing funding for their promotion and translating them for New Zealand</w:t>
            </w:r>
            <w:r w:rsidR="00825B4A" w:rsidRPr="0091450A">
              <w:t>’</w:t>
            </w:r>
            <w:r w:rsidR="006663CF" w:rsidRPr="0091450A">
              <w:t>s social, environmental and cultural contexts.</w:t>
            </w:r>
          </w:p>
          <w:p w14:paraId="0AE308DF" w14:textId="6CAA8030" w:rsidR="00383E19" w:rsidRPr="0091450A" w:rsidRDefault="00383E19" w:rsidP="002D613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0A211C" w:rsidRPr="0091450A" w14:paraId="31077585" w14:textId="77777777" w:rsidTr="00383E19">
        <w:tc>
          <w:tcPr>
            <w:cnfStyle w:val="001000000000" w:firstRow="0" w:lastRow="0" w:firstColumn="1" w:lastColumn="0" w:oddVBand="0" w:evenVBand="0" w:oddHBand="0" w:evenHBand="0" w:firstRowFirstColumn="0" w:firstRowLastColumn="0" w:lastRowFirstColumn="0" w:lastRowLastColumn="0"/>
            <w:tcW w:w="0" w:type="pct"/>
            <w:shd w:val="clear" w:color="auto" w:fill="DAEEF3" w:themeFill="accent5" w:themeFillTint="33"/>
          </w:tcPr>
          <w:p w14:paraId="73AEC464" w14:textId="77777777" w:rsidR="001A1A24" w:rsidRPr="0091450A" w:rsidRDefault="001A1A24" w:rsidP="002D613F"/>
        </w:tc>
        <w:tc>
          <w:tcPr>
            <w:tcW w:w="0" w:type="pct"/>
            <w:shd w:val="clear" w:color="auto" w:fill="FFFFFF" w:themeFill="background1"/>
          </w:tcPr>
          <w:p w14:paraId="2DC4593D" w14:textId="77777777" w:rsidR="001A1A24" w:rsidRPr="0091450A" w:rsidRDefault="00BA261F" w:rsidP="002D613F">
            <w:pPr>
              <w:pStyle w:val="ListParagraph"/>
              <w:numPr>
                <w:ilvl w:val="0"/>
                <w:numId w:val="119"/>
              </w:numPr>
              <w:cnfStyle w:val="000000000000" w:firstRow="0" w:lastRow="0" w:firstColumn="0" w:lastColumn="0" w:oddVBand="0" w:evenVBand="0" w:oddHBand="0" w:evenHBand="0" w:firstRowFirstColumn="0" w:firstRowLastColumn="0" w:lastRowFirstColumn="0" w:lastRowLastColumn="0"/>
            </w:pPr>
            <w:r w:rsidRPr="0091450A">
              <w:rPr>
                <w:i/>
              </w:rPr>
              <w:t>Conduct a new national nutrition survey for children</w:t>
            </w:r>
            <w:r w:rsidRPr="0091450A">
              <w:t xml:space="preserve"> within 3 years and institute a plan for future regular adult and children nutrition surveys</w:t>
            </w:r>
          </w:p>
          <w:p w14:paraId="12B125E5" w14:textId="2236DCE1" w:rsidR="00383E19" w:rsidRPr="0091450A" w:rsidRDefault="00383E19" w:rsidP="002D613F">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3ED03F44" w14:textId="77777777" w:rsidR="001A1A24" w:rsidRPr="0091450A" w:rsidRDefault="001A1A24" w:rsidP="002D613F">
      <w:pPr>
        <w:spacing w:before="40" w:after="40" w:line="240" w:lineRule="auto"/>
        <w:ind w:left="363"/>
        <w:jc w:val="both"/>
        <w:rPr>
          <w:lang w:eastAsia="en-NZ"/>
        </w:rPr>
      </w:pPr>
    </w:p>
    <w:p w14:paraId="1CCBA66E" w14:textId="77777777" w:rsidR="00954746" w:rsidRPr="0091450A" w:rsidRDefault="00954746" w:rsidP="002D613F">
      <w:pPr>
        <w:spacing w:line="240" w:lineRule="auto"/>
        <w:rPr>
          <w:rFonts w:cs="Times New Roman"/>
          <w:color w:val="244061" w:themeColor="accent1" w:themeShade="80"/>
          <w:sz w:val="32"/>
          <w:szCs w:val="32"/>
        </w:rPr>
      </w:pPr>
    </w:p>
    <w:p w14:paraId="320D9EC2" w14:textId="77777777" w:rsidR="00B20C63" w:rsidRPr="0091450A" w:rsidRDefault="00B20C63" w:rsidP="002D613F">
      <w:pPr>
        <w:spacing w:line="240" w:lineRule="auto"/>
        <w:rPr>
          <w:rFonts w:cs="Times New Roman"/>
          <w:color w:val="244061" w:themeColor="accent1" w:themeShade="80"/>
          <w:sz w:val="32"/>
          <w:szCs w:val="32"/>
        </w:rPr>
      </w:pPr>
      <w:r w:rsidRPr="0091450A">
        <w:rPr>
          <w:rFonts w:cs="Times New Roman"/>
          <w:color w:val="244061" w:themeColor="accent1" w:themeShade="80"/>
          <w:sz w:val="32"/>
          <w:szCs w:val="32"/>
        </w:rPr>
        <w:br w:type="page"/>
      </w:r>
    </w:p>
    <w:p w14:paraId="4F9040DB" w14:textId="3EDA7F9D" w:rsidR="00B20C63" w:rsidRPr="0091450A" w:rsidRDefault="00B20C63" w:rsidP="002D613F">
      <w:pPr>
        <w:pStyle w:val="Heading1"/>
        <w:spacing w:line="240" w:lineRule="auto"/>
      </w:pPr>
      <w:bookmarkStart w:id="6" w:name="_Toc31623705"/>
      <w:r w:rsidRPr="0091450A">
        <w:lastRenderedPageBreak/>
        <w:t xml:space="preserve">Instructions for </w:t>
      </w:r>
      <w:r w:rsidR="00AA78A8">
        <w:t>R</w:t>
      </w:r>
      <w:r w:rsidRPr="0091450A">
        <w:t>ating</w:t>
      </w:r>
      <w:bookmarkEnd w:id="6"/>
    </w:p>
    <w:p w14:paraId="4ED560D2" w14:textId="19983DA5" w:rsidR="004772D4" w:rsidRPr="0091450A" w:rsidRDefault="004772D4" w:rsidP="002D613F">
      <w:pPr>
        <w:spacing w:after="0" w:line="240" w:lineRule="auto"/>
        <w:jc w:val="both"/>
      </w:pPr>
      <w:r w:rsidRPr="0091450A">
        <w:t>You are invited to participate in the 20</w:t>
      </w:r>
      <w:r w:rsidR="00A12D84" w:rsidRPr="0091450A">
        <w:t>20</w:t>
      </w:r>
      <w:r w:rsidRPr="0091450A">
        <w:t xml:space="preserve"> Food-EPI</w:t>
      </w:r>
      <w:r w:rsidR="000729CA" w:rsidRPr="0091450A">
        <w:t xml:space="preserve"> expert panel</w:t>
      </w:r>
      <w:r w:rsidRPr="0091450A">
        <w:t xml:space="preserve">.  </w:t>
      </w:r>
      <w:r w:rsidR="002B72EE" w:rsidRPr="0091450A">
        <w:t>This will involve rating</w:t>
      </w:r>
      <w:r w:rsidRPr="0091450A">
        <w:t xml:space="preserve"> the </w:t>
      </w:r>
      <w:r w:rsidRPr="0091450A">
        <w:rPr>
          <w:b/>
          <w:u w:val="single"/>
        </w:rPr>
        <w:t>current</w:t>
      </w:r>
      <w:r w:rsidRPr="0091450A">
        <w:t xml:space="preserve"> level of implementation of each of the 47 good practice indicators by the New Zealand Government</w:t>
      </w:r>
      <w:r w:rsidR="000729CA" w:rsidRPr="0091450A">
        <w:t>,</w:t>
      </w:r>
      <w:r w:rsidRPr="0091450A">
        <w:t xml:space="preserve"> </w:t>
      </w:r>
      <w:r w:rsidRPr="0091450A">
        <w:rPr>
          <w:b/>
          <w:u w:val="single"/>
        </w:rPr>
        <w:t>against international best practice</w:t>
      </w:r>
      <w:r w:rsidR="000729CA" w:rsidRPr="0091450A">
        <w:rPr>
          <w:b/>
          <w:u w:val="single"/>
        </w:rPr>
        <w:t>,</w:t>
      </w:r>
      <w:r w:rsidRPr="0091450A">
        <w:t xml:space="preserve"> on a Likert scale from 1 to 5 using an online questionnaire. </w:t>
      </w:r>
    </w:p>
    <w:p w14:paraId="6AF04A7A" w14:textId="0ACB7539" w:rsidR="004772D4" w:rsidRPr="0091450A" w:rsidRDefault="004772D4" w:rsidP="002D613F">
      <w:pPr>
        <w:spacing w:after="0" w:line="240" w:lineRule="auto"/>
        <w:jc w:val="both"/>
      </w:pPr>
      <w:r w:rsidRPr="0091450A">
        <w:t>The meaning of the Likert scale is:</w:t>
      </w:r>
    </w:p>
    <w:p w14:paraId="1F6623A2" w14:textId="566E1AD0" w:rsidR="004772D4" w:rsidRPr="0091450A" w:rsidRDefault="007643B7" w:rsidP="002D613F">
      <w:pPr>
        <w:spacing w:after="0" w:line="240" w:lineRule="auto"/>
        <w:ind w:left="284"/>
        <w:jc w:val="both"/>
        <w:rPr>
          <w:bCs/>
          <w:i/>
        </w:rPr>
      </w:pPr>
      <w:r w:rsidRPr="0091450A">
        <w:rPr>
          <w:b/>
          <w:bCs/>
        </w:rPr>
        <w:t>1:</w:t>
      </w:r>
      <w:r w:rsidR="00E74782" w:rsidRPr="0091450A">
        <w:rPr>
          <w:b/>
          <w:bCs/>
        </w:rPr>
        <w:t xml:space="preserve">   </w:t>
      </w:r>
      <w:r w:rsidR="004772D4" w:rsidRPr="0091450A">
        <w:rPr>
          <w:bCs/>
          <w:i/>
        </w:rPr>
        <w:t>&lt;20% implemented compared to international best practice</w:t>
      </w:r>
    </w:p>
    <w:p w14:paraId="2C71B453" w14:textId="3B0849A2" w:rsidR="004772D4" w:rsidRPr="0091450A" w:rsidRDefault="00E74782" w:rsidP="002D613F">
      <w:pPr>
        <w:spacing w:after="0" w:line="240" w:lineRule="auto"/>
        <w:ind w:left="284"/>
        <w:jc w:val="both"/>
        <w:rPr>
          <w:bCs/>
          <w:i/>
        </w:rPr>
      </w:pPr>
      <w:r w:rsidRPr="0091450A">
        <w:rPr>
          <w:b/>
          <w:bCs/>
        </w:rPr>
        <w:t xml:space="preserve">2:   </w:t>
      </w:r>
      <w:r w:rsidR="004772D4" w:rsidRPr="0091450A">
        <w:rPr>
          <w:bCs/>
          <w:i/>
        </w:rPr>
        <w:t>20-40% implemented compared to international best practice</w:t>
      </w:r>
    </w:p>
    <w:p w14:paraId="211FB004" w14:textId="74FDC30D" w:rsidR="004772D4" w:rsidRPr="0091450A" w:rsidRDefault="004772D4" w:rsidP="002D613F">
      <w:pPr>
        <w:spacing w:after="0" w:line="240" w:lineRule="auto"/>
        <w:ind w:left="284"/>
        <w:jc w:val="both"/>
        <w:rPr>
          <w:bCs/>
          <w:i/>
        </w:rPr>
      </w:pPr>
      <w:r w:rsidRPr="0091450A">
        <w:rPr>
          <w:b/>
          <w:bCs/>
        </w:rPr>
        <w:t>3:</w:t>
      </w:r>
      <w:r w:rsidR="00E74782" w:rsidRPr="0091450A">
        <w:rPr>
          <w:b/>
          <w:bCs/>
        </w:rPr>
        <w:t xml:space="preserve">   </w:t>
      </w:r>
      <w:r w:rsidRPr="0091450A">
        <w:rPr>
          <w:bCs/>
          <w:i/>
        </w:rPr>
        <w:t>40-60% implemented</w:t>
      </w:r>
      <w:r w:rsidRPr="0091450A">
        <w:t xml:space="preserve"> </w:t>
      </w:r>
      <w:r w:rsidRPr="0091450A">
        <w:rPr>
          <w:bCs/>
          <w:i/>
        </w:rPr>
        <w:t>compared to international best practice</w:t>
      </w:r>
    </w:p>
    <w:p w14:paraId="57B05774" w14:textId="4630AD27" w:rsidR="004772D4" w:rsidRPr="0091450A" w:rsidRDefault="004772D4" w:rsidP="002D613F">
      <w:pPr>
        <w:spacing w:after="0" w:line="240" w:lineRule="auto"/>
        <w:ind w:left="284"/>
        <w:jc w:val="both"/>
        <w:rPr>
          <w:bCs/>
          <w:i/>
        </w:rPr>
      </w:pPr>
      <w:r w:rsidRPr="0091450A">
        <w:rPr>
          <w:b/>
          <w:bCs/>
        </w:rPr>
        <w:t>4:</w:t>
      </w:r>
      <w:r w:rsidR="00E74782" w:rsidRPr="0091450A">
        <w:rPr>
          <w:b/>
          <w:bCs/>
        </w:rPr>
        <w:t xml:space="preserve">   </w:t>
      </w:r>
      <w:r w:rsidRPr="0091450A">
        <w:rPr>
          <w:bCs/>
          <w:i/>
        </w:rPr>
        <w:t>60-80% implemented compared to international best practice</w:t>
      </w:r>
    </w:p>
    <w:p w14:paraId="2317DA5A" w14:textId="546F8C81" w:rsidR="004772D4" w:rsidRPr="0091450A" w:rsidRDefault="004772D4" w:rsidP="002D613F">
      <w:pPr>
        <w:spacing w:after="0" w:line="240" w:lineRule="auto"/>
        <w:ind w:left="284"/>
        <w:jc w:val="both"/>
        <w:rPr>
          <w:bCs/>
          <w:i/>
        </w:rPr>
      </w:pPr>
      <w:r w:rsidRPr="0091450A">
        <w:rPr>
          <w:b/>
          <w:bCs/>
        </w:rPr>
        <w:t>5:</w:t>
      </w:r>
      <w:r w:rsidR="00E74782" w:rsidRPr="0091450A">
        <w:rPr>
          <w:b/>
          <w:bCs/>
        </w:rPr>
        <w:t xml:space="preserve">   </w:t>
      </w:r>
      <w:r w:rsidRPr="0091450A">
        <w:rPr>
          <w:bCs/>
          <w:i/>
        </w:rPr>
        <w:t>80-100% implemented compared to international best practice</w:t>
      </w:r>
    </w:p>
    <w:p w14:paraId="65208709" w14:textId="201A201B" w:rsidR="004772D4" w:rsidRPr="0091450A" w:rsidRDefault="004772D4" w:rsidP="002D613F">
      <w:pPr>
        <w:spacing w:after="0" w:line="240" w:lineRule="auto"/>
        <w:jc w:val="both"/>
        <w:rPr>
          <w:bCs/>
        </w:rPr>
      </w:pPr>
      <w:r w:rsidRPr="0091450A">
        <w:rPr>
          <w:bCs/>
        </w:rPr>
        <w:t>There is also a</w:t>
      </w:r>
      <w:r w:rsidR="000729CA" w:rsidRPr="0091450A">
        <w:rPr>
          <w:bCs/>
        </w:rPr>
        <w:t xml:space="preserve"> </w:t>
      </w:r>
      <w:r w:rsidR="00F13595" w:rsidRPr="0091450A">
        <w:rPr>
          <w:bCs/>
        </w:rPr>
        <w:t>‘</w:t>
      </w:r>
      <w:r w:rsidR="000729CA" w:rsidRPr="0091450A">
        <w:rPr>
          <w:bCs/>
        </w:rPr>
        <w:t>cannot rate</w:t>
      </w:r>
      <w:r w:rsidR="00F13595" w:rsidRPr="0091450A">
        <w:rPr>
          <w:bCs/>
        </w:rPr>
        <w:t>’</w:t>
      </w:r>
      <w:r w:rsidR="000729CA" w:rsidRPr="0091450A">
        <w:rPr>
          <w:bCs/>
        </w:rPr>
        <w:t xml:space="preserve"> </w:t>
      </w:r>
      <w:r w:rsidRPr="0091450A">
        <w:rPr>
          <w:bCs/>
        </w:rPr>
        <w:t>option</w:t>
      </w:r>
      <w:r w:rsidR="000729CA" w:rsidRPr="0091450A">
        <w:rPr>
          <w:bCs/>
        </w:rPr>
        <w:t>,</w:t>
      </w:r>
      <w:r w:rsidRPr="0091450A">
        <w:rPr>
          <w:bCs/>
        </w:rPr>
        <w:t xml:space="preserve"> </w:t>
      </w:r>
      <w:r w:rsidR="00B9582B">
        <w:rPr>
          <w:bCs/>
        </w:rPr>
        <w:t>so use if don’t feel informed to rate</w:t>
      </w:r>
      <w:r w:rsidRPr="0091450A">
        <w:rPr>
          <w:bCs/>
        </w:rPr>
        <w:t>.</w:t>
      </w:r>
    </w:p>
    <w:p w14:paraId="6404A0FC" w14:textId="77777777" w:rsidR="00600419" w:rsidRPr="0091450A" w:rsidRDefault="00600419" w:rsidP="002D613F">
      <w:pPr>
        <w:spacing w:after="0" w:line="240" w:lineRule="auto"/>
        <w:jc w:val="both"/>
        <w:rPr>
          <w:bCs/>
        </w:rPr>
      </w:pPr>
    </w:p>
    <w:p w14:paraId="2BE94408" w14:textId="3744E864" w:rsidR="004772D4" w:rsidRPr="0091450A" w:rsidRDefault="004772D4" w:rsidP="002D613F">
      <w:pPr>
        <w:spacing w:after="0" w:line="240" w:lineRule="auto"/>
        <w:jc w:val="both"/>
        <w:rPr>
          <w:bCs/>
        </w:rPr>
      </w:pPr>
      <w:r w:rsidRPr="0091450A">
        <w:rPr>
          <w:bCs/>
        </w:rPr>
        <w:t xml:space="preserve">The </w:t>
      </w:r>
      <w:r w:rsidRPr="0091450A">
        <w:rPr>
          <w:b/>
          <w:bCs/>
        </w:rPr>
        <w:t>rating</w:t>
      </w:r>
      <w:r w:rsidR="00A050C1" w:rsidRPr="0091450A">
        <w:rPr>
          <w:b/>
          <w:bCs/>
        </w:rPr>
        <w:t>s</w:t>
      </w:r>
      <w:r w:rsidR="00A050C1" w:rsidRPr="0091450A">
        <w:rPr>
          <w:bCs/>
        </w:rPr>
        <w:t xml:space="preserve"> require</w:t>
      </w:r>
      <w:r w:rsidRPr="0091450A">
        <w:rPr>
          <w:bCs/>
        </w:rPr>
        <w:t xml:space="preserve"> expert judgement</w:t>
      </w:r>
      <w:r w:rsidR="000729CA" w:rsidRPr="0091450A">
        <w:rPr>
          <w:bCs/>
        </w:rPr>
        <w:t>,</w:t>
      </w:r>
      <w:r w:rsidRPr="0091450A">
        <w:rPr>
          <w:bCs/>
        </w:rPr>
        <w:t xml:space="preserve"> taking </w:t>
      </w:r>
      <w:r w:rsidRPr="0091450A">
        <w:rPr>
          <w:b/>
          <w:bCs/>
        </w:rPr>
        <w:t>multiple considerations</w:t>
      </w:r>
      <w:r w:rsidRPr="0091450A">
        <w:rPr>
          <w:bCs/>
        </w:rPr>
        <w:t xml:space="preserve"> into account:</w:t>
      </w:r>
    </w:p>
    <w:p w14:paraId="26040567" w14:textId="712C8111" w:rsidR="000729CA" w:rsidRPr="0091450A" w:rsidRDefault="00600419" w:rsidP="002D613F">
      <w:pPr>
        <w:pStyle w:val="ListParagraph"/>
        <w:numPr>
          <w:ilvl w:val="0"/>
          <w:numId w:val="99"/>
        </w:numPr>
        <w:spacing w:after="0" w:line="240" w:lineRule="auto"/>
        <w:ind w:left="284" w:hanging="218"/>
        <w:contextualSpacing w:val="0"/>
        <w:jc w:val="both"/>
        <w:rPr>
          <w:bCs/>
        </w:rPr>
      </w:pPr>
      <w:r w:rsidRPr="0091450A">
        <w:rPr>
          <w:b/>
          <w:bCs/>
        </w:rPr>
        <w:t xml:space="preserve"> </w:t>
      </w:r>
      <w:r w:rsidR="004772D4" w:rsidRPr="0091450A">
        <w:rPr>
          <w:b/>
          <w:bCs/>
        </w:rPr>
        <w:t>Quality</w:t>
      </w:r>
      <w:r w:rsidR="004772D4" w:rsidRPr="0091450A">
        <w:rPr>
          <w:bCs/>
        </w:rPr>
        <w:t xml:space="preserve"> of government p</w:t>
      </w:r>
      <w:r w:rsidR="002B733F" w:rsidRPr="0091450A">
        <w:rPr>
          <w:bCs/>
        </w:rPr>
        <w:t xml:space="preserve">olicies/actions compared to </w:t>
      </w:r>
      <w:r w:rsidR="004772D4" w:rsidRPr="0091450A">
        <w:rPr>
          <w:bCs/>
        </w:rPr>
        <w:t>intern</w:t>
      </w:r>
      <w:r w:rsidR="002B733F" w:rsidRPr="0091450A">
        <w:rPr>
          <w:bCs/>
        </w:rPr>
        <w:t>ational best practice</w:t>
      </w:r>
      <w:r w:rsidR="00D1200E" w:rsidRPr="0091450A">
        <w:rPr>
          <w:bCs/>
        </w:rPr>
        <w:t>.</w:t>
      </w:r>
      <w:r w:rsidR="002B733F" w:rsidRPr="0091450A">
        <w:rPr>
          <w:bCs/>
        </w:rPr>
        <w:t xml:space="preserve"> </w:t>
      </w:r>
    </w:p>
    <w:p w14:paraId="6D6FAA38" w14:textId="53606482" w:rsidR="004772D4" w:rsidRPr="0091450A" w:rsidRDefault="00600419" w:rsidP="002D613F">
      <w:pPr>
        <w:pStyle w:val="ListParagraph"/>
        <w:numPr>
          <w:ilvl w:val="0"/>
          <w:numId w:val="99"/>
        </w:numPr>
        <w:spacing w:after="0" w:line="240" w:lineRule="auto"/>
        <w:ind w:left="284" w:hanging="218"/>
        <w:contextualSpacing w:val="0"/>
        <w:jc w:val="both"/>
        <w:rPr>
          <w:bCs/>
        </w:rPr>
      </w:pPr>
      <w:r w:rsidRPr="0091450A">
        <w:rPr>
          <w:b/>
          <w:bCs/>
        </w:rPr>
        <w:t xml:space="preserve"> </w:t>
      </w:r>
      <w:r w:rsidR="004772D4" w:rsidRPr="0091450A">
        <w:rPr>
          <w:b/>
          <w:bCs/>
        </w:rPr>
        <w:t>Extent of implementation</w:t>
      </w:r>
      <w:r w:rsidR="004772D4" w:rsidRPr="0091450A">
        <w:rPr>
          <w:bCs/>
        </w:rPr>
        <w:t xml:space="preserve"> </w:t>
      </w:r>
      <w:r w:rsidR="00A050C1" w:rsidRPr="0091450A">
        <w:rPr>
          <w:bCs/>
        </w:rPr>
        <w:t xml:space="preserve">of government policies/actions </w:t>
      </w:r>
      <w:r w:rsidR="004772D4" w:rsidRPr="0091450A">
        <w:rPr>
          <w:bCs/>
        </w:rPr>
        <w:t>considering all aspects of the ‘policy cycle’:</w:t>
      </w:r>
    </w:p>
    <w:p w14:paraId="6FE2122A" w14:textId="0867C6DC" w:rsidR="004772D4" w:rsidRPr="0091450A" w:rsidRDefault="004772D4" w:rsidP="002D613F">
      <w:pPr>
        <w:numPr>
          <w:ilvl w:val="0"/>
          <w:numId w:val="100"/>
        </w:numPr>
        <w:spacing w:after="0" w:line="240" w:lineRule="auto"/>
        <w:jc w:val="both"/>
        <w:rPr>
          <w:bCs/>
        </w:rPr>
      </w:pPr>
      <w:r w:rsidRPr="0091450A">
        <w:rPr>
          <w:bCs/>
        </w:rPr>
        <w:t>Agenda setting and initiation</w:t>
      </w:r>
      <w:r w:rsidR="00A050C1" w:rsidRPr="0091450A">
        <w:rPr>
          <w:bCs/>
        </w:rPr>
        <w:t xml:space="preserve"> </w:t>
      </w:r>
    </w:p>
    <w:p w14:paraId="4EDFBDC8" w14:textId="1513693F" w:rsidR="004772D4" w:rsidRPr="0091450A" w:rsidRDefault="00D1200E" w:rsidP="002D613F">
      <w:pPr>
        <w:numPr>
          <w:ilvl w:val="0"/>
          <w:numId w:val="100"/>
        </w:numPr>
        <w:spacing w:after="0" w:line="240" w:lineRule="auto"/>
        <w:jc w:val="both"/>
        <w:rPr>
          <w:bCs/>
        </w:rPr>
      </w:pPr>
      <w:r w:rsidRPr="0091450A">
        <w:rPr>
          <w:bCs/>
        </w:rPr>
        <w:t>P</w:t>
      </w:r>
      <w:r w:rsidR="004772D4" w:rsidRPr="0091450A">
        <w:rPr>
          <w:bCs/>
        </w:rPr>
        <w:t>olicy development</w:t>
      </w:r>
    </w:p>
    <w:p w14:paraId="78808A7A" w14:textId="74F532CC" w:rsidR="004772D4" w:rsidRPr="0091450A" w:rsidRDefault="00D1200E" w:rsidP="002D613F">
      <w:pPr>
        <w:numPr>
          <w:ilvl w:val="0"/>
          <w:numId w:val="100"/>
        </w:numPr>
        <w:spacing w:after="0" w:line="240" w:lineRule="auto"/>
        <w:jc w:val="both"/>
        <w:rPr>
          <w:bCs/>
        </w:rPr>
      </w:pPr>
      <w:r w:rsidRPr="0091450A">
        <w:rPr>
          <w:bCs/>
        </w:rPr>
        <w:t>I</w:t>
      </w:r>
      <w:r w:rsidR="004772D4" w:rsidRPr="0091450A">
        <w:rPr>
          <w:bCs/>
        </w:rPr>
        <w:t>mplementation</w:t>
      </w:r>
    </w:p>
    <w:p w14:paraId="764D6EF1" w14:textId="1812F151" w:rsidR="004772D4" w:rsidRPr="0091450A" w:rsidRDefault="00D1200E" w:rsidP="002D613F">
      <w:pPr>
        <w:numPr>
          <w:ilvl w:val="0"/>
          <w:numId w:val="100"/>
        </w:numPr>
        <w:spacing w:after="0" w:line="240" w:lineRule="auto"/>
        <w:jc w:val="both"/>
        <w:rPr>
          <w:bCs/>
        </w:rPr>
      </w:pPr>
      <w:r w:rsidRPr="0091450A">
        <w:rPr>
          <w:bCs/>
        </w:rPr>
        <w:t>E</w:t>
      </w:r>
      <w:r w:rsidR="004772D4" w:rsidRPr="0091450A">
        <w:rPr>
          <w:bCs/>
        </w:rPr>
        <w:t>valuation</w:t>
      </w:r>
    </w:p>
    <w:p w14:paraId="13A600B9" w14:textId="09A4B3D1" w:rsidR="004772D4" w:rsidRPr="0091450A" w:rsidRDefault="004772D4" w:rsidP="002D613F">
      <w:pPr>
        <w:spacing w:after="0" w:line="240" w:lineRule="auto"/>
        <w:jc w:val="both"/>
        <w:rPr>
          <w:bCs/>
        </w:rPr>
      </w:pPr>
      <w:r w:rsidRPr="0091450A">
        <w:rPr>
          <w:bCs/>
        </w:rPr>
        <w:t>The rating</w:t>
      </w:r>
      <w:r w:rsidR="00A050C1" w:rsidRPr="0091450A">
        <w:rPr>
          <w:bCs/>
        </w:rPr>
        <w:t xml:space="preserve">s thus need to </w:t>
      </w:r>
      <w:r w:rsidR="00994A3C" w:rsidRPr="0091450A">
        <w:rPr>
          <w:bCs/>
        </w:rPr>
        <w:t>consider</w:t>
      </w:r>
      <w:r w:rsidRPr="0091450A">
        <w:rPr>
          <w:bCs/>
        </w:rPr>
        <w:t xml:space="preserve"> the intentions and plans of the Government, Government funding for implementation of actions undertaken by NGOs and establishment of working or advisory groups, </w:t>
      </w:r>
      <w:r w:rsidR="002060B2" w:rsidRPr="0091450A">
        <w:rPr>
          <w:bCs/>
        </w:rPr>
        <w:t>etc.</w:t>
      </w:r>
      <w:r w:rsidRPr="0091450A">
        <w:rPr>
          <w:bCs/>
        </w:rPr>
        <w:t>, in addition to the policies and actions that have been implemented.</w:t>
      </w:r>
    </w:p>
    <w:p w14:paraId="33FCA851" w14:textId="77777777" w:rsidR="00600419" w:rsidRPr="0091450A" w:rsidRDefault="00600419" w:rsidP="002D613F">
      <w:pPr>
        <w:spacing w:after="0" w:line="240" w:lineRule="auto"/>
        <w:jc w:val="both"/>
        <w:rPr>
          <w:bCs/>
        </w:rPr>
      </w:pPr>
    </w:p>
    <w:p w14:paraId="627685B5" w14:textId="2EDEBD0D" w:rsidR="004772D4" w:rsidRPr="0091450A" w:rsidRDefault="004772D4" w:rsidP="002D613F">
      <w:pPr>
        <w:spacing w:after="0" w:line="240" w:lineRule="auto"/>
        <w:jc w:val="both"/>
        <w:rPr>
          <w:bCs/>
        </w:rPr>
      </w:pPr>
      <w:r w:rsidRPr="0091450A">
        <w:rPr>
          <w:b/>
          <w:bCs/>
        </w:rPr>
        <w:t>This booklet</w:t>
      </w:r>
      <w:r w:rsidRPr="0091450A">
        <w:rPr>
          <w:bCs/>
        </w:rPr>
        <w:t xml:space="preserve"> gives you the full details of the current evidence of implementation by the New Zealand Government for each good practice indicator</w:t>
      </w:r>
      <w:r w:rsidR="00A050C1" w:rsidRPr="0091450A">
        <w:rPr>
          <w:bCs/>
        </w:rPr>
        <w:t xml:space="preserve"> and includes international best practice examples (benchmarks)</w:t>
      </w:r>
      <w:r w:rsidRPr="0091450A">
        <w:rPr>
          <w:bCs/>
        </w:rPr>
        <w:t xml:space="preserve"> </w:t>
      </w:r>
      <w:r w:rsidR="002B733F" w:rsidRPr="0091450A">
        <w:rPr>
          <w:bCs/>
        </w:rPr>
        <w:t xml:space="preserve">for each good practice indicator </w:t>
      </w:r>
      <w:r w:rsidRPr="0091450A">
        <w:rPr>
          <w:bCs/>
        </w:rPr>
        <w:t xml:space="preserve">to </w:t>
      </w:r>
      <w:r w:rsidRPr="0091450A">
        <w:rPr>
          <w:b/>
          <w:bCs/>
        </w:rPr>
        <w:t>support you</w:t>
      </w:r>
      <w:r w:rsidRPr="0091450A">
        <w:rPr>
          <w:bCs/>
        </w:rPr>
        <w:t xml:space="preserve"> in the rating process and give you </w:t>
      </w:r>
      <w:r w:rsidR="00E75EBC" w:rsidRPr="0091450A">
        <w:rPr>
          <w:bCs/>
        </w:rPr>
        <w:t xml:space="preserve">the </w:t>
      </w:r>
      <w:r w:rsidRPr="0091450A">
        <w:rPr>
          <w:bCs/>
        </w:rPr>
        <w:t xml:space="preserve">confidence to make those judgements. Summaries of </w:t>
      </w:r>
      <w:r w:rsidR="00A050C1" w:rsidRPr="0091450A">
        <w:rPr>
          <w:bCs/>
        </w:rPr>
        <w:t>the evidence and the benchmarks</w:t>
      </w:r>
      <w:r w:rsidRPr="0091450A">
        <w:rPr>
          <w:bCs/>
        </w:rPr>
        <w:t xml:space="preserve"> are also available within the online question</w:t>
      </w:r>
      <w:r w:rsidR="00A050C1" w:rsidRPr="0091450A">
        <w:rPr>
          <w:bCs/>
        </w:rPr>
        <w:t>naire used for the rating</w:t>
      </w:r>
      <w:r w:rsidRPr="0091450A">
        <w:rPr>
          <w:bCs/>
        </w:rPr>
        <w:t xml:space="preserve"> process. You will receive a separate invitation email with a link to this questionnaire. </w:t>
      </w:r>
      <w:r w:rsidRPr="0091450A">
        <w:rPr>
          <w:b/>
          <w:bCs/>
        </w:rPr>
        <w:t>It is important to read the evidence of implementation and international benchmarks before putting in your rating for each good practice indicator.</w:t>
      </w:r>
      <w:r w:rsidRPr="0091450A">
        <w:rPr>
          <w:bCs/>
        </w:rPr>
        <w:t xml:space="preserve"> </w:t>
      </w:r>
    </w:p>
    <w:p w14:paraId="3F2AB155" w14:textId="77777777" w:rsidR="00D11035" w:rsidRPr="0091450A" w:rsidRDefault="00D11035" w:rsidP="002D613F">
      <w:pPr>
        <w:spacing w:after="0" w:line="240" w:lineRule="auto"/>
        <w:jc w:val="both"/>
        <w:rPr>
          <w:bCs/>
        </w:rPr>
      </w:pPr>
    </w:p>
    <w:p w14:paraId="4239AEFB" w14:textId="77777777" w:rsidR="00600419" w:rsidRPr="0091450A" w:rsidRDefault="00A050C1" w:rsidP="002D613F">
      <w:pPr>
        <w:spacing w:after="0" w:line="240" w:lineRule="auto"/>
        <w:jc w:val="both"/>
        <w:rPr>
          <w:bCs/>
        </w:rPr>
      </w:pPr>
      <w:r w:rsidRPr="0091450A">
        <w:rPr>
          <w:bCs/>
        </w:rPr>
        <w:t>We anticipate the rating</w:t>
      </w:r>
      <w:r w:rsidR="004772D4" w:rsidRPr="0091450A">
        <w:rPr>
          <w:bCs/>
        </w:rPr>
        <w:t xml:space="preserve"> process </w:t>
      </w:r>
      <w:r w:rsidR="003B5309" w:rsidRPr="0091450A">
        <w:rPr>
          <w:bCs/>
        </w:rPr>
        <w:t xml:space="preserve">will take </w:t>
      </w:r>
      <w:r w:rsidR="003B5309" w:rsidRPr="0091450A">
        <w:rPr>
          <w:b/>
          <w:bCs/>
        </w:rPr>
        <w:t>more than an hour</w:t>
      </w:r>
      <w:r w:rsidRPr="0091450A">
        <w:rPr>
          <w:b/>
          <w:bCs/>
        </w:rPr>
        <w:t xml:space="preserve"> of your time</w:t>
      </w:r>
      <w:r w:rsidR="004772D4" w:rsidRPr="0091450A">
        <w:rPr>
          <w:bCs/>
        </w:rPr>
        <w:t xml:space="preserve"> to complete and it will be possible to save your ratings online and come back to where you le</w:t>
      </w:r>
      <w:r w:rsidR="00600419" w:rsidRPr="0091450A">
        <w:rPr>
          <w:bCs/>
        </w:rPr>
        <w:t>ft off at a later stage.</w:t>
      </w:r>
    </w:p>
    <w:p w14:paraId="5D33B6D1" w14:textId="77777777" w:rsidR="004772D4" w:rsidRPr="0091450A" w:rsidRDefault="004772D4" w:rsidP="007B4E65">
      <w:pPr>
        <w:spacing w:after="0"/>
        <w:jc w:val="both"/>
        <w:rPr>
          <w:bCs/>
        </w:rPr>
      </w:pPr>
      <w:r w:rsidRPr="0091450A">
        <w:rPr>
          <w:bCs/>
        </w:rPr>
        <w:t xml:space="preserve">Some important </w:t>
      </w:r>
      <w:r w:rsidRPr="0091450A">
        <w:rPr>
          <w:b/>
          <w:bCs/>
        </w:rPr>
        <w:t>points of attention</w:t>
      </w:r>
      <w:r w:rsidRPr="0091450A">
        <w:rPr>
          <w:bCs/>
        </w:rPr>
        <w:t xml:space="preserve"> to keep in mind during the rating process are the following:</w:t>
      </w:r>
    </w:p>
    <w:p w14:paraId="23F94FC3" w14:textId="305DE765" w:rsidR="004772D4" w:rsidRPr="0091450A" w:rsidRDefault="004772D4" w:rsidP="002D613F">
      <w:pPr>
        <w:numPr>
          <w:ilvl w:val="0"/>
          <w:numId w:val="47"/>
        </w:numPr>
        <w:spacing w:after="0" w:line="240" w:lineRule="auto"/>
        <w:jc w:val="both"/>
        <w:rPr>
          <w:bCs/>
        </w:rPr>
      </w:pPr>
      <w:r w:rsidRPr="0091450A">
        <w:rPr>
          <w:bCs/>
        </w:rPr>
        <w:t xml:space="preserve">Please note that the Government’s level of implementation is </w:t>
      </w:r>
      <w:r w:rsidRPr="0091450A">
        <w:rPr>
          <w:b/>
          <w:bCs/>
        </w:rPr>
        <w:t>evaluated against international best practice</w:t>
      </w:r>
      <w:r w:rsidRPr="0091450A">
        <w:rPr>
          <w:bCs/>
        </w:rPr>
        <w:t xml:space="preserve"> and not against any theoretical or ideal standards. In some cases</w:t>
      </w:r>
      <w:r w:rsidR="0094473C" w:rsidRPr="0091450A">
        <w:rPr>
          <w:bCs/>
        </w:rPr>
        <w:t>,</w:t>
      </w:r>
      <w:r w:rsidRPr="0091450A">
        <w:rPr>
          <w:bCs/>
        </w:rPr>
        <w:t xml:space="preserve"> the benchmarks only cover certain aspects of the good practice indicator since no country globally is currently covering all aspects. For a few indicators (e.g. </w:t>
      </w:r>
      <w:r w:rsidR="0094473C" w:rsidRPr="0091450A">
        <w:rPr>
          <w:bCs/>
        </w:rPr>
        <w:t>F</w:t>
      </w:r>
      <w:r w:rsidRPr="0091450A">
        <w:rPr>
          <w:bCs/>
        </w:rPr>
        <w:t>unding) the actual benchmarks are unknown. In this case</w:t>
      </w:r>
      <w:r w:rsidR="0094473C" w:rsidRPr="0091450A">
        <w:rPr>
          <w:bCs/>
        </w:rPr>
        <w:t>,</w:t>
      </w:r>
      <w:r w:rsidRPr="0091450A">
        <w:rPr>
          <w:bCs/>
        </w:rPr>
        <w:t xml:space="preserve"> the benchmarks are examples only</w:t>
      </w:r>
      <w:r w:rsidR="002B733F" w:rsidRPr="0091450A">
        <w:rPr>
          <w:bCs/>
        </w:rPr>
        <w:t xml:space="preserve"> and </w:t>
      </w:r>
      <w:r w:rsidR="0094473C" w:rsidRPr="0091450A">
        <w:rPr>
          <w:bCs/>
        </w:rPr>
        <w:t>it</w:t>
      </w:r>
      <w:r w:rsidR="002B733F" w:rsidRPr="0091450A">
        <w:rPr>
          <w:bCs/>
        </w:rPr>
        <w:t xml:space="preserve"> is mentioned in the online summaries</w:t>
      </w:r>
      <w:r w:rsidRPr="0091450A">
        <w:rPr>
          <w:bCs/>
        </w:rPr>
        <w:t xml:space="preserve">. There are </w:t>
      </w:r>
      <w:r w:rsidR="002B733F" w:rsidRPr="0091450A">
        <w:rPr>
          <w:bCs/>
        </w:rPr>
        <w:t xml:space="preserve">a few </w:t>
      </w:r>
      <w:r w:rsidRPr="0091450A">
        <w:rPr>
          <w:bCs/>
        </w:rPr>
        <w:t>good practice indicators for which New Zealand is listed as a benchmark.</w:t>
      </w:r>
      <w:r w:rsidR="002B733F" w:rsidRPr="0091450A">
        <w:rPr>
          <w:bCs/>
        </w:rPr>
        <w:t xml:space="preserve"> </w:t>
      </w:r>
    </w:p>
    <w:p w14:paraId="2E75AB88" w14:textId="47AFA64F" w:rsidR="004772D4" w:rsidRPr="0091450A" w:rsidRDefault="0094473C" w:rsidP="002D613F">
      <w:pPr>
        <w:numPr>
          <w:ilvl w:val="0"/>
          <w:numId w:val="47"/>
        </w:numPr>
        <w:spacing w:after="0" w:line="240" w:lineRule="auto"/>
        <w:jc w:val="both"/>
        <w:rPr>
          <w:bCs/>
        </w:rPr>
      </w:pPr>
      <w:r w:rsidRPr="0091450A">
        <w:rPr>
          <w:bCs/>
        </w:rPr>
        <w:t xml:space="preserve">In the online rating tool, </w:t>
      </w:r>
      <w:r w:rsidR="004772D4" w:rsidRPr="0091450A">
        <w:rPr>
          <w:bCs/>
        </w:rPr>
        <w:t>we provide a summary of the evidence of implementation</w:t>
      </w:r>
      <w:r w:rsidRPr="0091450A">
        <w:rPr>
          <w:bCs/>
        </w:rPr>
        <w:t xml:space="preserve"> and</w:t>
      </w:r>
      <w:r w:rsidR="004772D4" w:rsidRPr="0091450A">
        <w:rPr>
          <w:bCs/>
        </w:rPr>
        <w:t xml:space="preserve"> benchmarks </w:t>
      </w:r>
      <w:r w:rsidRPr="0091450A">
        <w:rPr>
          <w:bCs/>
        </w:rPr>
        <w:t>for each indicator. We</w:t>
      </w:r>
      <w:r w:rsidR="004772D4" w:rsidRPr="0091450A">
        <w:rPr>
          <w:bCs/>
        </w:rPr>
        <w:t xml:space="preserve"> also </w:t>
      </w:r>
      <w:r w:rsidR="00AD4958" w:rsidRPr="0091450A">
        <w:rPr>
          <w:bCs/>
        </w:rPr>
        <w:t>highlight if</w:t>
      </w:r>
      <w:r w:rsidR="004772D4" w:rsidRPr="0091450A">
        <w:rPr>
          <w:bCs/>
        </w:rPr>
        <w:t xml:space="preserve"> there is new evidence of implementation since </w:t>
      </w:r>
      <w:r w:rsidR="00401359" w:rsidRPr="0091450A">
        <w:t>2017</w:t>
      </w:r>
      <w:r w:rsidR="00401359" w:rsidRPr="0091450A">
        <w:rPr>
          <w:bCs/>
        </w:rPr>
        <w:t xml:space="preserve"> </w:t>
      </w:r>
      <w:r w:rsidR="004772D4" w:rsidRPr="0091450A">
        <w:rPr>
          <w:bCs/>
        </w:rPr>
        <w:t>and</w:t>
      </w:r>
      <w:r w:rsidR="00AD4958" w:rsidRPr="0091450A">
        <w:rPr>
          <w:bCs/>
        </w:rPr>
        <w:t xml:space="preserve"> if</w:t>
      </w:r>
      <w:r w:rsidR="004772D4" w:rsidRPr="0091450A">
        <w:rPr>
          <w:bCs/>
        </w:rPr>
        <w:t xml:space="preserve"> the benchmark has substantially improved since 201</w:t>
      </w:r>
      <w:r w:rsidR="00401359" w:rsidRPr="0091450A">
        <w:rPr>
          <w:bCs/>
        </w:rPr>
        <w:t>7</w:t>
      </w:r>
      <w:r w:rsidR="004772D4" w:rsidRPr="0091450A">
        <w:rPr>
          <w:bCs/>
        </w:rPr>
        <w:t xml:space="preserve">. </w:t>
      </w:r>
      <w:r w:rsidRPr="0091450A">
        <w:rPr>
          <w:bCs/>
        </w:rPr>
        <w:t>T</w:t>
      </w:r>
      <w:r w:rsidR="004772D4" w:rsidRPr="0091450A">
        <w:rPr>
          <w:bCs/>
        </w:rPr>
        <w:t>he median rating as per the results of the Food-EPI 201</w:t>
      </w:r>
      <w:r w:rsidR="00401359" w:rsidRPr="0091450A">
        <w:rPr>
          <w:bCs/>
        </w:rPr>
        <w:t>7</w:t>
      </w:r>
      <w:r w:rsidRPr="0091450A">
        <w:rPr>
          <w:bCs/>
        </w:rPr>
        <w:t xml:space="preserve"> is also included</w:t>
      </w:r>
      <w:r w:rsidR="004772D4" w:rsidRPr="0091450A">
        <w:rPr>
          <w:bCs/>
        </w:rPr>
        <w:t xml:space="preserve">. </w:t>
      </w:r>
      <w:r w:rsidR="004772D4" w:rsidRPr="0091450A">
        <w:rPr>
          <w:b/>
          <w:bCs/>
        </w:rPr>
        <w:t xml:space="preserve">This information is given to support you to </w:t>
      </w:r>
      <w:r w:rsidR="006F0860" w:rsidRPr="0091450A">
        <w:rPr>
          <w:b/>
          <w:bCs/>
        </w:rPr>
        <w:t>rate but</w:t>
      </w:r>
      <w:r w:rsidR="004772D4" w:rsidRPr="0091450A">
        <w:rPr>
          <w:b/>
          <w:bCs/>
        </w:rPr>
        <w:t xml:space="preserve"> does not suggest which rating you need to choose</w:t>
      </w:r>
      <w:r w:rsidR="004772D4" w:rsidRPr="0091450A">
        <w:rPr>
          <w:bCs/>
        </w:rPr>
        <w:t>. It is important to keep in mind that the categories for rating are fairly broad (0-20%, 20-40%, 40-60%, 60-80% and 80-100%)</w:t>
      </w:r>
      <w:r w:rsidR="00EF5F55" w:rsidRPr="0091450A">
        <w:rPr>
          <w:bCs/>
        </w:rPr>
        <w:t>. T</w:t>
      </w:r>
      <w:r w:rsidR="004772D4" w:rsidRPr="0091450A">
        <w:rPr>
          <w:bCs/>
        </w:rPr>
        <w:t>herefore</w:t>
      </w:r>
      <w:r w:rsidR="00EF5F55" w:rsidRPr="0091450A">
        <w:rPr>
          <w:bCs/>
        </w:rPr>
        <w:t>,</w:t>
      </w:r>
      <w:r w:rsidR="004772D4" w:rsidRPr="0091450A">
        <w:rPr>
          <w:bCs/>
        </w:rPr>
        <w:t xml:space="preserve"> it is not necessarily the case that </w:t>
      </w:r>
      <w:r w:rsidR="00AD4958" w:rsidRPr="0091450A">
        <w:rPr>
          <w:bCs/>
        </w:rPr>
        <w:t xml:space="preserve">a higher rating </w:t>
      </w:r>
      <w:r w:rsidR="00EF5F55" w:rsidRPr="0091450A">
        <w:rPr>
          <w:bCs/>
        </w:rPr>
        <w:t>should</w:t>
      </w:r>
      <w:r w:rsidR="00AD4958" w:rsidRPr="0091450A">
        <w:rPr>
          <w:bCs/>
        </w:rPr>
        <w:t xml:space="preserve"> be given if there is new evidence</w:t>
      </w:r>
      <w:r w:rsidR="00EF5F55" w:rsidRPr="0091450A">
        <w:rPr>
          <w:bCs/>
        </w:rPr>
        <w:t xml:space="preserve"> of implementation in New Zealand,</w:t>
      </w:r>
      <w:r w:rsidR="00AD4958" w:rsidRPr="0091450A">
        <w:rPr>
          <w:bCs/>
        </w:rPr>
        <w:t xml:space="preserve"> while the benchmark has not improved</w:t>
      </w:r>
      <w:r w:rsidR="00EF5F55" w:rsidRPr="0091450A">
        <w:rPr>
          <w:bCs/>
        </w:rPr>
        <w:t xml:space="preserve"> compared to 201</w:t>
      </w:r>
      <w:r w:rsidR="00401359" w:rsidRPr="0091450A">
        <w:rPr>
          <w:bCs/>
        </w:rPr>
        <w:t>7</w:t>
      </w:r>
      <w:r w:rsidR="00EF5F55" w:rsidRPr="0091450A">
        <w:rPr>
          <w:bCs/>
        </w:rPr>
        <w:t>. Nor</w:t>
      </w:r>
      <w:r w:rsidR="00AD4958" w:rsidRPr="0091450A">
        <w:rPr>
          <w:bCs/>
        </w:rPr>
        <w:t xml:space="preserve"> </w:t>
      </w:r>
      <w:r w:rsidR="00EF5F55" w:rsidRPr="0091450A">
        <w:rPr>
          <w:bCs/>
        </w:rPr>
        <w:t xml:space="preserve">should </w:t>
      </w:r>
      <w:r w:rsidR="00AD4958" w:rsidRPr="0091450A">
        <w:rPr>
          <w:bCs/>
        </w:rPr>
        <w:t xml:space="preserve">a lower rating </w:t>
      </w:r>
      <w:r w:rsidR="00EF5F55" w:rsidRPr="0091450A">
        <w:rPr>
          <w:bCs/>
        </w:rPr>
        <w:t xml:space="preserve">necessarily be given </w:t>
      </w:r>
      <w:r w:rsidR="00AD4958" w:rsidRPr="0091450A">
        <w:rPr>
          <w:bCs/>
        </w:rPr>
        <w:t xml:space="preserve">if there is no new evidence </w:t>
      </w:r>
      <w:r w:rsidR="00EF5F55" w:rsidRPr="0091450A">
        <w:rPr>
          <w:bCs/>
        </w:rPr>
        <w:t>of implementation</w:t>
      </w:r>
      <w:r w:rsidR="006A2441" w:rsidRPr="0091450A">
        <w:rPr>
          <w:bCs/>
        </w:rPr>
        <w:t>, but</w:t>
      </w:r>
      <w:r w:rsidR="00AD4958" w:rsidRPr="0091450A">
        <w:rPr>
          <w:bCs/>
        </w:rPr>
        <w:t xml:space="preserve"> the benchmark has substantially improved</w:t>
      </w:r>
      <w:r w:rsidR="00EF5F55" w:rsidRPr="0091450A">
        <w:rPr>
          <w:bCs/>
        </w:rPr>
        <w:t xml:space="preserve"> compared to 201</w:t>
      </w:r>
      <w:r w:rsidR="00401359" w:rsidRPr="0091450A">
        <w:rPr>
          <w:bCs/>
        </w:rPr>
        <w:t>7</w:t>
      </w:r>
      <w:r w:rsidR="00AD4958" w:rsidRPr="0091450A">
        <w:rPr>
          <w:bCs/>
        </w:rPr>
        <w:t xml:space="preserve">. This is </w:t>
      </w:r>
      <w:r w:rsidR="00EF5F55" w:rsidRPr="0091450A">
        <w:rPr>
          <w:bCs/>
        </w:rPr>
        <w:t xml:space="preserve">left </w:t>
      </w:r>
      <w:r w:rsidR="00AD4958" w:rsidRPr="0091450A">
        <w:rPr>
          <w:bCs/>
        </w:rPr>
        <w:t>up to your judgement</w:t>
      </w:r>
      <w:r w:rsidR="00EF5F55" w:rsidRPr="0091450A">
        <w:rPr>
          <w:bCs/>
        </w:rPr>
        <w:t>,</w:t>
      </w:r>
      <w:r w:rsidR="00AD4958" w:rsidRPr="0091450A">
        <w:rPr>
          <w:bCs/>
        </w:rPr>
        <w:t xml:space="preserve"> taking all elements into account.</w:t>
      </w:r>
    </w:p>
    <w:p w14:paraId="73424304" w14:textId="55D1A22B" w:rsidR="004772D4" w:rsidRPr="0091450A" w:rsidRDefault="004772D4" w:rsidP="002D613F">
      <w:pPr>
        <w:numPr>
          <w:ilvl w:val="0"/>
          <w:numId w:val="47"/>
        </w:numPr>
        <w:spacing w:after="0" w:line="240" w:lineRule="auto"/>
        <w:jc w:val="both"/>
        <w:rPr>
          <w:bCs/>
        </w:rPr>
      </w:pPr>
      <w:r w:rsidRPr="0091450A">
        <w:rPr>
          <w:bCs/>
        </w:rPr>
        <w:t xml:space="preserve">Any </w:t>
      </w:r>
      <w:r w:rsidRPr="0091450A">
        <w:rPr>
          <w:b/>
          <w:bCs/>
        </w:rPr>
        <w:t>comments</w:t>
      </w:r>
      <w:r w:rsidRPr="0091450A">
        <w:rPr>
          <w:bCs/>
        </w:rPr>
        <w:t xml:space="preserve"> that you have during this exercise</w:t>
      </w:r>
      <w:r w:rsidR="003B5309" w:rsidRPr="0091450A">
        <w:rPr>
          <w:bCs/>
        </w:rPr>
        <w:t xml:space="preserve"> (including on the evidence of implementation presented in this document)</w:t>
      </w:r>
      <w:r w:rsidRPr="0091450A">
        <w:rPr>
          <w:bCs/>
        </w:rPr>
        <w:t xml:space="preserve"> are very important for us</w:t>
      </w:r>
      <w:r w:rsidR="00D1200E" w:rsidRPr="0091450A">
        <w:rPr>
          <w:bCs/>
        </w:rPr>
        <w:t xml:space="preserve">, </w:t>
      </w:r>
      <w:r w:rsidRPr="0091450A">
        <w:rPr>
          <w:bCs/>
        </w:rPr>
        <w:t xml:space="preserve">so feel free to use the </w:t>
      </w:r>
      <w:r w:rsidR="00AD4958" w:rsidRPr="0091450A">
        <w:rPr>
          <w:bCs/>
        </w:rPr>
        <w:t xml:space="preserve">online </w:t>
      </w:r>
      <w:r w:rsidRPr="0091450A">
        <w:rPr>
          <w:bCs/>
        </w:rPr>
        <w:t>comment boxes extensively in the rating process.</w:t>
      </w:r>
    </w:p>
    <w:p w14:paraId="35AF8293" w14:textId="77777777" w:rsidR="00AD4958" w:rsidRPr="0091450A" w:rsidRDefault="00AD4958" w:rsidP="002D613F">
      <w:pPr>
        <w:spacing w:after="0" w:line="240" w:lineRule="auto"/>
        <w:jc w:val="both"/>
        <w:rPr>
          <w:bCs/>
        </w:rPr>
      </w:pPr>
    </w:p>
    <w:p w14:paraId="3E0AAB74" w14:textId="2731E36C" w:rsidR="000729CA" w:rsidRPr="0091450A" w:rsidRDefault="004772D4" w:rsidP="007B4E65">
      <w:pPr>
        <w:spacing w:after="0" w:line="240" w:lineRule="auto"/>
        <w:jc w:val="both"/>
        <w:rPr>
          <w:bCs/>
        </w:rPr>
      </w:pPr>
      <w:r w:rsidRPr="0091450A">
        <w:rPr>
          <w:bCs/>
        </w:rPr>
        <w:t>An example with explanations for the first good practice indicator</w:t>
      </w:r>
      <w:r w:rsidR="002B733F" w:rsidRPr="0091450A">
        <w:rPr>
          <w:bCs/>
        </w:rPr>
        <w:t xml:space="preserve"> </w:t>
      </w:r>
      <w:r w:rsidR="00161CE9" w:rsidRPr="0091450A">
        <w:rPr>
          <w:bCs/>
        </w:rPr>
        <w:t xml:space="preserve">(COMP1) </w:t>
      </w:r>
      <w:r w:rsidR="004151C1">
        <w:rPr>
          <w:bCs/>
        </w:rPr>
        <w:t>i</w:t>
      </w:r>
      <w:r w:rsidR="00AD4958" w:rsidRPr="0091450A">
        <w:rPr>
          <w:bCs/>
        </w:rPr>
        <w:t xml:space="preserve">s visible in the online rating </w:t>
      </w:r>
      <w:r w:rsidR="00B956B1" w:rsidRPr="0091450A">
        <w:rPr>
          <w:bCs/>
        </w:rPr>
        <w:t>questionnaire included</w:t>
      </w:r>
      <w:r w:rsidRPr="0091450A">
        <w:rPr>
          <w:bCs/>
        </w:rPr>
        <w:t xml:space="preserve"> on the next page</w:t>
      </w:r>
      <w:r w:rsidR="007B4E65">
        <w:rPr>
          <w:bCs/>
        </w:rPr>
        <w:t>.</w:t>
      </w:r>
      <w:r w:rsidR="000729CA" w:rsidRPr="0091450A">
        <w:rPr>
          <w:bC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4772D4" w:rsidRPr="0091450A" w14:paraId="760CC054" w14:textId="77777777" w:rsidTr="001B0479">
        <w:trPr>
          <w:trHeight w:val="1300"/>
        </w:trPr>
        <w:tc>
          <w:tcPr>
            <w:tcW w:w="6204" w:type="dxa"/>
            <w:shd w:val="clear" w:color="auto" w:fill="auto"/>
            <w:vAlign w:val="center"/>
            <w:hideMark/>
          </w:tcPr>
          <w:p w14:paraId="447E17F9" w14:textId="77777777" w:rsidR="004772D4" w:rsidRPr="0091450A" w:rsidRDefault="004772D4" w:rsidP="002D613F">
            <w:pPr>
              <w:spacing w:after="0" w:line="240" w:lineRule="auto"/>
              <w:contextualSpacing/>
              <w:rPr>
                <w:szCs w:val="20"/>
              </w:rPr>
            </w:pPr>
            <w:r w:rsidRPr="0091450A">
              <w:rPr>
                <w:b/>
                <w:bCs/>
                <w:szCs w:val="20"/>
              </w:rPr>
              <w:lastRenderedPageBreak/>
              <w:t xml:space="preserve">COMP1 </w:t>
            </w:r>
            <w:r w:rsidRPr="0091450A">
              <w:rPr>
                <w:bCs/>
                <w:i/>
                <w:szCs w:val="20"/>
              </w:rPr>
              <w:t>Food composition targets/standards have been established by the government for the content of the nutrients of concern in certain foods or food groups if they are major contributors to population intakes of these nutrients of concern (trans fats and added sugars in processed foods, salt in bread, saturated fat in commercial frying fats).</w:t>
            </w:r>
          </w:p>
        </w:tc>
        <w:tc>
          <w:tcPr>
            <w:tcW w:w="3402" w:type="dxa"/>
          </w:tcPr>
          <w:p w14:paraId="346A88BE" w14:textId="4E034DBC" w:rsidR="004772D4" w:rsidRPr="0091450A" w:rsidRDefault="004772D4" w:rsidP="002D613F">
            <w:pPr>
              <w:spacing w:after="0" w:line="240" w:lineRule="auto"/>
              <w:contextualSpacing/>
              <w:rPr>
                <w:b/>
                <w:bCs/>
                <w:i/>
                <w:szCs w:val="20"/>
              </w:rPr>
            </w:pPr>
            <w:r w:rsidRPr="0091450A">
              <w:rPr>
                <w:b/>
                <w:bCs/>
                <w:i/>
                <w:szCs w:val="20"/>
              </w:rPr>
              <w:t>This is the definition of the</w:t>
            </w:r>
            <w:r w:rsidR="00E80E48" w:rsidRPr="0091450A">
              <w:rPr>
                <w:b/>
                <w:bCs/>
                <w:i/>
                <w:szCs w:val="20"/>
              </w:rPr>
              <w:t xml:space="preserve"> </w:t>
            </w:r>
            <w:r w:rsidR="002B733F" w:rsidRPr="0091450A">
              <w:rPr>
                <w:b/>
                <w:bCs/>
                <w:i/>
                <w:szCs w:val="20"/>
              </w:rPr>
              <w:t>good practice indicator</w:t>
            </w:r>
            <w:r w:rsidRPr="0091450A">
              <w:rPr>
                <w:b/>
                <w:bCs/>
                <w:i/>
                <w:szCs w:val="20"/>
              </w:rPr>
              <w:t xml:space="preserve"> for which you will rate the extent of implementation by the NZ Government against </w:t>
            </w:r>
            <w:r w:rsidR="002B733F" w:rsidRPr="0091450A">
              <w:rPr>
                <w:b/>
                <w:bCs/>
                <w:i/>
                <w:szCs w:val="20"/>
              </w:rPr>
              <w:t>international best practice</w:t>
            </w:r>
          </w:p>
        </w:tc>
      </w:tr>
      <w:tr w:rsidR="004772D4" w:rsidRPr="0091450A" w14:paraId="7A0446D3" w14:textId="77777777" w:rsidTr="001B0479">
        <w:trPr>
          <w:trHeight w:val="1300"/>
        </w:trPr>
        <w:tc>
          <w:tcPr>
            <w:tcW w:w="6204" w:type="dxa"/>
            <w:shd w:val="clear" w:color="auto" w:fill="auto"/>
            <w:vAlign w:val="center"/>
          </w:tcPr>
          <w:p w14:paraId="623B5884" w14:textId="3FACBCD3" w:rsidR="004772D4" w:rsidRPr="0091450A" w:rsidRDefault="004772D4" w:rsidP="002D613F">
            <w:pPr>
              <w:spacing w:after="0" w:line="240" w:lineRule="auto"/>
              <w:contextualSpacing/>
              <w:rPr>
                <w:b/>
                <w:bCs/>
                <w:szCs w:val="20"/>
              </w:rPr>
            </w:pPr>
            <w:r w:rsidRPr="0091450A">
              <w:rPr>
                <w:b/>
                <w:bCs/>
                <w:szCs w:val="20"/>
              </w:rPr>
              <w:t xml:space="preserve">EVIDENCE OF IMPLEMENTATION BY THE </w:t>
            </w:r>
            <w:r w:rsidR="001B0479" w:rsidRPr="0091450A">
              <w:rPr>
                <w:b/>
                <w:bCs/>
                <w:szCs w:val="20"/>
              </w:rPr>
              <w:t>NZ</w:t>
            </w:r>
            <w:r w:rsidRPr="0091450A">
              <w:rPr>
                <w:b/>
                <w:bCs/>
                <w:szCs w:val="20"/>
              </w:rPr>
              <w:t xml:space="preserve"> GOVERNMENT 201</w:t>
            </w:r>
            <w:r w:rsidR="00E37BDC">
              <w:rPr>
                <w:b/>
                <w:bCs/>
                <w:szCs w:val="20"/>
              </w:rPr>
              <w:t>9</w:t>
            </w:r>
            <w:r w:rsidRPr="0091450A">
              <w:rPr>
                <w:b/>
                <w:bCs/>
                <w:szCs w:val="20"/>
              </w:rPr>
              <w:t>:</w:t>
            </w:r>
          </w:p>
          <w:p w14:paraId="57DB597F" w14:textId="77777777" w:rsidR="00851E7B" w:rsidRDefault="00DB6F48" w:rsidP="00FC3D79">
            <w:pPr>
              <w:pStyle w:val="ListParagraph"/>
              <w:numPr>
                <w:ilvl w:val="0"/>
                <w:numId w:val="145"/>
              </w:numPr>
            </w:pPr>
            <w:r w:rsidRPr="00FC3D79">
              <w:rPr>
                <w:rFonts w:eastAsia="Times New Roman" w:cstheme="minorHAnsi"/>
                <w:color w:val="000000"/>
                <w:szCs w:val="20"/>
                <w:lang w:eastAsia="en-NZ"/>
              </w:rPr>
              <w:t xml:space="preserve">No food composition targets have been specified by the Ministry of Health (MoH) or the Ministry for Primary Industries for the nutrients of concern (sodium, saturated fat, </w:t>
            </w:r>
            <w:r w:rsidRPr="00FC3D79">
              <w:rPr>
                <w:rFonts w:eastAsia="Times New Roman" w:cstheme="minorHAnsi"/>
                <w:i/>
                <w:iCs/>
                <w:color w:val="000000"/>
                <w:szCs w:val="20"/>
                <w:lang w:eastAsia="en-NZ"/>
              </w:rPr>
              <w:t>trans</w:t>
            </w:r>
            <w:r w:rsidRPr="00FC3D79">
              <w:rPr>
                <w:rFonts w:eastAsia="Times New Roman" w:cstheme="minorHAnsi"/>
                <w:color w:val="000000"/>
                <w:szCs w:val="20"/>
                <w:lang w:eastAsia="en-NZ"/>
              </w:rPr>
              <w:t xml:space="preserve"> fat, added sugar).</w:t>
            </w:r>
            <w:r w:rsidR="00851E7B" w:rsidRPr="00FC3D79">
              <w:rPr>
                <w:rFonts w:eastAsia="Times New Roman" w:cstheme="minorHAnsi"/>
                <w:color w:val="000000"/>
                <w:szCs w:val="20"/>
                <w:lang w:eastAsia="en-NZ"/>
              </w:rPr>
              <w:t xml:space="preserve"> </w:t>
            </w:r>
            <w:r w:rsidR="00851E7B" w:rsidRPr="00FC3D79">
              <w:rPr>
                <w:rFonts w:cstheme="minorHAnsi"/>
                <w:color w:val="212121"/>
                <w:szCs w:val="20"/>
                <w:shd w:val="clear" w:color="auto" w:fill="FFFFFF"/>
              </w:rPr>
              <w:t>However, the MoH funds the Heart Foundation’s Food Reformulation Programme, a national programme, that focusses on reducing sodium and total sugar levels in processed foods.</w:t>
            </w:r>
          </w:p>
          <w:p w14:paraId="73FE7FDA" w14:textId="77777777" w:rsidR="00FC3D79" w:rsidRDefault="00851E7B" w:rsidP="00FC3D79">
            <w:pPr>
              <w:numPr>
                <w:ilvl w:val="0"/>
                <w:numId w:val="48"/>
              </w:numPr>
              <w:spacing w:after="0" w:line="240" w:lineRule="auto"/>
              <w:textAlignment w:val="baseline"/>
              <w:rPr>
                <w:rFonts w:eastAsia="Times New Roman" w:cstheme="minorHAnsi"/>
                <w:color w:val="000000"/>
                <w:szCs w:val="20"/>
                <w:lang w:eastAsia="en-NZ"/>
              </w:rPr>
            </w:pPr>
            <w:r w:rsidRPr="00FC3D79">
              <w:rPr>
                <w:rFonts w:cstheme="minorHAnsi"/>
                <w:color w:val="212121"/>
                <w:szCs w:val="20"/>
                <w:shd w:val="clear" w:color="auto" w:fill="FFFFFF"/>
              </w:rPr>
              <w:t xml:space="preserve">The Heart Foundation’s Food Reformulation Programme is a national programme that has set </w:t>
            </w:r>
            <w:r>
              <w:rPr>
                <w:rFonts w:cstheme="minorHAnsi"/>
                <w:color w:val="212121"/>
                <w:szCs w:val="20"/>
                <w:shd w:val="clear" w:color="auto" w:fill="FFFFFF"/>
              </w:rPr>
              <w:t xml:space="preserve">44 </w:t>
            </w:r>
            <w:r w:rsidRPr="00FC3D79">
              <w:rPr>
                <w:rFonts w:cstheme="minorHAnsi"/>
                <w:color w:val="212121"/>
                <w:szCs w:val="20"/>
                <w:shd w:val="clear" w:color="auto" w:fill="FFFFFF"/>
              </w:rPr>
              <w:t xml:space="preserve">targets for </w:t>
            </w:r>
            <w:r>
              <w:rPr>
                <w:rFonts w:cstheme="minorHAnsi"/>
                <w:color w:val="212121"/>
                <w:szCs w:val="20"/>
                <w:shd w:val="clear" w:color="auto" w:fill="FFFFFF"/>
              </w:rPr>
              <w:t>sodium or sugar</w:t>
            </w:r>
            <w:r w:rsidRPr="00FC3D79">
              <w:rPr>
                <w:rFonts w:cstheme="minorHAnsi"/>
                <w:color w:val="212121"/>
                <w:szCs w:val="20"/>
                <w:shd w:val="clear" w:color="auto" w:fill="FFFFFF"/>
              </w:rPr>
              <w:t xml:space="preserve"> across 35 food categories/sub-categories. It’s goal is for 80% (sales volume) products achieving the targets. It aims to align with Australian Healthy Food Partnership (which is in the process of formalising its targets).</w:t>
            </w:r>
            <w:r w:rsidR="00FC3D79" w:rsidRPr="006D047E">
              <w:rPr>
                <w:rFonts w:eastAsia="Times New Roman" w:cstheme="minorHAnsi"/>
                <w:color w:val="000000"/>
                <w:szCs w:val="20"/>
                <w:lang w:eastAsia="en-NZ"/>
              </w:rPr>
              <w:t xml:space="preserve"> </w:t>
            </w:r>
          </w:p>
          <w:p w14:paraId="17FD37F1" w14:textId="51986089" w:rsidR="00851E7B" w:rsidRPr="00FC3D79" w:rsidRDefault="00FC3D79" w:rsidP="00FC3D79">
            <w:pPr>
              <w:numPr>
                <w:ilvl w:val="0"/>
                <w:numId w:val="48"/>
              </w:numPr>
              <w:spacing w:after="0" w:line="240" w:lineRule="auto"/>
              <w:textAlignment w:val="baseline"/>
              <w:rPr>
                <w:rFonts w:eastAsia="Times New Roman" w:cstheme="minorHAnsi"/>
                <w:color w:val="000000"/>
                <w:szCs w:val="20"/>
                <w:lang w:eastAsia="en-NZ"/>
              </w:rPr>
            </w:pPr>
            <w:r w:rsidRPr="006D047E">
              <w:rPr>
                <w:rFonts w:eastAsia="Times New Roman" w:cstheme="minorHAnsi"/>
                <w:color w:val="000000"/>
                <w:szCs w:val="20"/>
                <w:lang w:eastAsia="en-NZ"/>
              </w:rPr>
              <w:t xml:space="preserve">As part of the Healthy Kids Industry Pledge, stimulated by MOH, several companies, including the retailer’s </w:t>
            </w:r>
            <w:proofErr w:type="spellStart"/>
            <w:r w:rsidRPr="006D047E">
              <w:rPr>
                <w:rFonts w:eastAsia="Times New Roman" w:cstheme="minorHAnsi"/>
                <w:color w:val="000000"/>
                <w:szCs w:val="20"/>
                <w:lang w:eastAsia="en-NZ"/>
              </w:rPr>
              <w:t>FoodStuffs</w:t>
            </w:r>
            <w:proofErr w:type="spellEnd"/>
            <w:r w:rsidRPr="006D047E">
              <w:rPr>
                <w:rFonts w:eastAsia="Times New Roman" w:cstheme="minorHAnsi"/>
                <w:color w:val="000000"/>
                <w:szCs w:val="20"/>
                <w:lang w:eastAsia="en-NZ"/>
              </w:rPr>
              <w:t xml:space="preserve"> and Countdown, set reformulation targets.</w:t>
            </w:r>
          </w:p>
          <w:p w14:paraId="63901A2E" w14:textId="1FCCB899" w:rsidR="00DB6F48" w:rsidRPr="007B4E65" w:rsidRDefault="00DB6F48" w:rsidP="00DB6F48">
            <w:pPr>
              <w:numPr>
                <w:ilvl w:val="0"/>
                <w:numId w:val="48"/>
              </w:numPr>
              <w:spacing w:before="40" w:after="40" w:line="240" w:lineRule="auto"/>
              <w:textAlignment w:val="baseline"/>
              <w:rPr>
                <w:rFonts w:eastAsia="Times New Roman" w:cstheme="minorHAnsi"/>
                <w:color w:val="00B050"/>
                <w:szCs w:val="20"/>
                <w:lang w:eastAsia="en-NZ"/>
              </w:rPr>
            </w:pPr>
            <w:r w:rsidRPr="007B4E65">
              <w:rPr>
                <w:rFonts w:eastAsia="Times New Roman" w:cstheme="minorHAnsi"/>
                <w:color w:val="00B050"/>
                <w:szCs w:val="20"/>
                <w:lang w:eastAsia="en-NZ"/>
              </w:rPr>
              <w:t>The Government response to the Food Industry Taskforce on addressing factors contributing to obesity</w:t>
            </w:r>
            <w:r w:rsidR="007F32B9" w:rsidRPr="007B4E65">
              <w:rPr>
                <w:rFonts w:eastAsia="Times New Roman" w:cstheme="minorHAnsi"/>
                <w:color w:val="00B050"/>
                <w:szCs w:val="20"/>
                <w:lang w:eastAsia="en-NZ"/>
              </w:rPr>
              <w:t>,</w:t>
            </w:r>
            <w:r w:rsidRPr="007B4E65">
              <w:rPr>
                <w:rFonts w:eastAsia="Times New Roman" w:cstheme="minorHAnsi"/>
                <w:color w:val="00B050"/>
                <w:szCs w:val="20"/>
                <w:lang w:eastAsia="en-NZ"/>
              </w:rPr>
              <w:t xml:space="preserve"> prioritised the food industry to set and review nutrient reformulation targets.</w:t>
            </w:r>
          </w:p>
          <w:p w14:paraId="742B9BF3" w14:textId="027E3B92" w:rsidR="004772D4" w:rsidRPr="0091450A" w:rsidRDefault="00DB6F48" w:rsidP="00DB6F48">
            <w:pPr>
              <w:numPr>
                <w:ilvl w:val="0"/>
                <w:numId w:val="48"/>
              </w:numPr>
              <w:spacing w:after="0" w:line="240" w:lineRule="auto"/>
              <w:contextualSpacing/>
              <w:rPr>
                <w:b/>
              </w:rPr>
            </w:pPr>
            <w:r w:rsidRPr="006D047E">
              <w:rPr>
                <w:rFonts w:eastAsia="Times New Roman" w:cstheme="minorHAnsi"/>
                <w:color w:val="000000"/>
                <w:szCs w:val="20"/>
                <w:lang w:eastAsia="en-NZ"/>
              </w:rPr>
              <w:t xml:space="preserve">FSANZ leads work on the status of </w:t>
            </w:r>
            <w:r w:rsidRPr="006D047E">
              <w:rPr>
                <w:rFonts w:eastAsia="Times New Roman" w:cstheme="minorHAnsi"/>
                <w:i/>
                <w:iCs/>
                <w:color w:val="000000"/>
                <w:szCs w:val="20"/>
                <w:lang w:eastAsia="en-NZ"/>
              </w:rPr>
              <w:t>trans</w:t>
            </w:r>
            <w:r w:rsidRPr="006D047E">
              <w:rPr>
                <w:rFonts w:eastAsia="Times New Roman" w:cstheme="minorHAnsi"/>
                <w:color w:val="000000"/>
                <w:szCs w:val="20"/>
                <w:lang w:eastAsia="en-NZ"/>
              </w:rPr>
              <w:t xml:space="preserve"> fats in NZ and decided previously based on 2015 meeting that regulatory intervention is not required and the non-regulatory approach is sufficient to further reduce levels.</w:t>
            </w:r>
          </w:p>
        </w:tc>
        <w:tc>
          <w:tcPr>
            <w:tcW w:w="3402" w:type="dxa"/>
          </w:tcPr>
          <w:p w14:paraId="6BB6C354" w14:textId="77777777" w:rsidR="00C1388C" w:rsidRPr="0091450A" w:rsidRDefault="00C1388C" w:rsidP="002D613F">
            <w:pPr>
              <w:spacing w:after="0" w:line="240" w:lineRule="auto"/>
              <w:contextualSpacing/>
              <w:rPr>
                <w:b/>
                <w:bCs/>
                <w:i/>
                <w:szCs w:val="20"/>
              </w:rPr>
            </w:pPr>
          </w:p>
          <w:p w14:paraId="5B417A78" w14:textId="241B2024" w:rsidR="004772D4" w:rsidRPr="0091450A" w:rsidRDefault="004772D4" w:rsidP="002D613F">
            <w:pPr>
              <w:spacing w:after="0" w:line="240" w:lineRule="auto"/>
              <w:contextualSpacing/>
              <w:rPr>
                <w:b/>
                <w:bCs/>
                <w:szCs w:val="20"/>
              </w:rPr>
            </w:pPr>
            <w:r w:rsidRPr="0091450A">
              <w:rPr>
                <w:b/>
                <w:bCs/>
                <w:i/>
                <w:szCs w:val="20"/>
              </w:rPr>
              <w:t>This is a summary of the current evidence of implementation by the NZ Government for the COMP1 g</w:t>
            </w:r>
            <w:r w:rsidR="00C1388C" w:rsidRPr="0091450A">
              <w:rPr>
                <w:b/>
                <w:bCs/>
                <w:i/>
                <w:szCs w:val="20"/>
              </w:rPr>
              <w:t xml:space="preserve">ood practice indicator. </w:t>
            </w:r>
            <w:r w:rsidR="00AD4958" w:rsidRPr="0091450A">
              <w:rPr>
                <w:b/>
                <w:bCs/>
                <w:i/>
                <w:szCs w:val="20"/>
              </w:rPr>
              <w:t>New evidence of implementation compared to 201</w:t>
            </w:r>
            <w:r w:rsidR="00B956B1">
              <w:rPr>
                <w:b/>
                <w:bCs/>
                <w:i/>
                <w:szCs w:val="20"/>
              </w:rPr>
              <w:t>7</w:t>
            </w:r>
            <w:r w:rsidR="00AD4958" w:rsidRPr="0091450A">
              <w:rPr>
                <w:b/>
                <w:bCs/>
                <w:i/>
                <w:szCs w:val="20"/>
              </w:rPr>
              <w:t xml:space="preserve"> </w:t>
            </w:r>
            <w:r w:rsidR="00C1388C" w:rsidRPr="0091450A">
              <w:rPr>
                <w:b/>
                <w:bCs/>
                <w:i/>
                <w:szCs w:val="20"/>
              </w:rPr>
              <w:t>is</w:t>
            </w:r>
            <w:r w:rsidR="00AD4958" w:rsidRPr="0091450A">
              <w:rPr>
                <w:b/>
                <w:bCs/>
                <w:i/>
                <w:szCs w:val="20"/>
              </w:rPr>
              <w:t xml:space="preserve"> highlighted.</w:t>
            </w:r>
            <w:r w:rsidR="00C1388C" w:rsidRPr="0091450A">
              <w:t xml:space="preserve"> </w:t>
            </w:r>
            <w:r w:rsidR="00C1388C" w:rsidRPr="0091450A">
              <w:rPr>
                <w:b/>
                <w:bCs/>
                <w:i/>
                <w:szCs w:val="20"/>
              </w:rPr>
              <w:t>The detailed version of the evidence can be found in this printed booklet</w:t>
            </w:r>
            <w:r w:rsidR="00E80E48" w:rsidRPr="0091450A">
              <w:rPr>
                <w:b/>
                <w:bCs/>
                <w:i/>
                <w:szCs w:val="20"/>
              </w:rPr>
              <w:t>.</w:t>
            </w:r>
          </w:p>
        </w:tc>
      </w:tr>
      <w:tr w:rsidR="004772D4" w:rsidRPr="0091450A" w14:paraId="2DA516AE" w14:textId="77777777" w:rsidTr="001B0479">
        <w:trPr>
          <w:trHeight w:val="1300"/>
        </w:trPr>
        <w:tc>
          <w:tcPr>
            <w:tcW w:w="6204" w:type="dxa"/>
            <w:shd w:val="clear" w:color="auto" w:fill="auto"/>
            <w:vAlign w:val="center"/>
          </w:tcPr>
          <w:p w14:paraId="111E08D0" w14:textId="3FBFFCC6" w:rsidR="004772D4" w:rsidRPr="0091450A" w:rsidRDefault="004772D4" w:rsidP="002D613F">
            <w:pPr>
              <w:spacing w:after="0" w:line="240" w:lineRule="auto"/>
              <w:contextualSpacing/>
              <w:rPr>
                <w:b/>
                <w:bCs/>
                <w:szCs w:val="20"/>
              </w:rPr>
            </w:pPr>
            <w:r w:rsidRPr="0091450A">
              <w:rPr>
                <w:b/>
                <w:bCs/>
                <w:szCs w:val="20"/>
              </w:rPr>
              <w:t>INTERNATIONAL BEST PRACTICE EXAMPLES (BENCHMARKS) 201</w:t>
            </w:r>
            <w:r w:rsidR="00E37BDC">
              <w:rPr>
                <w:b/>
                <w:bCs/>
                <w:szCs w:val="20"/>
              </w:rPr>
              <w:t>9</w:t>
            </w:r>
            <w:r w:rsidRPr="0091450A">
              <w:rPr>
                <w:b/>
                <w:bCs/>
                <w:szCs w:val="20"/>
              </w:rPr>
              <w:t>:</w:t>
            </w:r>
          </w:p>
          <w:p w14:paraId="527CC4BE" w14:textId="77777777" w:rsidR="00E37BDC" w:rsidRPr="007159FF" w:rsidRDefault="00E37BDC" w:rsidP="00E37BDC">
            <w:pPr>
              <w:numPr>
                <w:ilvl w:val="0"/>
                <w:numId w:val="49"/>
              </w:numPr>
              <w:spacing w:after="0" w:line="240" w:lineRule="auto"/>
              <w:textAlignment w:val="baseline"/>
              <w:rPr>
                <w:rFonts w:eastAsia="Times New Roman" w:cstheme="minorHAnsi"/>
                <w:color w:val="00B050"/>
                <w:szCs w:val="20"/>
                <w:lang w:eastAsia="en-NZ"/>
              </w:rPr>
            </w:pPr>
            <w:r w:rsidRPr="007159FF">
              <w:rPr>
                <w:rFonts w:eastAsia="Times New Roman" w:cstheme="minorHAnsi"/>
                <w:i/>
                <w:iCs/>
                <w:color w:val="00B050"/>
                <w:szCs w:val="20"/>
                <w:u w:val="single"/>
                <w:lang w:eastAsia="en-NZ"/>
              </w:rPr>
              <w:t>UK:</w:t>
            </w:r>
            <w:r w:rsidRPr="007159FF">
              <w:rPr>
                <w:rFonts w:eastAsia="Times New Roman" w:cstheme="minorHAnsi"/>
                <w:i/>
                <w:iCs/>
                <w:color w:val="00B050"/>
                <w:szCs w:val="20"/>
                <w:lang w:eastAsia="en-NZ"/>
              </w:rPr>
              <w:t xml:space="preserve"> Reduction programme to remove sugars by at least 20% by 2020.</w:t>
            </w:r>
          </w:p>
          <w:p w14:paraId="179498A0" w14:textId="77777777" w:rsidR="00E37BDC" w:rsidRPr="007159FF" w:rsidRDefault="00E37BDC" w:rsidP="00E37BDC">
            <w:pPr>
              <w:numPr>
                <w:ilvl w:val="0"/>
                <w:numId w:val="49"/>
              </w:numPr>
              <w:spacing w:after="0" w:line="240" w:lineRule="auto"/>
              <w:textAlignment w:val="baseline"/>
              <w:rPr>
                <w:rFonts w:eastAsia="Times New Roman" w:cstheme="minorHAnsi"/>
                <w:color w:val="000000"/>
                <w:szCs w:val="20"/>
                <w:lang w:eastAsia="en-NZ"/>
              </w:rPr>
            </w:pPr>
            <w:r w:rsidRPr="007159FF">
              <w:rPr>
                <w:rFonts w:eastAsia="Times New Roman" w:cstheme="minorHAnsi"/>
                <w:i/>
                <w:iCs/>
                <w:color w:val="000000"/>
                <w:szCs w:val="20"/>
                <w:u w:val="single"/>
                <w:lang w:eastAsia="en-NZ"/>
              </w:rPr>
              <w:t>Argentina/South Africa</w:t>
            </w:r>
            <w:r w:rsidRPr="007159FF">
              <w:rPr>
                <w:rFonts w:eastAsia="Times New Roman" w:cstheme="minorHAnsi"/>
                <w:color w:val="000000"/>
                <w:szCs w:val="20"/>
                <w:lang w:eastAsia="en-NZ"/>
              </w:rPr>
              <w:t>: Laws on max levels of sodium in a broad range of food categories </w:t>
            </w:r>
          </w:p>
          <w:p w14:paraId="5F47CCC4" w14:textId="38F0EC7A" w:rsidR="004772D4" w:rsidRPr="0091450A" w:rsidRDefault="00E37BDC" w:rsidP="00E37BDC">
            <w:pPr>
              <w:numPr>
                <w:ilvl w:val="0"/>
                <w:numId w:val="49"/>
              </w:numPr>
              <w:spacing w:after="0" w:line="240" w:lineRule="auto"/>
              <w:contextualSpacing/>
            </w:pPr>
            <w:r w:rsidRPr="007159FF">
              <w:rPr>
                <w:rFonts w:eastAsia="Times New Roman" w:cstheme="minorHAnsi"/>
                <w:i/>
                <w:iCs/>
                <w:color w:val="000000"/>
                <w:szCs w:val="20"/>
                <w:u w:val="single"/>
                <w:lang w:eastAsia="en-NZ"/>
              </w:rPr>
              <w:t>France</w:t>
            </w:r>
            <w:r w:rsidRPr="007159FF">
              <w:rPr>
                <w:rFonts w:eastAsia="Times New Roman" w:cstheme="minorHAnsi"/>
                <w:color w:val="000000"/>
                <w:szCs w:val="20"/>
                <w:lang w:eastAsia="en-NZ"/>
              </w:rPr>
              <w:t>: Under a Charter of Engagement with the food industry (2008), companies can make voluntary commitments to reduce salt, sugar, total and saturated fats and increase fibre.</w:t>
            </w:r>
          </w:p>
        </w:tc>
        <w:tc>
          <w:tcPr>
            <w:tcW w:w="3402" w:type="dxa"/>
          </w:tcPr>
          <w:p w14:paraId="5D705956" w14:textId="77777777" w:rsidR="00C1388C" w:rsidRPr="0091450A" w:rsidRDefault="00C1388C" w:rsidP="002D613F">
            <w:pPr>
              <w:spacing w:after="0" w:line="240" w:lineRule="auto"/>
              <w:contextualSpacing/>
              <w:rPr>
                <w:b/>
                <w:bCs/>
                <w:i/>
                <w:szCs w:val="20"/>
              </w:rPr>
            </w:pPr>
          </w:p>
          <w:p w14:paraId="60876A2C" w14:textId="529B3905" w:rsidR="004772D4" w:rsidRPr="0091450A" w:rsidRDefault="004772D4" w:rsidP="002D613F">
            <w:pPr>
              <w:spacing w:after="0" w:line="240" w:lineRule="auto"/>
              <w:contextualSpacing/>
              <w:rPr>
                <w:b/>
                <w:bCs/>
                <w:szCs w:val="20"/>
              </w:rPr>
            </w:pPr>
            <w:r w:rsidRPr="0091450A">
              <w:rPr>
                <w:b/>
                <w:bCs/>
                <w:i/>
                <w:szCs w:val="20"/>
              </w:rPr>
              <w:t xml:space="preserve">These are the international best practice examples or benchmarks (e.g. countries doing particularly well) for the COMP1 good practice indicator </w:t>
            </w:r>
            <w:r w:rsidR="00E80E48" w:rsidRPr="0091450A">
              <w:rPr>
                <w:b/>
                <w:bCs/>
                <w:i/>
                <w:szCs w:val="20"/>
              </w:rPr>
              <w:t xml:space="preserve">against </w:t>
            </w:r>
            <w:r w:rsidRPr="0091450A">
              <w:rPr>
                <w:b/>
                <w:bCs/>
                <w:i/>
                <w:szCs w:val="20"/>
              </w:rPr>
              <w:t>which you will rate the extent of implementatio</w:t>
            </w:r>
            <w:r w:rsidR="00E80E48" w:rsidRPr="0091450A">
              <w:rPr>
                <w:b/>
                <w:bCs/>
                <w:i/>
                <w:szCs w:val="20"/>
              </w:rPr>
              <w:t>n by the New Zealand Government for COMP1. The detailed version of the benchmarks can be found in this printed booklet.</w:t>
            </w:r>
          </w:p>
          <w:p w14:paraId="4600F433" w14:textId="77777777" w:rsidR="004772D4" w:rsidRPr="0091450A" w:rsidRDefault="004772D4" w:rsidP="002D613F">
            <w:pPr>
              <w:spacing w:after="0" w:line="240" w:lineRule="auto"/>
              <w:contextualSpacing/>
              <w:rPr>
                <w:b/>
                <w:bCs/>
                <w:szCs w:val="20"/>
              </w:rPr>
            </w:pPr>
          </w:p>
        </w:tc>
      </w:tr>
      <w:tr w:rsidR="004772D4" w:rsidRPr="0091450A" w14:paraId="000D08B4" w14:textId="77777777" w:rsidTr="001B0479">
        <w:trPr>
          <w:trHeight w:val="1127"/>
        </w:trPr>
        <w:tc>
          <w:tcPr>
            <w:tcW w:w="6204" w:type="dxa"/>
            <w:shd w:val="clear" w:color="auto" w:fill="auto"/>
            <w:vAlign w:val="center"/>
          </w:tcPr>
          <w:p w14:paraId="3163D5FF" w14:textId="77777777" w:rsidR="004772D4" w:rsidRPr="0091450A" w:rsidRDefault="004772D4" w:rsidP="002D613F">
            <w:pPr>
              <w:spacing w:after="0" w:line="240" w:lineRule="auto"/>
              <w:contextualSpacing/>
              <w:rPr>
                <w:b/>
                <w:bCs/>
                <w:szCs w:val="20"/>
              </w:rPr>
            </w:pPr>
            <w:r w:rsidRPr="0091450A">
              <w:rPr>
                <w:b/>
                <w:bCs/>
                <w:szCs w:val="20"/>
              </w:rPr>
              <w:t>SUMMARY</w:t>
            </w:r>
          </w:p>
          <w:p w14:paraId="5E1567BC" w14:textId="0DACCD01" w:rsidR="004772D4" w:rsidRPr="0091450A" w:rsidRDefault="004772D4" w:rsidP="002D613F">
            <w:pPr>
              <w:spacing w:after="0" w:line="240" w:lineRule="auto"/>
              <w:contextualSpacing/>
              <w:rPr>
                <w:b/>
                <w:bCs/>
                <w:szCs w:val="20"/>
              </w:rPr>
            </w:pPr>
            <w:r w:rsidRPr="0091450A">
              <w:rPr>
                <w:b/>
                <w:bCs/>
                <w:szCs w:val="20"/>
              </w:rPr>
              <w:t xml:space="preserve">The median rating </w:t>
            </w:r>
            <w:r w:rsidRPr="0091450A">
              <w:rPr>
                <w:bCs/>
                <w:szCs w:val="20"/>
              </w:rPr>
              <w:t>by experts for COMP1 was</w:t>
            </w:r>
            <w:r w:rsidRPr="0091450A">
              <w:rPr>
                <w:b/>
                <w:bCs/>
                <w:szCs w:val="20"/>
              </w:rPr>
              <w:t xml:space="preserve"> 3 </w:t>
            </w:r>
            <w:r w:rsidRPr="0091450A">
              <w:rPr>
                <w:bCs/>
                <w:szCs w:val="20"/>
              </w:rPr>
              <w:t>in 201</w:t>
            </w:r>
            <w:r w:rsidR="00E37BDC">
              <w:rPr>
                <w:bCs/>
                <w:szCs w:val="20"/>
              </w:rPr>
              <w:t>7</w:t>
            </w:r>
            <w:r w:rsidRPr="0091450A">
              <w:rPr>
                <w:bCs/>
                <w:szCs w:val="20"/>
              </w:rPr>
              <w:t>.</w:t>
            </w:r>
            <w:r w:rsidRPr="0091450A">
              <w:rPr>
                <w:b/>
                <w:bCs/>
                <w:szCs w:val="20"/>
              </w:rPr>
              <w:t xml:space="preserve"> </w:t>
            </w:r>
          </w:p>
          <w:p w14:paraId="763977CD" w14:textId="4B5C8495" w:rsidR="004772D4" w:rsidRPr="0091450A" w:rsidRDefault="001B0479" w:rsidP="002D613F">
            <w:pPr>
              <w:spacing w:after="0" w:line="240" w:lineRule="auto"/>
              <w:contextualSpacing/>
              <w:rPr>
                <w:bCs/>
                <w:szCs w:val="20"/>
              </w:rPr>
            </w:pPr>
            <w:r w:rsidRPr="0091450A">
              <w:rPr>
                <w:bCs/>
                <w:szCs w:val="20"/>
              </w:rPr>
              <w:t xml:space="preserve">There is </w:t>
            </w:r>
            <w:r w:rsidRPr="0091450A">
              <w:rPr>
                <w:b/>
                <w:bCs/>
                <w:szCs w:val="20"/>
              </w:rPr>
              <w:t>new evidence of implementation</w:t>
            </w:r>
            <w:r w:rsidRPr="0091450A">
              <w:rPr>
                <w:bCs/>
                <w:szCs w:val="20"/>
              </w:rPr>
              <w:t xml:space="preserve"> by the New Zealand Government since 201</w:t>
            </w:r>
            <w:r w:rsidR="00B956B1">
              <w:rPr>
                <w:bCs/>
                <w:szCs w:val="20"/>
              </w:rPr>
              <w:t>7</w:t>
            </w:r>
            <w:r w:rsidRPr="0091450A">
              <w:rPr>
                <w:bCs/>
                <w:szCs w:val="20"/>
              </w:rPr>
              <w:t>. The benchmark has not substantially improved since 201</w:t>
            </w:r>
            <w:r w:rsidR="00B956B1">
              <w:rPr>
                <w:bCs/>
                <w:szCs w:val="20"/>
              </w:rPr>
              <w:t>7</w:t>
            </w:r>
            <w:r w:rsidRPr="0091450A">
              <w:rPr>
                <w:bCs/>
                <w:szCs w:val="20"/>
              </w:rPr>
              <w:t>.</w:t>
            </w:r>
          </w:p>
        </w:tc>
        <w:tc>
          <w:tcPr>
            <w:tcW w:w="3402" w:type="dxa"/>
          </w:tcPr>
          <w:p w14:paraId="15B5F1E1" w14:textId="26AEF394" w:rsidR="004772D4" w:rsidRPr="0091450A" w:rsidRDefault="004772D4" w:rsidP="002D613F">
            <w:pPr>
              <w:spacing w:after="0" w:line="240" w:lineRule="auto"/>
              <w:contextualSpacing/>
              <w:rPr>
                <w:b/>
                <w:bCs/>
                <w:szCs w:val="20"/>
              </w:rPr>
            </w:pPr>
            <w:r w:rsidRPr="0091450A">
              <w:rPr>
                <w:b/>
                <w:bCs/>
                <w:i/>
                <w:szCs w:val="20"/>
              </w:rPr>
              <w:t>This is a summary</w:t>
            </w:r>
            <w:r w:rsidR="00E80E48" w:rsidRPr="0091450A">
              <w:rPr>
                <w:b/>
                <w:bCs/>
                <w:i/>
                <w:szCs w:val="20"/>
              </w:rPr>
              <w:t xml:space="preserve"> including the median rating as per the Food-EPI 201</w:t>
            </w:r>
            <w:r w:rsidR="00AE27FF">
              <w:rPr>
                <w:b/>
                <w:bCs/>
                <w:i/>
                <w:szCs w:val="20"/>
              </w:rPr>
              <w:t>7</w:t>
            </w:r>
            <w:r w:rsidR="00E80E48" w:rsidRPr="0091450A">
              <w:rPr>
                <w:b/>
                <w:bCs/>
                <w:i/>
                <w:szCs w:val="20"/>
              </w:rPr>
              <w:t xml:space="preserve">. It also mentions </w:t>
            </w:r>
            <w:r w:rsidR="00234087" w:rsidRPr="0091450A">
              <w:rPr>
                <w:b/>
                <w:bCs/>
                <w:i/>
                <w:szCs w:val="20"/>
              </w:rPr>
              <w:t>whether</w:t>
            </w:r>
            <w:r w:rsidRPr="0091450A">
              <w:rPr>
                <w:b/>
                <w:bCs/>
                <w:i/>
                <w:szCs w:val="20"/>
              </w:rPr>
              <w:t xml:space="preserve"> there is new evidence of implementation and </w:t>
            </w:r>
            <w:r w:rsidR="00234087" w:rsidRPr="0091450A">
              <w:rPr>
                <w:b/>
                <w:bCs/>
                <w:i/>
                <w:szCs w:val="20"/>
              </w:rPr>
              <w:t>whether</w:t>
            </w:r>
            <w:r w:rsidR="00E80E48" w:rsidRPr="0091450A">
              <w:rPr>
                <w:b/>
                <w:bCs/>
                <w:i/>
                <w:szCs w:val="20"/>
              </w:rPr>
              <w:t xml:space="preserve"> </w:t>
            </w:r>
            <w:r w:rsidRPr="0091450A">
              <w:rPr>
                <w:b/>
                <w:bCs/>
                <w:i/>
                <w:szCs w:val="20"/>
              </w:rPr>
              <w:t xml:space="preserve">the international benchmarks have </w:t>
            </w:r>
            <w:r w:rsidR="00E80E48" w:rsidRPr="0091450A">
              <w:rPr>
                <w:b/>
                <w:bCs/>
                <w:i/>
                <w:szCs w:val="20"/>
              </w:rPr>
              <w:t>improved</w:t>
            </w:r>
            <w:r w:rsidRPr="0091450A">
              <w:rPr>
                <w:b/>
                <w:bCs/>
                <w:i/>
                <w:szCs w:val="20"/>
              </w:rPr>
              <w:t xml:space="preserve"> since the Food-EPI 201</w:t>
            </w:r>
            <w:r w:rsidR="00B956B1">
              <w:rPr>
                <w:b/>
                <w:bCs/>
                <w:i/>
                <w:szCs w:val="20"/>
              </w:rPr>
              <w:t>7</w:t>
            </w:r>
            <w:r w:rsidRPr="0091450A">
              <w:rPr>
                <w:b/>
                <w:bCs/>
                <w:i/>
                <w:szCs w:val="20"/>
              </w:rPr>
              <w:t xml:space="preserve">. </w:t>
            </w:r>
          </w:p>
        </w:tc>
      </w:tr>
      <w:tr w:rsidR="004772D4" w:rsidRPr="0091450A" w14:paraId="07F87A02" w14:textId="77777777" w:rsidTr="001B0479">
        <w:trPr>
          <w:trHeight w:val="1300"/>
        </w:trPr>
        <w:tc>
          <w:tcPr>
            <w:tcW w:w="9606" w:type="dxa"/>
            <w:gridSpan w:val="2"/>
            <w:shd w:val="clear" w:color="auto" w:fill="auto"/>
            <w:vAlign w:val="center"/>
          </w:tcPr>
          <w:p w14:paraId="7BD00B00" w14:textId="745B5DB4" w:rsidR="004772D4" w:rsidRPr="0091450A" w:rsidRDefault="004772D4" w:rsidP="002D613F">
            <w:pPr>
              <w:spacing w:after="0" w:line="240" w:lineRule="auto"/>
              <w:contextualSpacing/>
              <w:rPr>
                <w:b/>
                <w:bCs/>
                <w:szCs w:val="20"/>
              </w:rPr>
            </w:pPr>
            <w:r w:rsidRPr="0091450A">
              <w:rPr>
                <w:b/>
                <w:bCs/>
                <w:szCs w:val="20"/>
              </w:rPr>
              <w:t>Please enter your rating on the degree of policy implementation towards international best practice:</w:t>
            </w:r>
          </w:p>
          <w:p w14:paraId="774306F0" w14:textId="123566D2" w:rsidR="004772D4" w:rsidRPr="0091450A" w:rsidRDefault="004772D4" w:rsidP="002D613F">
            <w:pPr>
              <w:spacing w:after="0" w:line="240" w:lineRule="auto"/>
              <w:contextualSpacing/>
              <w:rPr>
                <w:bCs/>
                <w:szCs w:val="20"/>
              </w:rPr>
            </w:pPr>
            <w:r w:rsidRPr="0091450A">
              <w:rPr>
                <w:bCs/>
                <w:szCs w:val="20"/>
              </w:rPr>
              <w:t>1</w:t>
            </w:r>
            <w:r w:rsidR="00234087" w:rsidRPr="0091450A">
              <w:rPr>
                <w:bCs/>
                <w:szCs w:val="20"/>
              </w:rPr>
              <w:t>.</w:t>
            </w:r>
            <w:r w:rsidRPr="0091450A">
              <w:rPr>
                <w:bCs/>
                <w:szCs w:val="20"/>
              </w:rPr>
              <w:t xml:space="preserve">  &lt; 20% implemented</w:t>
            </w:r>
          </w:p>
          <w:p w14:paraId="616E0A44" w14:textId="3210B159" w:rsidR="004772D4" w:rsidRPr="0091450A" w:rsidRDefault="004772D4" w:rsidP="002D613F">
            <w:pPr>
              <w:spacing w:after="0" w:line="240" w:lineRule="auto"/>
              <w:contextualSpacing/>
              <w:rPr>
                <w:bCs/>
                <w:szCs w:val="20"/>
              </w:rPr>
            </w:pPr>
            <w:r w:rsidRPr="0091450A">
              <w:rPr>
                <w:bCs/>
                <w:szCs w:val="20"/>
              </w:rPr>
              <w:t>2</w:t>
            </w:r>
            <w:r w:rsidR="00234087" w:rsidRPr="0091450A">
              <w:rPr>
                <w:bCs/>
                <w:szCs w:val="20"/>
              </w:rPr>
              <w:t>.</w:t>
            </w:r>
            <w:r w:rsidRPr="0091450A">
              <w:rPr>
                <w:bCs/>
                <w:szCs w:val="20"/>
              </w:rPr>
              <w:t xml:space="preserve">  20-40% implemented</w:t>
            </w:r>
          </w:p>
          <w:p w14:paraId="558CADE4" w14:textId="5E6AD1B6" w:rsidR="004772D4" w:rsidRPr="0091450A" w:rsidRDefault="004772D4" w:rsidP="002D613F">
            <w:pPr>
              <w:spacing w:after="0" w:line="240" w:lineRule="auto"/>
              <w:contextualSpacing/>
              <w:rPr>
                <w:bCs/>
                <w:szCs w:val="20"/>
              </w:rPr>
            </w:pPr>
            <w:r w:rsidRPr="0091450A">
              <w:rPr>
                <w:bCs/>
                <w:szCs w:val="20"/>
              </w:rPr>
              <w:t>3</w:t>
            </w:r>
            <w:r w:rsidR="00234087" w:rsidRPr="0091450A">
              <w:rPr>
                <w:bCs/>
                <w:szCs w:val="20"/>
              </w:rPr>
              <w:t>.</w:t>
            </w:r>
            <w:r w:rsidRPr="0091450A">
              <w:rPr>
                <w:bCs/>
                <w:szCs w:val="20"/>
              </w:rPr>
              <w:t xml:space="preserve">  40-60% implemented</w:t>
            </w:r>
          </w:p>
          <w:p w14:paraId="10F7DFD8" w14:textId="1836DDDF" w:rsidR="004772D4" w:rsidRPr="0091450A" w:rsidRDefault="004772D4" w:rsidP="002D613F">
            <w:pPr>
              <w:spacing w:after="0" w:line="240" w:lineRule="auto"/>
              <w:contextualSpacing/>
              <w:rPr>
                <w:bCs/>
                <w:szCs w:val="20"/>
              </w:rPr>
            </w:pPr>
            <w:r w:rsidRPr="0091450A">
              <w:rPr>
                <w:bCs/>
                <w:szCs w:val="20"/>
              </w:rPr>
              <w:t>4</w:t>
            </w:r>
            <w:r w:rsidR="00234087" w:rsidRPr="0091450A">
              <w:rPr>
                <w:bCs/>
                <w:szCs w:val="20"/>
              </w:rPr>
              <w:t>.</w:t>
            </w:r>
            <w:r w:rsidRPr="0091450A">
              <w:rPr>
                <w:bCs/>
                <w:szCs w:val="20"/>
              </w:rPr>
              <w:t xml:space="preserve">  60-80% implemented</w:t>
            </w:r>
          </w:p>
          <w:p w14:paraId="1053170C" w14:textId="6C17CE90" w:rsidR="004772D4" w:rsidRPr="0091450A" w:rsidRDefault="004772D4" w:rsidP="002D613F">
            <w:pPr>
              <w:spacing w:after="0" w:line="240" w:lineRule="auto"/>
              <w:contextualSpacing/>
              <w:rPr>
                <w:bCs/>
                <w:szCs w:val="20"/>
              </w:rPr>
            </w:pPr>
            <w:r w:rsidRPr="0091450A">
              <w:rPr>
                <w:bCs/>
                <w:szCs w:val="20"/>
              </w:rPr>
              <w:t>5</w:t>
            </w:r>
            <w:r w:rsidR="00234087" w:rsidRPr="0091450A">
              <w:rPr>
                <w:bCs/>
                <w:szCs w:val="20"/>
              </w:rPr>
              <w:t>.</w:t>
            </w:r>
            <w:r w:rsidRPr="0091450A">
              <w:rPr>
                <w:bCs/>
                <w:szCs w:val="20"/>
              </w:rPr>
              <w:t xml:space="preserve">  80-100% implemented</w:t>
            </w:r>
          </w:p>
          <w:p w14:paraId="532C77B7" w14:textId="37268DFB" w:rsidR="004772D4" w:rsidRPr="0091450A" w:rsidRDefault="001B0479" w:rsidP="002D613F">
            <w:pPr>
              <w:spacing w:after="0" w:line="240" w:lineRule="auto"/>
              <w:contextualSpacing/>
              <w:rPr>
                <w:bCs/>
                <w:szCs w:val="20"/>
              </w:rPr>
            </w:pPr>
            <w:r w:rsidRPr="0091450A">
              <w:rPr>
                <w:bCs/>
                <w:szCs w:val="20"/>
              </w:rPr>
              <w:t>6</w:t>
            </w:r>
            <w:r w:rsidR="00234087" w:rsidRPr="0091450A">
              <w:rPr>
                <w:bCs/>
                <w:szCs w:val="20"/>
              </w:rPr>
              <w:t>.</w:t>
            </w:r>
            <w:r w:rsidRPr="0091450A">
              <w:rPr>
                <w:bCs/>
                <w:szCs w:val="20"/>
              </w:rPr>
              <w:t xml:space="preserve">  cannot rate</w:t>
            </w:r>
          </w:p>
          <w:p w14:paraId="67C83DD1" w14:textId="555258FB" w:rsidR="001B0479" w:rsidRPr="0091450A" w:rsidRDefault="001B0479" w:rsidP="002D613F">
            <w:pPr>
              <w:spacing w:after="0" w:line="240" w:lineRule="auto"/>
              <w:contextualSpacing/>
              <w:rPr>
                <w:bCs/>
                <w:szCs w:val="20"/>
              </w:rPr>
            </w:pPr>
          </w:p>
        </w:tc>
      </w:tr>
      <w:tr w:rsidR="004772D4" w:rsidRPr="0091450A" w14:paraId="1753626D" w14:textId="77777777" w:rsidTr="001B0479">
        <w:trPr>
          <w:trHeight w:val="841"/>
        </w:trPr>
        <w:tc>
          <w:tcPr>
            <w:tcW w:w="9606" w:type="dxa"/>
            <w:gridSpan w:val="2"/>
            <w:shd w:val="clear" w:color="auto" w:fill="auto"/>
            <w:vAlign w:val="center"/>
          </w:tcPr>
          <w:p w14:paraId="7FEF6BD4" w14:textId="7EE412A1" w:rsidR="004772D4" w:rsidRPr="0091450A" w:rsidRDefault="004772D4" w:rsidP="002D613F">
            <w:pPr>
              <w:spacing w:before="240" w:after="0" w:line="240" w:lineRule="auto"/>
              <w:contextualSpacing/>
              <w:rPr>
                <w:b/>
                <w:bCs/>
                <w:szCs w:val="20"/>
              </w:rPr>
            </w:pPr>
            <w:r w:rsidRPr="0091450A">
              <w:rPr>
                <w:b/>
                <w:bCs/>
                <w:szCs w:val="20"/>
              </w:rPr>
              <w:lastRenderedPageBreak/>
              <w:t xml:space="preserve">COMMENTS      </w:t>
            </w:r>
          </w:p>
          <w:p w14:paraId="2B5CB566" w14:textId="77777777" w:rsidR="00D03EE3" w:rsidRPr="0091450A" w:rsidRDefault="00D03EE3" w:rsidP="002D613F">
            <w:pPr>
              <w:spacing w:after="0" w:line="240" w:lineRule="auto"/>
              <w:contextualSpacing/>
              <w:rPr>
                <w:b/>
                <w:bCs/>
                <w:szCs w:val="20"/>
              </w:rPr>
            </w:pPr>
          </w:p>
          <w:p w14:paraId="29C4BB07" w14:textId="77777777" w:rsidR="00D03EE3" w:rsidRPr="0091450A" w:rsidRDefault="00D03EE3" w:rsidP="002D613F">
            <w:pPr>
              <w:spacing w:after="0" w:line="240" w:lineRule="auto"/>
              <w:contextualSpacing/>
              <w:rPr>
                <w:b/>
                <w:bCs/>
                <w:szCs w:val="20"/>
              </w:rPr>
            </w:pPr>
          </w:p>
          <w:p w14:paraId="0D8FC540" w14:textId="77777777" w:rsidR="00D03EE3" w:rsidRPr="0091450A" w:rsidRDefault="00D03EE3" w:rsidP="002D613F">
            <w:pPr>
              <w:spacing w:after="0" w:line="240" w:lineRule="auto"/>
              <w:contextualSpacing/>
              <w:rPr>
                <w:b/>
                <w:bCs/>
                <w:szCs w:val="20"/>
              </w:rPr>
            </w:pPr>
          </w:p>
          <w:p w14:paraId="0936A1BA" w14:textId="77777777" w:rsidR="00D03EE3" w:rsidRPr="0091450A" w:rsidRDefault="00D03EE3" w:rsidP="002D613F">
            <w:pPr>
              <w:spacing w:after="0" w:line="240" w:lineRule="auto"/>
              <w:contextualSpacing/>
              <w:rPr>
                <w:b/>
                <w:bCs/>
                <w:szCs w:val="20"/>
              </w:rPr>
            </w:pPr>
          </w:p>
          <w:p w14:paraId="2C48C616" w14:textId="77777777" w:rsidR="00D03EE3" w:rsidRPr="0091450A" w:rsidRDefault="00D03EE3" w:rsidP="002D613F">
            <w:pPr>
              <w:spacing w:after="0" w:line="240" w:lineRule="auto"/>
              <w:contextualSpacing/>
              <w:rPr>
                <w:b/>
                <w:bCs/>
                <w:szCs w:val="20"/>
              </w:rPr>
            </w:pPr>
          </w:p>
          <w:p w14:paraId="626D5499" w14:textId="0FE7021D" w:rsidR="00D03EE3" w:rsidRPr="0091450A" w:rsidRDefault="00D03EE3" w:rsidP="002D613F">
            <w:pPr>
              <w:spacing w:after="0" w:line="240" w:lineRule="auto"/>
              <w:contextualSpacing/>
              <w:rPr>
                <w:b/>
                <w:bCs/>
                <w:szCs w:val="20"/>
              </w:rPr>
            </w:pPr>
          </w:p>
        </w:tc>
      </w:tr>
    </w:tbl>
    <w:tbl>
      <w:tblPr>
        <w:tblStyle w:val="TableGrid"/>
        <w:tblW w:w="9242" w:type="dxa"/>
        <w:tblLook w:val="04A0" w:firstRow="1" w:lastRow="0" w:firstColumn="1" w:lastColumn="0" w:noHBand="0" w:noVBand="1"/>
      </w:tblPr>
      <w:tblGrid>
        <w:gridCol w:w="9242"/>
      </w:tblGrid>
      <w:tr w:rsidR="002D6687" w:rsidRPr="0091450A" w14:paraId="694C8ABD" w14:textId="77777777" w:rsidTr="00505C2F">
        <w:tc>
          <w:tcPr>
            <w:tcW w:w="9242" w:type="dxa"/>
            <w:tcBorders>
              <w:bottom w:val="single" w:sz="4" w:space="0" w:color="auto"/>
            </w:tcBorders>
          </w:tcPr>
          <w:p w14:paraId="3BF7DD82" w14:textId="7BC975C5" w:rsidR="002D6687" w:rsidRPr="0091450A" w:rsidRDefault="00F7032F" w:rsidP="002D613F">
            <w:pPr>
              <w:pStyle w:val="Heading1"/>
              <w:spacing w:line="240" w:lineRule="auto"/>
              <w:outlineLvl w:val="0"/>
            </w:pPr>
            <w:r w:rsidRPr="0091450A">
              <w:rPr>
                <w:rFonts w:cs="Times New Roman"/>
                <w:color w:val="244061" w:themeColor="accent1" w:themeShade="80"/>
                <w:szCs w:val="32"/>
              </w:rPr>
              <w:lastRenderedPageBreak/>
              <w:br w:type="page"/>
            </w:r>
            <w:bookmarkStart w:id="7" w:name="_Toc31623706"/>
            <w:r w:rsidR="002D6687" w:rsidRPr="0091450A">
              <w:t>Definitions</w:t>
            </w:r>
            <w:bookmarkEnd w:id="7"/>
          </w:p>
          <w:p w14:paraId="2EF9A6D5" w14:textId="658FC4BF" w:rsidR="002D6687" w:rsidRPr="0091450A" w:rsidRDefault="002D6687" w:rsidP="002D613F">
            <w:pPr>
              <w:spacing w:before="60" w:after="60"/>
            </w:pPr>
            <w:r w:rsidRPr="0091450A">
              <w:rPr>
                <w:b/>
                <w:color w:val="1F497D" w:themeColor="text2"/>
              </w:rPr>
              <w:t>Benchmark</w:t>
            </w:r>
            <w:r w:rsidRPr="0091450A">
              <w:t>: A best practice exemplar or a standard or point of reference</w:t>
            </w:r>
            <w:r w:rsidR="00F632CE" w:rsidRPr="0091450A">
              <w:t>,</w:t>
            </w:r>
            <w:r w:rsidRPr="0091450A">
              <w:t xml:space="preserve"> against which aspects of food environments or polici</w:t>
            </w:r>
            <w:r w:rsidR="00C1388C" w:rsidRPr="0091450A">
              <w:t>es can be assessed and compared</w:t>
            </w:r>
            <w:r w:rsidR="00F632CE" w:rsidRPr="0091450A">
              <w:t>.</w:t>
            </w:r>
          </w:p>
          <w:p w14:paraId="3A8214B8" w14:textId="577BB0AC" w:rsidR="002D6687" w:rsidRPr="0091450A" w:rsidRDefault="002D6687" w:rsidP="002D613F">
            <w:pPr>
              <w:spacing w:before="60" w:after="60"/>
            </w:pPr>
            <w:r w:rsidRPr="0091450A">
              <w:rPr>
                <w:b/>
                <w:color w:val="1F497D" w:themeColor="text2"/>
              </w:rPr>
              <w:t>Civil society</w:t>
            </w:r>
            <w:r w:rsidRPr="0091450A">
              <w:t>: The aggregate of non-governmental organizations, institutions and individuals that manifest interests and will of citizens (academia, professional organizations, public-interest NGOs and citizens)</w:t>
            </w:r>
            <w:r w:rsidR="00F632CE" w:rsidRPr="0091450A">
              <w:t>.</w:t>
            </w:r>
          </w:p>
          <w:p w14:paraId="2B619A6E" w14:textId="3B2BFD61" w:rsidR="002D6687" w:rsidRPr="0091450A" w:rsidRDefault="002D6687" w:rsidP="002D613F">
            <w:pPr>
              <w:spacing w:before="60" w:after="60"/>
            </w:pPr>
            <w:r w:rsidRPr="0091450A">
              <w:rPr>
                <w:b/>
                <w:color w:val="1F497D" w:themeColor="text2"/>
              </w:rPr>
              <w:t>Diet-related non-communicable diseases (NCDs)</w:t>
            </w:r>
            <w:r w:rsidRPr="0091450A">
              <w:t>: Type 2 diabetes, cardiovascular diseases and nutrition-related cancers, excluding micronutrient deficiencies, undernutrition, stunting, osteoporosis, mental health and gastrointestinal diseases</w:t>
            </w:r>
            <w:r w:rsidR="00F632CE" w:rsidRPr="0091450A">
              <w:t>.</w:t>
            </w:r>
          </w:p>
          <w:p w14:paraId="5A6E41A8" w14:textId="47AC1FC9" w:rsidR="002D6687" w:rsidRPr="0091450A" w:rsidRDefault="002D6687" w:rsidP="002D613F">
            <w:pPr>
              <w:spacing w:before="60" w:after="60"/>
            </w:pPr>
            <w:r w:rsidRPr="0091450A">
              <w:rPr>
                <w:b/>
                <w:color w:val="1F497D" w:themeColor="text2"/>
              </w:rPr>
              <w:t>Food environments</w:t>
            </w:r>
            <w:r w:rsidRPr="0091450A">
              <w:t>: The collective physical, economic, policy and socio</w:t>
            </w:r>
            <w:r w:rsidR="00CD2C84" w:rsidRPr="0091450A">
              <w:t>-</w:t>
            </w:r>
            <w:r w:rsidRPr="0091450A">
              <w:t>cultural surroundings, opportunities and conditions that influence people’s food and beverage choices and nutritional status</w:t>
            </w:r>
            <w:r w:rsidR="00F632CE" w:rsidRPr="0091450A">
              <w:t>.</w:t>
            </w:r>
          </w:p>
          <w:p w14:paraId="52D99FC0" w14:textId="4171570F" w:rsidR="002D6687" w:rsidRPr="0091450A" w:rsidRDefault="002D6687" w:rsidP="002D613F">
            <w:pPr>
              <w:spacing w:before="60" w:after="60"/>
            </w:pPr>
            <w:r w:rsidRPr="0091450A">
              <w:rPr>
                <w:b/>
                <w:color w:val="1F497D" w:themeColor="text2"/>
              </w:rPr>
              <w:t>Government</w:t>
            </w:r>
            <w:r w:rsidRPr="0091450A">
              <w:t>: National and local government, including Councils, District Health Boards and Public Health Units</w:t>
            </w:r>
            <w:r w:rsidR="00F632CE" w:rsidRPr="0091450A">
              <w:t>.</w:t>
            </w:r>
          </w:p>
          <w:p w14:paraId="01D25ACD" w14:textId="3425C406" w:rsidR="002D6687" w:rsidRPr="0091450A" w:rsidRDefault="002D6687" w:rsidP="002D613F">
            <w:pPr>
              <w:spacing w:before="60" w:after="60"/>
            </w:pPr>
            <w:r w:rsidRPr="0091450A">
              <w:rPr>
                <w:b/>
                <w:color w:val="1F497D" w:themeColor="text2"/>
              </w:rPr>
              <w:t>Government-funded settings</w:t>
            </w:r>
            <w:r w:rsidRPr="0091450A">
              <w:t>: Government departments and agencies, publicly funded schools, publicly funded early childhood education services, elderly homes, hospitals and prisons</w:t>
            </w:r>
            <w:r w:rsidR="00F632CE" w:rsidRPr="0091450A">
              <w:t>.</w:t>
            </w:r>
          </w:p>
          <w:p w14:paraId="7DF219F9" w14:textId="54C17A0F" w:rsidR="002D6687" w:rsidRPr="0091450A" w:rsidRDefault="002D6687" w:rsidP="002D613F">
            <w:pPr>
              <w:spacing w:before="60" w:after="60"/>
              <w:rPr>
                <w:b/>
              </w:rPr>
            </w:pPr>
            <w:r w:rsidRPr="0091450A">
              <w:rPr>
                <w:b/>
                <w:color w:val="1F497D" w:themeColor="text2"/>
              </w:rPr>
              <w:t>Government implementation:</w:t>
            </w:r>
            <w:r w:rsidRPr="0091450A">
              <w:rPr>
                <w:b/>
              </w:rPr>
              <w:t xml:space="preserve"> </w:t>
            </w:r>
            <w:r w:rsidR="004E2751" w:rsidRPr="0091450A">
              <w:t>R</w:t>
            </w:r>
            <w:r w:rsidRPr="0091450A">
              <w:t>efers to the intentions and plans of the government, government funding for implementation of actions undertaken by non-governmental organisations, and actions and policies implemented by the government.</w:t>
            </w:r>
          </w:p>
          <w:p w14:paraId="4BDB6BCE" w14:textId="27DDF166" w:rsidR="002D6687" w:rsidRPr="0091450A" w:rsidRDefault="002D6687" w:rsidP="002D613F">
            <w:pPr>
              <w:spacing w:before="60" w:after="60"/>
              <w:rPr>
                <w:b/>
              </w:rPr>
            </w:pPr>
            <w:r w:rsidRPr="0091450A">
              <w:rPr>
                <w:b/>
                <w:color w:val="1F497D" w:themeColor="text2"/>
              </w:rPr>
              <w:t>Healthy foods</w:t>
            </w:r>
            <w:r w:rsidRPr="0091450A">
              <w:rPr>
                <w:b/>
              </w:rPr>
              <w:t>:</w:t>
            </w:r>
            <w:r w:rsidRPr="0091450A">
              <w:t xml:space="preserve"> Foods recommended in national food-based</w:t>
            </w:r>
            <w:r w:rsidRPr="0091450A">
              <w:rPr>
                <w:color w:val="1F497D" w:themeColor="text2"/>
              </w:rPr>
              <w:t xml:space="preserve"> </w:t>
            </w:r>
            <w:r w:rsidRPr="0091450A">
              <w:t>dietary guidelines, dietary guidelines or food-based standards</w:t>
            </w:r>
            <w:r w:rsidR="00F632CE" w:rsidRPr="0091450A">
              <w:t>.</w:t>
            </w:r>
          </w:p>
          <w:p w14:paraId="3BC3A277" w14:textId="246D3B5D" w:rsidR="002D6687" w:rsidRPr="0091450A" w:rsidRDefault="002D6687" w:rsidP="002D613F">
            <w:pPr>
              <w:spacing w:before="60" w:after="60"/>
            </w:pPr>
            <w:r w:rsidRPr="0091450A">
              <w:rPr>
                <w:b/>
                <w:color w:val="1F497D" w:themeColor="text2"/>
              </w:rPr>
              <w:t>Healthy food environments</w:t>
            </w:r>
            <w:r w:rsidRPr="0091450A">
              <w:t xml:space="preserve">: </w:t>
            </w:r>
            <w:r w:rsidR="004E2751" w:rsidRPr="0091450A">
              <w:t>Environments</w:t>
            </w:r>
            <w:r w:rsidRPr="0091450A">
              <w:t xml:space="preserve"> in which the foods, beverages and meals that contribute to a </w:t>
            </w:r>
            <w:r w:rsidR="00DF78B0" w:rsidRPr="0091450A">
              <w:t>population diet meeting national dietary guideline</w:t>
            </w:r>
            <w:r w:rsidRPr="0091450A">
              <w:t xml:space="preserve"> are widely available, affordably priced and widely promoted</w:t>
            </w:r>
            <w:r w:rsidR="00F632CE" w:rsidRPr="0091450A">
              <w:t>.</w:t>
            </w:r>
          </w:p>
          <w:p w14:paraId="5B3C86E5" w14:textId="155B5BA1" w:rsidR="002D6687" w:rsidRPr="0091450A" w:rsidRDefault="002D6687" w:rsidP="002D613F">
            <w:pPr>
              <w:spacing w:before="60" w:after="60"/>
            </w:pPr>
            <w:r w:rsidRPr="0091450A">
              <w:rPr>
                <w:b/>
                <w:color w:val="1F497D" w:themeColor="text2"/>
              </w:rPr>
              <w:t>Nutrients of concern</w:t>
            </w:r>
            <w:r w:rsidRPr="0091450A">
              <w:rPr>
                <w:b/>
              </w:rPr>
              <w:t xml:space="preserve">: </w:t>
            </w:r>
            <w:r w:rsidRPr="0091450A">
              <w:t xml:space="preserve">salt, fat, saturated fat, </w:t>
            </w:r>
            <w:r w:rsidRPr="0091450A">
              <w:rPr>
                <w:i/>
              </w:rPr>
              <w:t>trans</w:t>
            </w:r>
            <w:r w:rsidRPr="0091450A">
              <w:t xml:space="preserve"> fat, added sugar</w:t>
            </w:r>
            <w:r w:rsidR="00F632CE" w:rsidRPr="0091450A">
              <w:t>.</w:t>
            </w:r>
          </w:p>
          <w:p w14:paraId="3C0FECF6" w14:textId="04086DCB" w:rsidR="002D6687" w:rsidRPr="0091450A" w:rsidRDefault="002D6687" w:rsidP="002D613F">
            <w:pPr>
              <w:spacing w:before="60" w:after="60"/>
            </w:pPr>
            <w:r w:rsidRPr="0091450A">
              <w:rPr>
                <w:b/>
                <w:color w:val="1F497D" w:themeColor="text2"/>
              </w:rPr>
              <w:t>Platforms</w:t>
            </w:r>
            <w:r w:rsidRPr="0091450A">
              <w:t xml:space="preserve">: </w:t>
            </w:r>
            <w:r w:rsidR="006F7072" w:rsidRPr="0091450A">
              <w:t>Formal government mechanisms (</w:t>
            </w:r>
            <w:r w:rsidR="002060B2" w:rsidRPr="0091450A">
              <w:t>e.g.</w:t>
            </w:r>
            <w:r w:rsidRPr="0091450A">
              <w:t xml:space="preserve"> standing committees, ad hoc committees, advisory groups, task</w:t>
            </w:r>
            <w:r w:rsidR="00847E7B">
              <w:t xml:space="preserve"> </w:t>
            </w:r>
            <w:r w:rsidRPr="0091450A">
              <w:t xml:space="preserve">forces, boards, joint appointments) for interaction on </w:t>
            </w:r>
            <w:r w:rsidR="0091450A" w:rsidRPr="0091450A">
              <w:t>issues</w:t>
            </w:r>
            <w:r w:rsidR="00F632CE" w:rsidRPr="0091450A">
              <w:t>.</w:t>
            </w:r>
          </w:p>
          <w:p w14:paraId="4A02772D" w14:textId="178427F7" w:rsidR="002D6687" w:rsidRPr="0091450A" w:rsidRDefault="002D6687" w:rsidP="002D613F">
            <w:pPr>
              <w:spacing w:before="60" w:after="60"/>
              <w:rPr>
                <w:u w:val="single"/>
              </w:rPr>
            </w:pPr>
            <w:r w:rsidRPr="0091450A">
              <w:rPr>
                <w:b/>
                <w:color w:val="1F497D" w:themeColor="text2"/>
              </w:rPr>
              <w:t>Population nutrition promotion</w:t>
            </w:r>
            <w:r w:rsidRPr="0091450A">
              <w:rPr>
                <w:b/>
              </w:rPr>
              <w:t xml:space="preserve">: </w:t>
            </w:r>
            <w:r w:rsidRPr="0091450A">
              <w:t xml:space="preserve">Population promotion of healthy eating and healthy food environments for the prevention of obesity and </w:t>
            </w:r>
            <w:r w:rsidR="00383E19" w:rsidRPr="00847E7B">
              <w:rPr>
                <w:rFonts w:cs="Times New Roman"/>
              </w:rPr>
              <w:t>diet</w:t>
            </w:r>
            <w:r w:rsidR="00847E7B">
              <w:t>-</w:t>
            </w:r>
            <w:r w:rsidR="00383E19" w:rsidRPr="0091450A">
              <w:t>related</w:t>
            </w:r>
            <w:r w:rsidRPr="0091450A">
              <w:t xml:space="preserve"> NCDs, excluding all one-on-one promotion (primary care, antenatal services, maternal and child nursing services etc.), food safety, micronutrient </w:t>
            </w:r>
            <w:r w:rsidR="006F7072" w:rsidRPr="0091450A">
              <w:t>deficiencies (</w:t>
            </w:r>
            <w:r w:rsidR="002060B2" w:rsidRPr="0091450A">
              <w:t>e.g.</w:t>
            </w:r>
            <w:r w:rsidRPr="0091450A">
              <w:t xml:space="preserve"> folate fortification) and undernutrition</w:t>
            </w:r>
            <w:r w:rsidR="00F632CE" w:rsidRPr="0091450A">
              <w:t>.</w:t>
            </w:r>
          </w:p>
          <w:p w14:paraId="5BA2E312" w14:textId="7F7563E8" w:rsidR="002D6687" w:rsidRPr="0091450A" w:rsidRDefault="002D6687" w:rsidP="002D613F">
            <w:pPr>
              <w:spacing w:before="60" w:after="60"/>
            </w:pPr>
            <w:r w:rsidRPr="0091450A">
              <w:rPr>
                <w:b/>
                <w:color w:val="1F497D" w:themeColor="text2"/>
              </w:rPr>
              <w:t>Unhealthy foods</w:t>
            </w:r>
            <w:r w:rsidRPr="0091450A">
              <w:rPr>
                <w:b/>
              </w:rPr>
              <w:t xml:space="preserve">: </w:t>
            </w:r>
            <w:r w:rsidRPr="0091450A">
              <w:t xml:space="preserve">processed foods or non-alcoholic beverages high in saturated fats, </w:t>
            </w:r>
            <w:r w:rsidRPr="0091450A">
              <w:rPr>
                <w:i/>
              </w:rPr>
              <w:t>trans</w:t>
            </w:r>
            <w:r w:rsidRPr="0091450A">
              <w:t xml:space="preserve"> fats, added sugars, and/or salt</w:t>
            </w:r>
            <w:r w:rsidR="00F632CE" w:rsidRPr="0091450A">
              <w:t>.</w:t>
            </w:r>
          </w:p>
          <w:p w14:paraId="12EE0EB2" w14:textId="77777777" w:rsidR="002D6687" w:rsidRPr="0091450A" w:rsidRDefault="002D6687" w:rsidP="002D613F">
            <w:pPr>
              <w:rPr>
                <w:rFonts w:cs="Times New Roman"/>
                <w:i/>
                <w:color w:val="1F497D" w:themeColor="text2"/>
                <w:sz w:val="24"/>
                <w:szCs w:val="24"/>
                <w:u w:val="single"/>
              </w:rPr>
            </w:pPr>
          </w:p>
          <w:p w14:paraId="68D946BA" w14:textId="77777777" w:rsidR="00383E19" w:rsidRPr="0091450A" w:rsidRDefault="00383E19" w:rsidP="002D613F">
            <w:pPr>
              <w:pStyle w:val="Heading1"/>
              <w:spacing w:before="0" w:line="240" w:lineRule="auto"/>
              <w:outlineLvl w:val="0"/>
            </w:pPr>
          </w:p>
          <w:p w14:paraId="7A086B4A" w14:textId="77777777" w:rsidR="00383E19" w:rsidRPr="0091450A" w:rsidRDefault="00383E19" w:rsidP="002D613F">
            <w:pPr>
              <w:pStyle w:val="Heading1"/>
              <w:spacing w:before="0" w:line="240" w:lineRule="auto"/>
              <w:outlineLvl w:val="0"/>
            </w:pPr>
          </w:p>
          <w:p w14:paraId="62C9FC41" w14:textId="77777777" w:rsidR="00383E19" w:rsidRPr="0091450A" w:rsidRDefault="00383E19" w:rsidP="002D613F">
            <w:pPr>
              <w:pStyle w:val="Heading1"/>
              <w:spacing w:before="0" w:line="240" w:lineRule="auto"/>
              <w:outlineLvl w:val="0"/>
            </w:pPr>
          </w:p>
          <w:p w14:paraId="51B67E62" w14:textId="6B1D2455" w:rsidR="002D6687" w:rsidRPr="0091450A" w:rsidRDefault="002D6687" w:rsidP="002D613F">
            <w:pPr>
              <w:pStyle w:val="Heading1"/>
              <w:spacing w:before="0" w:line="240" w:lineRule="auto"/>
              <w:outlineLvl w:val="0"/>
            </w:pPr>
            <w:bookmarkStart w:id="8" w:name="_Toc31623707"/>
            <w:r w:rsidRPr="0091450A">
              <w:t>Important information</w:t>
            </w:r>
            <w:bookmarkEnd w:id="8"/>
          </w:p>
          <w:p w14:paraId="611B4686" w14:textId="77777777" w:rsidR="002D6687" w:rsidRPr="0091450A" w:rsidRDefault="002D6687" w:rsidP="002D613F">
            <w:r w:rsidRPr="0091450A">
              <w:t>If ‘foods’ are mentioned, it means ‘foods and non-alcoholic beverages’. Alcohol and breastfeeding/infant formulae are excluded from the Food-EPI framework.</w:t>
            </w:r>
          </w:p>
          <w:p w14:paraId="289B791E" w14:textId="77777777" w:rsidR="00265323" w:rsidRPr="0091450A" w:rsidRDefault="00265323" w:rsidP="002D613F"/>
          <w:p w14:paraId="62A079B9" w14:textId="5AC42197" w:rsidR="003D024F" w:rsidRPr="0091450A" w:rsidRDefault="002D6687" w:rsidP="002D613F">
            <w:r w:rsidRPr="0091450A">
              <w:t>The time frame is the last three years (</w:t>
            </w:r>
            <w:r w:rsidR="00C1388C" w:rsidRPr="0091450A">
              <w:t>election cycle</w:t>
            </w:r>
            <w:r w:rsidRPr="0091450A">
              <w:t>), although the monitoring domain needs to take a longer view (5 years)</w:t>
            </w:r>
            <w:r w:rsidR="00265323" w:rsidRPr="0091450A">
              <w:t>.</w:t>
            </w:r>
          </w:p>
          <w:p w14:paraId="31497BE4" w14:textId="3B78F450" w:rsidR="003D024F" w:rsidRPr="0091450A" w:rsidRDefault="003D024F" w:rsidP="002D613F">
            <w:pPr>
              <w:rPr>
                <w:rFonts w:cs="Times New Roman"/>
                <w:sz w:val="24"/>
                <w:szCs w:val="24"/>
              </w:rPr>
            </w:pPr>
          </w:p>
          <w:p w14:paraId="2A4170CA" w14:textId="47144232" w:rsidR="003D024F" w:rsidRPr="0091450A" w:rsidRDefault="003D024F" w:rsidP="002D613F">
            <w:pPr>
              <w:rPr>
                <w:rFonts w:cs="Times New Roman"/>
                <w:sz w:val="24"/>
                <w:szCs w:val="24"/>
              </w:rPr>
            </w:pPr>
          </w:p>
          <w:p w14:paraId="6F3C5B71" w14:textId="77777777" w:rsidR="003D024F" w:rsidRPr="0091450A" w:rsidRDefault="003D024F" w:rsidP="002D613F">
            <w:pPr>
              <w:rPr>
                <w:rFonts w:cs="Times New Roman"/>
                <w:sz w:val="24"/>
                <w:szCs w:val="24"/>
              </w:rPr>
            </w:pPr>
          </w:p>
          <w:p w14:paraId="3FB2372F" w14:textId="77777777" w:rsidR="00BA7133" w:rsidRDefault="00BA7133" w:rsidP="002D613F">
            <w:pPr>
              <w:pStyle w:val="Heading1"/>
              <w:spacing w:line="240" w:lineRule="auto"/>
              <w:outlineLvl w:val="0"/>
            </w:pPr>
            <w:bookmarkStart w:id="9" w:name="_Toc31623708"/>
          </w:p>
          <w:p w14:paraId="039907E2" w14:textId="77777777" w:rsidR="00BA7133" w:rsidRDefault="00BA7133" w:rsidP="002D613F">
            <w:pPr>
              <w:pStyle w:val="Heading1"/>
              <w:spacing w:line="240" w:lineRule="auto"/>
              <w:outlineLvl w:val="0"/>
            </w:pPr>
          </w:p>
          <w:p w14:paraId="5A43429F" w14:textId="32FBDEA4" w:rsidR="002D6687" w:rsidRPr="0091450A" w:rsidRDefault="002D6687" w:rsidP="002D613F">
            <w:pPr>
              <w:pStyle w:val="Heading1"/>
              <w:spacing w:line="240" w:lineRule="auto"/>
              <w:outlineLvl w:val="0"/>
            </w:pPr>
            <w:r w:rsidRPr="0091450A">
              <w:lastRenderedPageBreak/>
              <w:t>Abbreviations</w:t>
            </w:r>
            <w:bookmarkEnd w:id="9"/>
          </w:p>
          <w:p w14:paraId="615FB1CA" w14:textId="09CD8AAC" w:rsidR="002D6687" w:rsidRPr="0091450A" w:rsidRDefault="002D6687" w:rsidP="002D613F">
            <w:pPr>
              <w:rPr>
                <w:i/>
              </w:rPr>
            </w:pPr>
            <w:r w:rsidRPr="0091450A">
              <w:t xml:space="preserve">ASA: Advertising Standards Authority; DHB: District Health Board; ECE Early Childhood Education; ERO Education Review Office; FSANZ: Food Standards Australia New Zealand; GST: Goods and Services Tax; HEHA: Healthy Eating Healthy Action; HPA: Health Promotion Agency; HPS: Health Promoting Schools; HSR: Health Star Rating; INFORMAS: International Network for Food and Obesity/NCDs Research, Monitoring and Action Support; MBIE: Ministry of Business, Innovation and Employment; MoH: Ministry of Health; MPI: Ministry for Primary Industries; NAG: National Administration Guideline; </w:t>
            </w:r>
            <w:r w:rsidR="00D61B3E" w:rsidRPr="0091450A">
              <w:t>NCDs: Non-communicable diseases</w:t>
            </w:r>
            <w:r w:rsidRPr="0091450A">
              <w:t>; NHMRC: National Health and Medical Research Council; NIP: Nutrition Information Panel; NPSC: Nutrient Profiling Scoring Criterion; NZFCD: New Zealand Food Composition Database; SNAP: Supplemental Nutrition Assistance Program; SPEAR: Social Policy Evaluation and Research; SSC: State Services Commission; WIC: Special Supplemental Nutrition Program for Women, Infants, and Children; WHO: World Health Organisation; WTO: World Trade Organization</w:t>
            </w:r>
          </w:p>
          <w:p w14:paraId="2F347F08" w14:textId="77777777" w:rsidR="002D6687" w:rsidRPr="0091450A" w:rsidRDefault="002D6687" w:rsidP="002D613F"/>
          <w:p w14:paraId="0BFA17EC" w14:textId="77777777" w:rsidR="002D6687" w:rsidRPr="0091450A" w:rsidRDefault="002D6687" w:rsidP="002D613F">
            <w:pPr>
              <w:pStyle w:val="Heading1"/>
              <w:spacing w:line="240" w:lineRule="auto"/>
              <w:outlineLvl w:val="0"/>
            </w:pPr>
            <w:bookmarkStart w:id="10" w:name="_Toc31623709"/>
            <w:r w:rsidRPr="0091450A">
              <w:t>Acknowledgements</w:t>
            </w:r>
            <w:bookmarkEnd w:id="10"/>
          </w:p>
          <w:p w14:paraId="2CB6D37F" w14:textId="77777777" w:rsidR="002D6687" w:rsidRPr="0091450A" w:rsidRDefault="002D6687" w:rsidP="002D613F">
            <w:r w:rsidRPr="0091450A">
              <w:t>We would like to thank government officials who spent time answering queries and official information requests, and who checked completeness and accuracy of the evidence as presented in this document</w:t>
            </w:r>
            <w:r w:rsidR="00DB103E" w:rsidRPr="0091450A">
              <w:t>.</w:t>
            </w:r>
          </w:p>
          <w:p w14:paraId="7CDC8693" w14:textId="77777777" w:rsidR="00CC0EA5" w:rsidRPr="0091450A" w:rsidRDefault="00CC0EA5" w:rsidP="002D613F"/>
          <w:p w14:paraId="42B6D9AC" w14:textId="1B2522AD" w:rsidR="00CC0EA5" w:rsidRPr="0091450A" w:rsidRDefault="001F5A58" w:rsidP="002D613F">
            <w:pPr>
              <w:pStyle w:val="Heading1"/>
              <w:spacing w:line="240" w:lineRule="auto"/>
              <w:outlineLvl w:val="0"/>
            </w:pPr>
            <w:bookmarkStart w:id="11" w:name="_Toc31623710"/>
            <w:r w:rsidRPr="0091450A">
              <w:t>Authors</w:t>
            </w:r>
            <w:bookmarkEnd w:id="11"/>
          </w:p>
          <w:p w14:paraId="57BDED4D" w14:textId="13EBE3D2" w:rsidR="003D024F" w:rsidRPr="0091450A" w:rsidRDefault="001F5A58" w:rsidP="002D613F">
            <w:pPr>
              <w:rPr>
                <w:rFonts w:cs="Times New Roman"/>
              </w:rPr>
            </w:pPr>
            <w:r w:rsidRPr="0091450A">
              <w:t xml:space="preserve">This document was written </w:t>
            </w:r>
            <w:r w:rsidR="0078796B" w:rsidRPr="0091450A">
              <w:rPr>
                <w:rFonts w:cs="Times New Roman"/>
                <w:sz w:val="22"/>
              </w:rPr>
              <w:t xml:space="preserve">by </w:t>
            </w:r>
            <w:r w:rsidR="000B4DB8" w:rsidRPr="0091450A">
              <w:t>Emily Brownie</w:t>
            </w:r>
            <w:r w:rsidRPr="0091450A">
              <w:t xml:space="preserve">, with input from </w:t>
            </w:r>
            <w:r w:rsidR="00B25D44" w:rsidRPr="0091450A">
              <w:t xml:space="preserve">Dr </w:t>
            </w:r>
            <w:r w:rsidR="000B4DB8" w:rsidRPr="0091450A">
              <w:rPr>
                <w:rFonts w:cs="Times New Roman"/>
              </w:rPr>
              <w:t>Sally</w:t>
            </w:r>
            <w:r w:rsidR="000B4DB8" w:rsidRPr="0091450A">
              <w:t xml:space="preserve"> Mackay</w:t>
            </w:r>
            <w:r w:rsidR="00B25D44" w:rsidRPr="0091450A">
              <w:t>, Fiona Sing</w:t>
            </w:r>
            <w:r w:rsidR="000B4DB8" w:rsidRPr="0091450A">
              <w:t xml:space="preserve"> and </w:t>
            </w:r>
            <w:r w:rsidR="00B25D44" w:rsidRPr="0091450A">
              <w:t xml:space="preserve">Dr </w:t>
            </w:r>
            <w:r w:rsidR="000B4DB8" w:rsidRPr="0091450A">
              <w:t>Sarah Gerritsen</w:t>
            </w:r>
            <w:r w:rsidR="0078796B" w:rsidRPr="0091450A">
              <w:t>.</w:t>
            </w:r>
          </w:p>
          <w:p w14:paraId="3900A87D" w14:textId="00A5DCB6" w:rsidR="00156C98" w:rsidRPr="0091450A" w:rsidRDefault="00156C98" w:rsidP="002D613F">
            <w:pPr>
              <w:rPr>
                <w:rFonts w:eastAsia="Times New Roman" w:cs="Times New Roman"/>
                <w:szCs w:val="20"/>
                <w:lang w:eastAsia="en-NZ"/>
              </w:rPr>
            </w:pPr>
          </w:p>
        </w:tc>
      </w:tr>
    </w:tbl>
    <w:p w14:paraId="7F6A8967" w14:textId="77777777" w:rsidR="00462C5C" w:rsidRPr="0091450A" w:rsidRDefault="00462C5C" w:rsidP="002D613F">
      <w:pPr>
        <w:shd w:val="clear" w:color="auto" w:fill="FFFFFF" w:themeFill="background1"/>
        <w:spacing w:line="240" w:lineRule="auto"/>
        <w:contextualSpacing/>
        <w:rPr>
          <w:rFonts w:cs="Times New Roman"/>
          <w:b/>
          <w:color w:val="1F497D" w:themeColor="text2"/>
          <w:sz w:val="28"/>
          <w:szCs w:val="28"/>
        </w:rPr>
      </w:pPr>
    </w:p>
    <w:p w14:paraId="2DE07807" w14:textId="77777777" w:rsidR="00462C5C" w:rsidRPr="0091450A" w:rsidRDefault="00462C5C" w:rsidP="002D613F">
      <w:pPr>
        <w:shd w:val="clear" w:color="auto" w:fill="FFFFFF" w:themeFill="background1"/>
        <w:spacing w:line="240" w:lineRule="auto"/>
        <w:contextualSpacing/>
        <w:rPr>
          <w:rFonts w:cs="Times New Roman"/>
          <w:b/>
          <w:color w:val="1F497D" w:themeColor="text2"/>
          <w:sz w:val="28"/>
          <w:szCs w:val="28"/>
        </w:rPr>
      </w:pPr>
    </w:p>
    <w:p w14:paraId="755195E4" w14:textId="77777777" w:rsidR="00432F7A" w:rsidRPr="0091450A" w:rsidRDefault="00432F7A" w:rsidP="002D613F">
      <w:pPr>
        <w:spacing w:line="240" w:lineRule="auto"/>
        <w:rPr>
          <w:rFonts w:cs="Times New Roman"/>
          <w:b/>
          <w:color w:val="1F497D" w:themeColor="text2"/>
          <w:sz w:val="28"/>
          <w:szCs w:val="28"/>
        </w:rPr>
      </w:pPr>
      <w:r w:rsidRPr="0091450A">
        <w:rPr>
          <w:rFonts w:cs="Times New Roman"/>
          <w:b/>
          <w:color w:val="1F497D" w:themeColor="text2"/>
          <w:sz w:val="28"/>
          <w:szCs w:val="28"/>
        </w:rPr>
        <w:br w:type="page"/>
      </w:r>
    </w:p>
    <w:p w14:paraId="547188B4" w14:textId="7F805E1B" w:rsidR="006E24F0" w:rsidRPr="0091450A" w:rsidRDefault="00361A83" w:rsidP="002D613F">
      <w:pPr>
        <w:pStyle w:val="Heading1"/>
        <w:spacing w:before="0" w:line="240" w:lineRule="auto"/>
      </w:pPr>
      <w:bookmarkStart w:id="12" w:name="_Toc31623711"/>
      <w:r w:rsidRPr="0091450A">
        <w:lastRenderedPageBreak/>
        <w:t>EVIDENCE SUMMARY</w:t>
      </w:r>
      <w:bookmarkEnd w:id="12"/>
    </w:p>
    <w:p w14:paraId="7AA723FF" w14:textId="77777777" w:rsidR="00E74782" w:rsidRPr="0091450A" w:rsidRDefault="00E74782" w:rsidP="002D613F">
      <w:pPr>
        <w:spacing w:after="0" w:line="240" w:lineRule="auto"/>
      </w:pPr>
    </w:p>
    <w:p w14:paraId="4150F33F" w14:textId="1DC6186C" w:rsidR="002406C7" w:rsidRPr="0091450A" w:rsidRDefault="002060B2" w:rsidP="002D613F">
      <w:pPr>
        <w:pStyle w:val="Heading1"/>
        <w:spacing w:before="0" w:line="240" w:lineRule="auto"/>
      </w:pPr>
      <w:bookmarkStart w:id="13" w:name="_Toc31623712"/>
      <w:r w:rsidRPr="0091450A">
        <w:t xml:space="preserve">Healthy </w:t>
      </w:r>
      <w:r w:rsidR="00156C98" w:rsidRPr="0091450A">
        <w:t xml:space="preserve">Food </w:t>
      </w:r>
      <w:r w:rsidRPr="0091450A">
        <w:t>Environment</w:t>
      </w:r>
      <w:r w:rsidR="00156C98" w:rsidRPr="0091450A">
        <w:t xml:space="preserve"> Policy Index: </w:t>
      </w:r>
      <w:r w:rsidR="0054788E" w:rsidRPr="0091450A">
        <w:t>POLICY domains</w:t>
      </w:r>
      <w:bookmarkEnd w:id="13"/>
      <w:r w:rsidR="000F0084" w:rsidRPr="0091450A">
        <w:t xml:space="preserve"> </w:t>
      </w:r>
    </w:p>
    <w:p w14:paraId="3F57F5EB" w14:textId="77777777" w:rsidR="00156C98" w:rsidRPr="0091450A" w:rsidRDefault="00156C98" w:rsidP="002D613F">
      <w:pPr>
        <w:spacing w:after="0" w:line="240" w:lineRule="auto"/>
      </w:pPr>
    </w:p>
    <w:tbl>
      <w:tblPr>
        <w:tblStyle w:val="TableGrid"/>
        <w:tblW w:w="5000" w:type="pct"/>
        <w:tblLook w:val="04A0" w:firstRow="1" w:lastRow="0" w:firstColumn="1" w:lastColumn="0" w:noHBand="0" w:noVBand="1"/>
      </w:tblPr>
      <w:tblGrid>
        <w:gridCol w:w="9016"/>
      </w:tblGrid>
      <w:tr w:rsidR="00107E6B" w:rsidRPr="0091450A" w14:paraId="03785F16" w14:textId="77777777" w:rsidTr="000D3CD6">
        <w:tc>
          <w:tcPr>
            <w:tcW w:w="5000" w:type="pct"/>
            <w:tcBorders>
              <w:top w:val="single" w:sz="4" w:space="0" w:color="auto"/>
              <w:left w:val="single" w:sz="4" w:space="0" w:color="auto"/>
              <w:bottom w:val="single" w:sz="4" w:space="0" w:color="auto"/>
              <w:right w:val="single" w:sz="4" w:space="0" w:color="auto"/>
            </w:tcBorders>
          </w:tcPr>
          <w:p w14:paraId="38969253" w14:textId="51C564F2" w:rsidR="00107E6B" w:rsidRPr="0091450A" w:rsidRDefault="00107E6B" w:rsidP="002D613F">
            <w:pPr>
              <w:rPr>
                <w:b/>
              </w:rPr>
            </w:pPr>
            <w:bookmarkStart w:id="14" w:name="_Toc31623713"/>
            <w:r w:rsidRPr="0091450A">
              <w:rPr>
                <w:rStyle w:val="Heading2Char"/>
              </w:rPr>
              <w:t>1 FOOD COMPOSITION</w:t>
            </w:r>
            <w:bookmarkEnd w:id="14"/>
            <w:r w:rsidRPr="0091450A">
              <w:t>: T</w:t>
            </w:r>
            <w:r w:rsidRPr="0091450A">
              <w:rPr>
                <w:rFonts w:eastAsia="Times New Roman" w:cs="Times New Roman"/>
                <w:bCs/>
                <w:szCs w:val="20"/>
                <w:lang w:eastAsia="en-NZ"/>
              </w:rPr>
              <w:t>here are government systems implemented to ensure that, where practicable, processed foods minimise the energy density and the nutrients of concern (salt, fat, saturated</w:t>
            </w:r>
            <w:r w:rsidR="00357D59" w:rsidRPr="0091450A">
              <w:rPr>
                <w:rFonts w:eastAsia="Times New Roman" w:cs="Times New Roman"/>
                <w:bCs/>
                <w:szCs w:val="20"/>
                <w:lang w:eastAsia="en-NZ"/>
              </w:rPr>
              <w:t xml:space="preserve"> </w:t>
            </w:r>
            <w:r w:rsidRPr="0091450A">
              <w:rPr>
                <w:rFonts w:eastAsia="Times New Roman" w:cs="Times New Roman"/>
                <w:bCs/>
                <w:szCs w:val="20"/>
                <w:lang w:eastAsia="en-NZ"/>
              </w:rPr>
              <w:t xml:space="preserve">fat, </w:t>
            </w:r>
            <w:r w:rsidRPr="0091450A">
              <w:rPr>
                <w:rFonts w:eastAsia="Times New Roman" w:cs="Times New Roman"/>
                <w:bCs/>
                <w:i/>
                <w:szCs w:val="20"/>
                <w:lang w:eastAsia="en-NZ"/>
              </w:rPr>
              <w:t>trans</w:t>
            </w:r>
            <w:r w:rsidRPr="0091450A">
              <w:rPr>
                <w:rFonts w:eastAsia="Times New Roman" w:cs="Times New Roman"/>
                <w:bCs/>
                <w:szCs w:val="20"/>
                <w:lang w:eastAsia="en-NZ"/>
              </w:rPr>
              <w:t xml:space="preserve"> fat, added sugar).</w:t>
            </w:r>
          </w:p>
        </w:tc>
      </w:tr>
      <w:tr w:rsidR="00107E6B" w:rsidRPr="0091450A" w14:paraId="3F99E8D1" w14:textId="77777777" w:rsidTr="000D3CD6">
        <w:tc>
          <w:tcPr>
            <w:tcW w:w="5000" w:type="pct"/>
            <w:tcBorders>
              <w:top w:val="single" w:sz="4" w:space="0" w:color="auto"/>
              <w:left w:val="single" w:sz="4" w:space="0" w:color="auto"/>
              <w:bottom w:val="single" w:sz="4" w:space="0" w:color="auto"/>
              <w:right w:val="single" w:sz="4" w:space="0" w:color="auto"/>
            </w:tcBorders>
          </w:tcPr>
          <w:p w14:paraId="71B1731C" w14:textId="7D743C0B" w:rsidR="00107E6B" w:rsidRPr="0091450A" w:rsidRDefault="00107E6B" w:rsidP="002D613F">
            <w:pPr>
              <w:rPr>
                <w:b/>
              </w:rPr>
            </w:pPr>
            <w:bookmarkStart w:id="15" w:name="_Toc31623714"/>
            <w:r w:rsidRPr="0091450A">
              <w:rPr>
                <w:rStyle w:val="Heading3Char"/>
              </w:rPr>
              <w:t>COMP 1</w:t>
            </w:r>
            <w:bookmarkEnd w:id="15"/>
            <w:r w:rsidRPr="0091450A">
              <w:rPr>
                <w:rFonts w:cs="Times New Roman"/>
                <w:b/>
                <w:color w:val="1F497D" w:themeColor="text2"/>
                <w:sz w:val="28"/>
                <w:szCs w:val="28"/>
              </w:rPr>
              <w:t xml:space="preserve">: </w:t>
            </w:r>
            <w:r w:rsidRPr="0091450A">
              <w:rPr>
                <w:rFonts w:cs="Times New Roman"/>
                <w:b/>
                <w:color w:val="000000"/>
                <w:szCs w:val="20"/>
                <w:lang w:eastAsia="en-NZ"/>
              </w:rPr>
              <w:t xml:space="preserve">Food composition targets/standards have been established </w:t>
            </w:r>
            <w:r w:rsidRPr="0091450A">
              <w:rPr>
                <w:rFonts w:cs="Times New Roman"/>
                <w:b/>
                <w:szCs w:val="20"/>
                <w:lang w:eastAsia="en-NZ"/>
              </w:rPr>
              <w:t>for processed foods</w:t>
            </w:r>
            <w:r w:rsidRPr="0091450A">
              <w:rPr>
                <w:rFonts w:cs="Times New Roman"/>
                <w:b/>
                <w:color w:val="000000"/>
                <w:szCs w:val="20"/>
                <w:lang w:eastAsia="en-NZ"/>
              </w:rPr>
              <w:t xml:space="preserve"> by the government for the content of the nutrients of concern in certain foods or food groups if they are major contributors to population intakes of these nutrients of concern (</w:t>
            </w:r>
            <w:r w:rsidRPr="0091450A">
              <w:rPr>
                <w:rFonts w:cs="Times New Roman"/>
                <w:b/>
                <w:i/>
                <w:color w:val="000000"/>
                <w:szCs w:val="20"/>
                <w:lang w:eastAsia="en-NZ"/>
              </w:rPr>
              <w:t xml:space="preserve">trans </w:t>
            </w:r>
            <w:r w:rsidRPr="0091450A">
              <w:rPr>
                <w:rFonts w:cs="Times New Roman"/>
                <w:b/>
                <w:color w:val="000000"/>
                <w:szCs w:val="20"/>
                <w:lang w:eastAsia="en-NZ"/>
              </w:rPr>
              <w:t>fats and added sugars in processed foods, salt in bread, saturated fat in commercial frying fats).</w:t>
            </w:r>
          </w:p>
        </w:tc>
      </w:tr>
      <w:tr w:rsidR="00107E6B" w:rsidRPr="0091450A" w14:paraId="6526F827" w14:textId="77777777" w:rsidTr="001340C0">
        <w:tc>
          <w:tcPr>
            <w:tcW w:w="5000" w:type="pct"/>
            <w:tcBorders>
              <w:top w:val="single" w:sz="4" w:space="0" w:color="auto"/>
              <w:left w:val="single" w:sz="4" w:space="0" w:color="auto"/>
              <w:bottom w:val="single" w:sz="4" w:space="0" w:color="auto"/>
              <w:right w:val="single" w:sz="4" w:space="0" w:color="auto"/>
            </w:tcBorders>
            <w:vAlign w:val="center"/>
          </w:tcPr>
          <w:p w14:paraId="6F307EB5" w14:textId="77777777" w:rsidR="00107E6B" w:rsidRPr="0091450A" w:rsidRDefault="00107E6B" w:rsidP="002D613F">
            <w:pPr>
              <w:spacing w:before="40" w:after="40"/>
              <w:jc w:val="both"/>
              <w:rPr>
                <w:rFonts w:cs="Times New Roman"/>
                <w:b/>
                <w:color w:val="1F497D" w:themeColor="text2"/>
                <w:sz w:val="28"/>
                <w:szCs w:val="28"/>
              </w:rPr>
            </w:pPr>
            <w:r w:rsidRPr="0091450A">
              <w:rPr>
                <w:rFonts w:cs="Times New Roman"/>
                <w:b/>
                <w:color w:val="1F497D" w:themeColor="text2"/>
                <w:sz w:val="28"/>
                <w:szCs w:val="28"/>
              </w:rPr>
              <w:t xml:space="preserve">Evidence of implementation </w:t>
            </w:r>
          </w:p>
          <w:p w14:paraId="3279EAC1" w14:textId="77777777" w:rsidR="00107E6B" w:rsidRPr="0091450A" w:rsidRDefault="00107E6B" w:rsidP="002D613F">
            <w:pPr>
              <w:pStyle w:val="ListParagraph"/>
              <w:numPr>
                <w:ilvl w:val="0"/>
                <w:numId w:val="41"/>
              </w:numPr>
              <w:spacing w:before="40" w:after="40"/>
              <w:contextualSpacing w:val="0"/>
              <w:rPr>
                <w:rFonts w:cs="Times New Roman"/>
                <w:szCs w:val="20"/>
                <w:lang w:eastAsia="en-NZ"/>
              </w:rPr>
            </w:pPr>
            <w:r w:rsidRPr="0091450A">
              <w:rPr>
                <w:rFonts w:cs="Times New Roman"/>
                <w:szCs w:val="20"/>
                <w:lang w:eastAsia="en-NZ"/>
              </w:rPr>
              <w:t xml:space="preserve">There are no food composition targets specified by the Ministry of Health (MoH) or the Ministry for Primary Industries (MPI) for the nutrients of concern. </w:t>
            </w:r>
          </w:p>
          <w:p w14:paraId="0A2FB17A" w14:textId="69D417B9" w:rsidR="00107E6B" w:rsidRPr="0091450A" w:rsidRDefault="00107E6B" w:rsidP="002D613F">
            <w:pPr>
              <w:pStyle w:val="ListParagraph"/>
              <w:numPr>
                <w:ilvl w:val="0"/>
                <w:numId w:val="41"/>
              </w:numPr>
              <w:spacing w:before="40" w:after="40"/>
              <w:contextualSpacing w:val="0"/>
              <w:rPr>
                <w:rFonts w:cs="Times New Roman"/>
                <w:szCs w:val="20"/>
                <w:lang w:eastAsia="en-NZ"/>
              </w:rPr>
            </w:pPr>
            <w:r w:rsidRPr="0091450A">
              <w:rPr>
                <w:rFonts w:cs="Times New Roman"/>
                <w:szCs w:val="20"/>
                <w:lang w:eastAsia="en-NZ"/>
              </w:rPr>
              <w:t xml:space="preserve">As part of the </w:t>
            </w:r>
            <w:r w:rsidR="00B25D44" w:rsidRPr="0091450A">
              <w:rPr>
                <w:rFonts w:cs="Times New Roman"/>
                <w:szCs w:val="20"/>
                <w:lang w:eastAsia="en-NZ"/>
              </w:rPr>
              <w:t xml:space="preserve">2016 </w:t>
            </w:r>
            <w:r w:rsidRPr="0091450A">
              <w:rPr>
                <w:rFonts w:cs="Times New Roman"/>
                <w:szCs w:val="20"/>
                <w:lang w:eastAsia="en-NZ"/>
              </w:rPr>
              <w:t xml:space="preserve">Healthy Kids Industry Pledge, companies have set </w:t>
            </w:r>
            <w:r w:rsidR="00F732A2" w:rsidRPr="0091450A">
              <w:rPr>
                <w:rFonts w:cs="Times New Roman"/>
                <w:szCs w:val="20"/>
                <w:lang w:eastAsia="en-NZ"/>
              </w:rPr>
              <w:t>reformation</w:t>
            </w:r>
            <w:r w:rsidRPr="0091450A">
              <w:rPr>
                <w:rFonts w:cs="Times New Roman"/>
                <w:szCs w:val="20"/>
                <w:lang w:eastAsia="en-NZ"/>
              </w:rPr>
              <w:t xml:space="preserve"> targets. Nestlé products for children meet Nestlé Nutritional Foundation criteria. Nestlé pledged to reduce salt, sugar and saturated fat by 10% in products that do not meet the criteria, including 2 Minute Noodles </w:t>
            </w:r>
            <w:r w:rsidR="00DC5476" w:rsidRPr="0091450A">
              <w:rPr>
                <w:rFonts w:cs="Times New Roman"/>
                <w:szCs w:val="20"/>
                <w:lang w:eastAsia="en-NZ"/>
              </w:rPr>
              <w:fldChar w:fldCharType="begin" w:fldLock="1"/>
            </w:r>
            <w:r w:rsidR="00AD08A5" w:rsidRPr="0091450A">
              <w:rPr>
                <w:rFonts w:cs="Times New Roman"/>
                <w:szCs w:val="20"/>
                <w:lang w:eastAsia="en-NZ"/>
              </w:rPr>
              <w:instrText>ADDIN CSL_CITATION {"citationItems":[{"id":"ITEM-1","itemData":{"URL":"https://www.nestle.co.nz/csv/nutrition/Supporting-a-Healthy-Future","author":[{"dropping-particle":"","family":"Nestle","given":"","non-dropping-particle":"","parse-names":false,"suffix":""}],"id":"ITEM-1","issue":"18/12/2016","issued":{"date-parts":[["0"]]},"title":"Supporting a healthy future","type":"webpage"},"uris":["http://www.mendeley.com/documents/?uuid=985aa3ef-1ec5-3a5b-9dc1-f6d6d64826ee","http://www.mendeley.com/documents/?uuid=d5a05f64-f9c3-4b64-856e-ee8fa5dd2c47"]}],"mendeley":{"formattedCitation":"(1)","plainTextFormattedCitation":"(1)","previouslyFormattedCitation":"(1)"},"properties":{"noteIndex":0},"schema":"https://github.com/citation-style-language/schema/raw/master/csl-citation.json"}</w:instrText>
            </w:r>
            <w:r w:rsidR="00DC5476" w:rsidRPr="0091450A">
              <w:rPr>
                <w:rFonts w:cs="Times New Roman"/>
                <w:szCs w:val="20"/>
                <w:lang w:eastAsia="en-NZ"/>
              </w:rPr>
              <w:fldChar w:fldCharType="separate"/>
            </w:r>
            <w:r w:rsidR="00DC5476" w:rsidRPr="0091450A">
              <w:rPr>
                <w:rFonts w:cs="Times New Roman"/>
                <w:noProof/>
                <w:szCs w:val="20"/>
                <w:lang w:eastAsia="en-NZ"/>
              </w:rPr>
              <w:t>(1)</w:t>
            </w:r>
            <w:r w:rsidR="00DC5476" w:rsidRPr="0091450A">
              <w:rPr>
                <w:rFonts w:cs="Times New Roman"/>
                <w:szCs w:val="20"/>
                <w:lang w:eastAsia="en-NZ"/>
              </w:rPr>
              <w:fldChar w:fldCharType="end"/>
            </w:r>
            <w:r w:rsidRPr="0091450A">
              <w:rPr>
                <w:rFonts w:cs="Times New Roman"/>
                <w:szCs w:val="20"/>
                <w:lang w:eastAsia="en-NZ"/>
              </w:rPr>
              <w:t xml:space="preserve">. Children’s cereals were reformulated to reduce sugar to 9g or less per serving. Fonterra </w:t>
            </w:r>
            <w:r w:rsidR="00BA7133">
              <w:rPr>
                <w:rFonts w:cs="Times New Roman"/>
                <w:szCs w:val="20"/>
                <w:lang w:eastAsia="en-NZ"/>
              </w:rPr>
              <w:t>is</w:t>
            </w:r>
            <w:r w:rsidRPr="0091450A">
              <w:rPr>
                <w:rFonts w:cs="Times New Roman"/>
                <w:szCs w:val="20"/>
                <w:lang w:eastAsia="en-NZ"/>
              </w:rPr>
              <w:t xml:space="preserve"> moving everyday products for children towards minimum </w:t>
            </w:r>
            <w:r w:rsidRPr="0091450A">
              <w:rPr>
                <w:szCs w:val="20"/>
              </w:rPr>
              <w:t xml:space="preserve">quantities of added sugars, refined carbohydrates, added fats and salt </w:t>
            </w:r>
            <w:r w:rsidR="00C90D2B" w:rsidRPr="0091450A">
              <w:rPr>
                <w:szCs w:val="20"/>
              </w:rPr>
              <w:t xml:space="preserve">along with Health Star Ratings on all </w:t>
            </w:r>
            <w:r w:rsidR="00063044" w:rsidRPr="0091450A">
              <w:rPr>
                <w:szCs w:val="20"/>
              </w:rPr>
              <w:t xml:space="preserve">everyday products </w:t>
            </w:r>
            <w:r w:rsidR="00FF07DA" w:rsidRPr="0091450A">
              <w:rPr>
                <w:szCs w:val="20"/>
              </w:rPr>
              <w:fldChar w:fldCharType="begin" w:fldLock="1"/>
            </w:r>
            <w:r w:rsidR="00AD08A5" w:rsidRPr="0091450A">
              <w:rPr>
                <w:szCs w:val="20"/>
              </w:rPr>
              <w:instrText>ADDIN CSL_CITATION {"citationItems":[{"id":"ITEM-1","itemData":{"URL":"https://www.fonterra.com/nz/en/what-we-stand-for/nutrition/healthy-kids-pledge.html","accessed":{"date-parts":[["2020","1","15"]]},"author":[{"dropping-particle":"","family":"Fonterra","given":"","non-dropping-particle":"","parse-names":false,"suffix":""}],"id":"ITEM-1","issued":{"date-parts":[["2018"]]},"title":"Healthy Kids Pledge | Fonterra Co-operative Group","type":"webpage"},"uris":["http://www.mendeley.com/documents/?uuid=d33036c3-afe4-34c8-8d50-43e5f5eaf663","http://www.mendeley.com/documents/?uuid=3b2a69eb-47b1-4133-b233-3d3894929fa0"]}],"mendeley":{"formattedCitation":"(2)","plainTextFormattedCitation":"(2)","previouslyFormattedCitation":"(2)"},"properties":{"noteIndex":0},"schema":"https://github.com/citation-style-language/schema/raw/master/csl-citation.json"}</w:instrText>
            </w:r>
            <w:r w:rsidR="00FF07DA" w:rsidRPr="0091450A">
              <w:rPr>
                <w:szCs w:val="20"/>
              </w:rPr>
              <w:fldChar w:fldCharType="separate"/>
            </w:r>
            <w:r w:rsidR="00FF07DA" w:rsidRPr="0091450A">
              <w:rPr>
                <w:noProof/>
                <w:szCs w:val="20"/>
              </w:rPr>
              <w:t>(2)</w:t>
            </w:r>
            <w:r w:rsidR="00FF07DA" w:rsidRPr="0091450A">
              <w:rPr>
                <w:szCs w:val="20"/>
              </w:rPr>
              <w:fldChar w:fldCharType="end"/>
            </w:r>
            <w:r w:rsidR="00B30EB9" w:rsidRPr="0091450A">
              <w:rPr>
                <w:szCs w:val="20"/>
              </w:rPr>
              <w:t>.</w:t>
            </w:r>
            <w:r w:rsidRPr="0091450A">
              <w:rPr>
                <w:szCs w:val="20"/>
              </w:rPr>
              <w:t xml:space="preserve"> Retail NZ pledged, where possible, to reformulate </w:t>
            </w:r>
            <w:r w:rsidRPr="0091450A">
              <w:rPr>
                <w:color w:val="262626"/>
              </w:rPr>
              <w:t xml:space="preserve">private label products to improve nutritional value and to support and encourage the reformulation of supplier products </w:t>
            </w:r>
            <w:r w:rsidR="00D74B6E" w:rsidRPr="0091450A">
              <w:rPr>
                <w:rFonts w:cs="DIN-Regular"/>
                <w:color w:val="262626"/>
                <w:szCs w:val="20"/>
              </w:rPr>
              <w:fldChar w:fldCharType="begin" w:fldLock="1"/>
            </w:r>
            <w:r w:rsidR="00AD08A5" w:rsidRPr="0091450A">
              <w:rPr>
                <w:rFonts w:cs="DIN-Regular"/>
                <w:color w:val="262626"/>
                <w:szCs w:val="20"/>
              </w:rPr>
              <w:instrText>ADDIN CSL_CITATION {"citationItems":[{"id":"ITEM-1","itemData":{"URL":"http://www.retail.kiwi/advocacy/food-and-drink-issues/reducing-childhood-obesity-pledge","author":[{"dropping-particle":"","family":"Retail New Zealand","given":"","non-dropping-particle":"","parse-names":false,"suffix":""}],"id":"ITEM-1","issue":"18/12/2016","issued":{"date-parts":[["2016"]]},"title":"Reducing childhood obesity pledge","type":"webpage"},"uris":["http://www.mendeley.com/documents/?uuid=3dff541d-360e-3e5a-bb56-f424fef2225b","http://www.mendeley.com/documents/?uuid=eb342375-bab8-4266-8bca-05e3c2c6c556"]}],"mendeley":{"formattedCitation":"(3)","plainTextFormattedCitation":"(3)","previouslyFormattedCitation":"(3)"},"properties":{"noteIndex":0},"schema":"https://github.com/citation-style-language/schema/raw/master/csl-citation.json"}</w:instrText>
            </w:r>
            <w:r w:rsidR="00D74B6E" w:rsidRPr="0091450A">
              <w:rPr>
                <w:rFonts w:cs="DIN-Regular"/>
                <w:color w:val="262626"/>
                <w:szCs w:val="20"/>
              </w:rPr>
              <w:fldChar w:fldCharType="separate"/>
            </w:r>
            <w:r w:rsidR="00FE62C4" w:rsidRPr="0091450A">
              <w:rPr>
                <w:rFonts w:cs="DIN-Regular"/>
                <w:noProof/>
                <w:color w:val="262626"/>
                <w:szCs w:val="20"/>
              </w:rPr>
              <w:t>(3)</w:t>
            </w:r>
            <w:r w:rsidR="00D74B6E" w:rsidRPr="0091450A">
              <w:rPr>
                <w:rFonts w:cs="DIN-Regular"/>
                <w:color w:val="262626"/>
                <w:szCs w:val="20"/>
              </w:rPr>
              <w:fldChar w:fldCharType="end"/>
            </w:r>
            <w:r w:rsidR="00B30EB9" w:rsidRPr="0091450A">
              <w:rPr>
                <w:rFonts w:cs="DIN-Regular"/>
                <w:color w:val="262626"/>
                <w:szCs w:val="20"/>
              </w:rPr>
              <w:t>.</w:t>
            </w:r>
            <w:r w:rsidRPr="0091450A">
              <w:rPr>
                <w:color w:val="262626"/>
              </w:rPr>
              <w:t xml:space="preserve"> Countdown </w:t>
            </w:r>
            <w:r w:rsidR="00596349" w:rsidRPr="0091450A">
              <w:rPr>
                <w:color w:val="262626"/>
              </w:rPr>
              <w:t>pledged to</w:t>
            </w:r>
            <w:r w:rsidRPr="0091450A">
              <w:rPr>
                <w:color w:val="262626"/>
              </w:rPr>
              <w:t xml:space="preserve"> undertake </w:t>
            </w:r>
            <w:r w:rsidRPr="0091450A">
              <w:rPr>
                <w:szCs w:val="20"/>
              </w:rPr>
              <w:t>a nutritional review of all private</w:t>
            </w:r>
            <w:r w:rsidR="00725D51" w:rsidRPr="0091450A">
              <w:rPr>
                <w:szCs w:val="20"/>
              </w:rPr>
              <w:t>-</w:t>
            </w:r>
            <w:r w:rsidRPr="0091450A">
              <w:rPr>
                <w:szCs w:val="20"/>
              </w:rPr>
              <w:t xml:space="preserve">label grocery products by December 2018 (over 1000 products) so that products are nutritionally on par, or better than, the category average for saturated fat, sugar and sodium </w:t>
            </w:r>
            <w:r w:rsidR="00D74B6E" w:rsidRPr="0091450A">
              <w:rPr>
                <w:szCs w:val="20"/>
              </w:rPr>
              <w:fldChar w:fldCharType="begin" w:fldLock="1"/>
            </w:r>
            <w:r w:rsidR="00AD08A5" w:rsidRPr="0091450A">
              <w:rPr>
                <w:szCs w:val="20"/>
              </w:rPr>
              <w:instrText>ADDIN CSL_CITATION {"citationItems":[{"id":"ITEM-1","itemData":{"URL":"https://www.countdown.co.nz/community-environment/countdowns-health-and-nutrition-targets","author":[{"dropping-particle":"","family":"Countdown","given":"","non-dropping-particle":"","parse-names":false,"suffix":""}],"id":"ITEM-1","issue":"7/2/2017","issued":{"date-parts":[["2017"]]},"title":"Countdown's Health and NutritionTargets","type":"webpage"},"uris":["http://www.mendeley.com/documents/?uuid=f8f8df0e-1fd1-308f-aa6e-84b8cd3ab815","http://www.mendeley.com/documents/?uuid=3f1fe94f-ce82-495a-b149-fb62889bf996"]}],"mendeley":{"formattedCitation":"(4)","plainTextFormattedCitation":"(4)","previouslyFormattedCitation":"(4)"},"properties":{"noteIndex":0},"schema":"https://github.com/citation-style-language/schema/raw/master/csl-citation.json"}</w:instrText>
            </w:r>
            <w:r w:rsidR="00D74B6E" w:rsidRPr="0091450A">
              <w:rPr>
                <w:szCs w:val="20"/>
              </w:rPr>
              <w:fldChar w:fldCharType="separate"/>
            </w:r>
            <w:r w:rsidR="00FE62C4" w:rsidRPr="0091450A">
              <w:rPr>
                <w:noProof/>
                <w:szCs w:val="20"/>
              </w:rPr>
              <w:t>(4)</w:t>
            </w:r>
            <w:r w:rsidR="00D74B6E" w:rsidRPr="0091450A">
              <w:rPr>
                <w:szCs w:val="20"/>
              </w:rPr>
              <w:fldChar w:fldCharType="end"/>
            </w:r>
            <w:r w:rsidR="00DC5476" w:rsidRPr="0091450A">
              <w:rPr>
                <w:szCs w:val="20"/>
              </w:rPr>
              <w:t>.</w:t>
            </w:r>
            <w:r w:rsidRPr="0091450A">
              <w:rPr>
                <w:szCs w:val="20"/>
              </w:rPr>
              <w:t xml:space="preserve"> Coca-Cola has pledged to reduce sugar in some products, increase the range of low kilojoule and no</w:t>
            </w:r>
            <w:r w:rsidR="00F74C3E" w:rsidRPr="0091450A">
              <w:rPr>
                <w:szCs w:val="20"/>
              </w:rPr>
              <w:t>-</w:t>
            </w:r>
            <w:r w:rsidRPr="0091450A">
              <w:rPr>
                <w:szCs w:val="20"/>
              </w:rPr>
              <w:t>sugar varieties, and provide and promote smaller packs</w:t>
            </w:r>
            <w:r w:rsidR="00D74B6E" w:rsidRPr="0091450A">
              <w:rPr>
                <w:szCs w:val="20"/>
              </w:rPr>
              <w:t xml:space="preserve"> </w:t>
            </w:r>
            <w:r w:rsidR="00D74B6E" w:rsidRPr="0091450A">
              <w:rPr>
                <w:szCs w:val="20"/>
              </w:rPr>
              <w:fldChar w:fldCharType="begin" w:fldLock="1"/>
            </w:r>
            <w:r w:rsidR="00AD08A5" w:rsidRPr="0091450A">
              <w:rPr>
                <w:szCs w:val="20"/>
              </w:rPr>
              <w:instrText>ADDIN CSL_CITATION {"citationItems":[{"id":"ITEM-1","itemData":{"URL":"http://www.coca-colajourney.co.nz/media-centre/press-releases/coca-cola-joins-industry-healthy-kids-pledge","author":[{"dropping-particle":"","family":"The Coca-Cola Company","given":"","non-dropping-particle":"","parse-names":false,"suffix":""}],"id":"ITEM-1","issue":"19/4/2017","issued":{"date-parts":[["2017"]]},"title":"Coca-Cola joins industry healthy kids pledge","type":"webpage"},"uris":["http://www.mendeley.com/documents/?uuid=67af8062-4b25-3a20-a219-50ffa56001e7","http://www.mendeley.com/documents/?uuid=be225ad5-22bb-48ad-a50e-ac6bb728cfec"]}],"mendeley":{"formattedCitation":"(5)","plainTextFormattedCitation":"(5)","previouslyFormattedCitation":"(5)"},"properties":{"noteIndex":0},"schema":"https://github.com/citation-style-language/schema/raw/master/csl-citation.json"}</w:instrText>
            </w:r>
            <w:r w:rsidR="00D74B6E" w:rsidRPr="0091450A">
              <w:rPr>
                <w:szCs w:val="20"/>
              </w:rPr>
              <w:fldChar w:fldCharType="separate"/>
            </w:r>
            <w:r w:rsidR="00FE62C4" w:rsidRPr="0091450A">
              <w:rPr>
                <w:noProof/>
                <w:szCs w:val="20"/>
              </w:rPr>
              <w:t>(5)</w:t>
            </w:r>
            <w:r w:rsidR="00D74B6E" w:rsidRPr="0091450A">
              <w:rPr>
                <w:szCs w:val="20"/>
              </w:rPr>
              <w:fldChar w:fldCharType="end"/>
            </w:r>
            <w:r w:rsidR="00DC5476" w:rsidRPr="0091450A">
              <w:rPr>
                <w:szCs w:val="20"/>
              </w:rPr>
              <w:t>.</w:t>
            </w:r>
          </w:p>
          <w:p w14:paraId="659A94DB" w14:textId="7246F516" w:rsidR="003D43E4" w:rsidRPr="004D54A4" w:rsidRDefault="003D43E4" w:rsidP="002D613F">
            <w:pPr>
              <w:pStyle w:val="ListParagraph"/>
              <w:numPr>
                <w:ilvl w:val="0"/>
                <w:numId w:val="41"/>
              </w:numPr>
              <w:spacing w:before="40" w:after="40"/>
              <w:contextualSpacing w:val="0"/>
              <w:rPr>
                <w:rFonts w:cs="Times New Roman"/>
                <w:szCs w:val="20"/>
                <w:lang w:eastAsia="en-NZ"/>
              </w:rPr>
            </w:pPr>
            <w:r w:rsidRPr="004D54A4">
              <w:rPr>
                <w:rFonts w:eastAsia="Times New Roman" w:cs="Times New Roman"/>
                <w:szCs w:val="20"/>
                <w:lang w:eastAsia="en-NZ"/>
              </w:rPr>
              <w:t>The Government response to the Food Industry Taskforce on addressing factors contributing to obesity prioritised the recommendation for the food industry to set and review nutrient reformulation targets</w:t>
            </w:r>
            <w:r w:rsidR="00140B57">
              <w:rPr>
                <w:rFonts w:eastAsia="Times New Roman" w:cs="Times New Roman"/>
                <w:szCs w:val="20"/>
                <w:lang w:eastAsia="en-NZ"/>
              </w:rPr>
              <w:t xml:space="preserve"> (28)</w:t>
            </w:r>
            <w:r w:rsidRPr="004D54A4">
              <w:rPr>
                <w:rFonts w:eastAsia="Times New Roman" w:cs="Times New Roman"/>
                <w:szCs w:val="20"/>
                <w:lang w:eastAsia="en-NZ"/>
              </w:rPr>
              <w:t>.</w:t>
            </w:r>
          </w:p>
          <w:p w14:paraId="547F9841" w14:textId="0D57908B" w:rsidR="00107E6B" w:rsidRPr="0091450A" w:rsidRDefault="00107E6B" w:rsidP="002D613F">
            <w:pPr>
              <w:pStyle w:val="Subtitle"/>
            </w:pPr>
            <w:r w:rsidRPr="0091450A">
              <w:t xml:space="preserve">Heart Foundation </w:t>
            </w:r>
            <w:r w:rsidR="002A071B">
              <w:t>F</w:t>
            </w:r>
            <w:r w:rsidRPr="0091450A">
              <w:t xml:space="preserve">ood </w:t>
            </w:r>
            <w:r w:rsidR="002A071B">
              <w:t>R</w:t>
            </w:r>
            <w:r w:rsidRPr="0091450A">
              <w:t xml:space="preserve">eformulation </w:t>
            </w:r>
            <w:r w:rsidR="002A071B">
              <w:t>P</w:t>
            </w:r>
            <w:r w:rsidRPr="0091450A">
              <w:t>rogramme</w:t>
            </w:r>
            <w:r w:rsidR="002777EA" w:rsidRPr="0091450A">
              <w:t xml:space="preserve"> </w:t>
            </w:r>
            <w:r w:rsidR="006D306C" w:rsidRPr="0091450A">
              <w:fldChar w:fldCharType="begin" w:fldLock="1"/>
            </w:r>
            <w:r w:rsidR="00C80AD3" w:rsidRPr="0091450A">
              <w:instrText>ADDIN CSL_CITATION {"citationItems":[{"id":"ITEM-1","itemData":{"author":[{"dropping-particle":"","family":"Heart Foundation","given":"","non-dropping-particle":"","parse-names":false,"suffix":""}],"id":"ITEM-1","issued":{"date-parts":[["2018"]]},"title":"Heart Foundation Food Reformulation Targets","type":"report"},"uris":["http://www.mendeley.com/documents/?uuid=99e82200-9609-3846-9d22-caba6143f03e"]}],"mendeley":{"formattedCitation":"(6)","plainTextFormattedCitation":"(6)","previouslyFormattedCitation":"(6)"},"properties":{"noteIndex":0},"schema":"https://github.com/citation-style-language/schema/raw/master/csl-citation.json"}</w:instrText>
            </w:r>
            <w:r w:rsidR="006D306C" w:rsidRPr="0091450A">
              <w:fldChar w:fldCharType="separate"/>
            </w:r>
            <w:r w:rsidR="006D306C" w:rsidRPr="0091450A">
              <w:rPr>
                <w:noProof/>
              </w:rPr>
              <w:t>(6)</w:t>
            </w:r>
            <w:r w:rsidR="006D306C" w:rsidRPr="0091450A">
              <w:fldChar w:fldCharType="end"/>
            </w:r>
          </w:p>
          <w:p w14:paraId="3540EB4B" w14:textId="07DEBADD" w:rsidR="00851E7B" w:rsidRPr="00FC3D79" w:rsidRDefault="00851E7B" w:rsidP="00FC3D79">
            <w:pPr>
              <w:pStyle w:val="ListParagraph"/>
              <w:numPr>
                <w:ilvl w:val="0"/>
                <w:numId w:val="146"/>
              </w:numPr>
              <w:rPr>
                <w:rFonts w:ascii="Calibri" w:hAnsi="Calibri" w:cs="Calibri"/>
                <w:color w:val="212121"/>
                <w:szCs w:val="20"/>
                <w:shd w:val="clear" w:color="auto" w:fill="FFFFFF"/>
              </w:rPr>
            </w:pPr>
            <w:r w:rsidRPr="00FC3D79">
              <w:rPr>
                <w:rFonts w:ascii="Calibri" w:hAnsi="Calibri" w:cs="Calibri"/>
                <w:color w:val="212121"/>
                <w:szCs w:val="20"/>
                <w:shd w:val="clear" w:color="auto" w:fill="FFFFFF"/>
              </w:rPr>
              <w:t>The national food reformulation programme (a Ministry of Health funded initiative), has continued to evolve over the past 4 years  Sodium reduction has been the focus of the programme since the bread reformulation pilot was conducted in 2007; sugar reduction has been included since mid-2016</w:t>
            </w:r>
            <w:r w:rsidRPr="00FC3D79">
              <w:rPr>
                <w:rFonts w:cs="Times New Roman"/>
                <w:szCs w:val="20"/>
              </w:rPr>
              <w:fldChar w:fldCharType="begin" w:fldLock="1"/>
            </w:r>
            <w:r w:rsidRPr="00FC3D79">
              <w:rPr>
                <w:rFonts w:cs="Times New Roman"/>
                <w:szCs w:val="20"/>
              </w:rPr>
              <w:instrText>ADDIN CSL_CITATION {"citationItems":[{"id":"ITEM-1","itemData":{"author":[{"dropping-particle":"","family":"Heart Foundation","given":"","non-dropping-particle":"","parse-names":false,"suffix":""}],"id":"ITEM-1","issued":{"date-parts":[["2018"]]},"title":"Heart Foundation Food Reformulation Targets","type":"report"},"uris":["http://www.mendeley.com/documents/?uuid=99e82200-9609-3846-9d22-caba6143f03e","http://www.mendeley.com/documents/?uuid=18847fbf-33df-4d5e-984f-e8e5c9051761"]}],"mendeley":{"formattedCitation":"(6)","plainTextFormattedCitation":"(6)","previouslyFormattedCitation":"(6)"},"properties":{"noteIndex":0},"schema":"https://github.com/citation-style-language/schema/raw/master/csl-citation.json"}</w:instrText>
            </w:r>
            <w:r w:rsidRPr="00FC3D79">
              <w:rPr>
                <w:rFonts w:cs="Times New Roman"/>
                <w:szCs w:val="20"/>
              </w:rPr>
              <w:fldChar w:fldCharType="end"/>
            </w:r>
            <w:r w:rsidRPr="00FC3D79">
              <w:rPr>
                <w:rFonts w:cs="Times New Roman"/>
                <w:szCs w:val="20"/>
              </w:rPr>
              <w:t>.</w:t>
            </w:r>
            <w:r w:rsidRPr="00FC3D79">
              <w:rPr>
                <w:rFonts w:ascii="Calibri" w:hAnsi="Calibri" w:cs="Calibri"/>
                <w:color w:val="212121"/>
                <w:szCs w:val="20"/>
                <w:shd w:val="clear" w:color="auto" w:fill="FFFFFF"/>
              </w:rPr>
              <w:t xml:space="preserve"> The work targets high- volume and lower-cost products. Targets for prioritised food categories/sub-categories are set on a rolling basis,  in consultation with the food industry.  The goal is for 80% of the market share meeting the targets within the timeframe (typically 3-5 years).  The programme will be aiming for alignment of their targets with those from the Australian food reformulation programme (Healthy Food Partnership) which is currently in the process of formalising their targets.</w:t>
            </w:r>
            <w:r w:rsidRPr="00FC3D79">
              <w:rPr>
                <w:rFonts w:ascii="Calibri" w:hAnsi="Calibri" w:cs="Calibri"/>
                <w:color w:val="212121"/>
                <w:szCs w:val="20"/>
                <w:shd w:val="clear" w:color="auto" w:fill="FFFFFF"/>
              </w:rPr>
              <w:t xml:space="preserve"> (personal communication, Heart Foundation, 2020)</w:t>
            </w:r>
          </w:p>
          <w:p w14:paraId="7F8E2838" w14:textId="77777777" w:rsidR="00851E7B" w:rsidRPr="00FC3D79" w:rsidRDefault="00851E7B" w:rsidP="00FC3D79">
            <w:pPr>
              <w:pStyle w:val="ListParagraph"/>
              <w:numPr>
                <w:ilvl w:val="0"/>
                <w:numId w:val="146"/>
              </w:numPr>
              <w:rPr>
                <w:rFonts w:ascii="Calibri" w:hAnsi="Calibri" w:cs="Calibri"/>
                <w:color w:val="212121"/>
                <w:szCs w:val="20"/>
                <w:shd w:val="clear" w:color="auto" w:fill="FFFFFF"/>
              </w:rPr>
            </w:pPr>
            <w:r w:rsidRPr="00FC3D79">
              <w:rPr>
                <w:rFonts w:ascii="Calibri" w:hAnsi="Calibri" w:cs="Calibri"/>
                <w:color w:val="212121"/>
                <w:szCs w:val="20"/>
                <w:shd w:val="clear" w:color="auto" w:fill="FFFFFF"/>
              </w:rPr>
              <w:t>Forty-four nutrient targets have been set across 35 food categories/sub-categories. An updated monitoring approach has been developed with consideration to the monitoring approaches used by other reformulation programmes (e.g. Public Health England, Australian Healthy Food Partnership). The new monitoring approach aims to provide an annual,  transparent quantitative and qualitative update on company commitment and progress in reformulation initiatives. Details are reported to the Ministry of Health</w:t>
            </w:r>
            <w:r w:rsidRPr="00FC3D79">
              <w:rPr>
                <w:rFonts w:ascii="Calibri" w:hAnsi="Calibri" w:cs="Calibri"/>
                <w:color w:val="212121"/>
                <w:szCs w:val="20"/>
                <w:shd w:val="clear" w:color="auto" w:fill="FFFFFF"/>
              </w:rPr>
              <w:t>.</w:t>
            </w:r>
            <w:r w:rsidRPr="00FC3D79">
              <w:rPr>
                <w:rFonts w:ascii="Calibri" w:hAnsi="Calibri" w:cs="Calibri"/>
                <w:color w:val="212121"/>
                <w:szCs w:val="20"/>
                <w:shd w:val="clear" w:color="auto" w:fill="FFFFFF"/>
              </w:rPr>
              <w:t xml:space="preserve"> (personal communication, Heart Foundation, 2020)</w:t>
            </w:r>
          </w:p>
          <w:p w14:paraId="47CFF10B" w14:textId="291EF830" w:rsidR="00851E7B" w:rsidRPr="00FC3D79" w:rsidRDefault="00851E7B" w:rsidP="00FC3D79">
            <w:pPr>
              <w:pStyle w:val="ListParagraph"/>
              <w:numPr>
                <w:ilvl w:val="0"/>
                <w:numId w:val="146"/>
              </w:numPr>
              <w:spacing w:before="100" w:beforeAutospacing="1" w:after="100" w:afterAutospacing="1" w:line="236" w:lineRule="atLeast"/>
              <w:rPr>
                <w:rFonts w:cstheme="minorHAnsi"/>
                <w:color w:val="212121"/>
                <w:szCs w:val="20"/>
              </w:rPr>
            </w:pPr>
            <w:r w:rsidRPr="00FC3D79">
              <w:rPr>
                <w:rFonts w:cstheme="minorHAnsi"/>
                <w:color w:val="212121"/>
                <w:szCs w:val="20"/>
              </w:rPr>
              <w:t xml:space="preserve">Full category reviews of sodium reduction in the past 4 years </w:t>
            </w:r>
          </w:p>
          <w:p w14:paraId="0F5F0558" w14:textId="49ED4D56"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Bread - In addition to the 20% reduction by main manufacturers in 2007, an additional 4.8% reduction has been achieved across the category. 73% (by sales volume) meet the target.</w:t>
            </w:r>
          </w:p>
          <w:p w14:paraId="4B5CCC59" w14:textId="033F15C3"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Soups - 11% sodium reduction achieved across the category through product reformulation.</w:t>
            </w:r>
          </w:p>
          <w:p w14:paraId="421841D5" w14:textId="28BFD8BC"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Cooking sauces - 77% (by sales volume) of pasta/Indian sauces meet the target; 11-13% reduction in mean sodium achieved across all categories.</w:t>
            </w:r>
          </w:p>
          <w:p w14:paraId="37A25781" w14:textId="06827DC0"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lastRenderedPageBreak/>
              <w:t>Savoury crackers - 77% (by sales volume) meet the targets. 10.5% reduction in category median sodium achieved.  </w:t>
            </w:r>
          </w:p>
          <w:p w14:paraId="6A03C282" w14:textId="71B05364"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Savoury snacks - 10-32% reduction in the median sodium contents. The reset sodium targets represent 26-38% reductions on the previous targets.</w:t>
            </w:r>
          </w:p>
          <w:p w14:paraId="2D49DC7B" w14:textId="30B5EE63" w:rsidR="00851E7B" w:rsidRPr="00FC3D79" w:rsidRDefault="00851E7B" w:rsidP="00FC3D79">
            <w:pPr>
              <w:pStyle w:val="ListParagraph"/>
              <w:numPr>
                <w:ilvl w:val="0"/>
                <w:numId w:val="146"/>
              </w:numPr>
              <w:spacing w:line="231" w:lineRule="atLeast"/>
              <w:rPr>
                <w:rFonts w:cstheme="minorHAnsi"/>
                <w:color w:val="212121"/>
                <w:szCs w:val="20"/>
              </w:rPr>
            </w:pPr>
            <w:r w:rsidRPr="00FC3D79">
              <w:rPr>
                <w:rFonts w:cstheme="minorHAnsi"/>
                <w:color w:val="212121"/>
                <w:szCs w:val="20"/>
              </w:rPr>
              <w:t xml:space="preserve">Interim highlights of sugar reduction in the past 4 years </w:t>
            </w:r>
          </w:p>
          <w:p w14:paraId="059C19B4" w14:textId="42A33FE1"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Yoghurts - 40% added sugar reduction across a top selling range by 1 company</w:t>
            </w:r>
          </w:p>
          <w:p w14:paraId="5092B8A6" w14:textId="654DD214"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Breakfast cereals - 12 cereals by 2 companies have had a 16-35% reduction in sugar content</w:t>
            </w:r>
            <w:r w:rsidRPr="00FC3D79">
              <w:rPr>
                <w:rStyle w:val="apple-converted-space"/>
                <w:rFonts w:cstheme="minorHAnsi"/>
                <w:color w:val="212121"/>
                <w:szCs w:val="20"/>
              </w:rPr>
              <w:t> </w:t>
            </w:r>
          </w:p>
          <w:p w14:paraId="27C2A33B" w14:textId="3AAB4C1C" w:rsidR="00851E7B" w:rsidRPr="00FC3D79" w:rsidRDefault="00851E7B" w:rsidP="00FC3D79">
            <w:pPr>
              <w:pStyle w:val="ListParagraph"/>
              <w:numPr>
                <w:ilvl w:val="1"/>
                <w:numId w:val="146"/>
              </w:numPr>
              <w:spacing w:line="236" w:lineRule="atLeast"/>
              <w:ind w:left="737" w:hanging="142"/>
              <w:rPr>
                <w:rFonts w:cstheme="minorHAnsi"/>
                <w:color w:val="212121"/>
                <w:szCs w:val="20"/>
              </w:rPr>
            </w:pPr>
            <w:r w:rsidRPr="00FC3D79">
              <w:rPr>
                <w:rFonts w:cstheme="minorHAnsi"/>
                <w:color w:val="212121"/>
                <w:szCs w:val="20"/>
              </w:rPr>
              <w:t>Flavoured milks - 30% added sugar reduction of top selling range by 1 company.</w:t>
            </w:r>
          </w:p>
          <w:p w14:paraId="640FFB3D" w14:textId="77777777" w:rsidR="00D96B05" w:rsidRPr="00FC3D79" w:rsidRDefault="00D96B05" w:rsidP="00FC3D79">
            <w:pPr>
              <w:widowControl w:val="0"/>
              <w:autoSpaceDE w:val="0"/>
              <w:autoSpaceDN w:val="0"/>
              <w:adjustRightInd w:val="0"/>
              <w:spacing w:before="40"/>
              <w:ind w:right="224"/>
              <w:rPr>
                <w:rFonts w:cs="Times New Roman"/>
                <w:szCs w:val="20"/>
                <w:highlight w:val="magenta"/>
              </w:rPr>
            </w:pPr>
          </w:p>
          <w:p w14:paraId="32B3545C" w14:textId="77777777" w:rsidR="00D96B05" w:rsidRPr="0091450A" w:rsidRDefault="00D96B05" w:rsidP="00D96B05">
            <w:pPr>
              <w:pStyle w:val="Subtitle"/>
            </w:pPr>
            <w:r w:rsidRPr="0091450A">
              <w:t xml:space="preserve">FSANZ </w:t>
            </w:r>
            <w:r w:rsidRPr="0091450A">
              <w:rPr>
                <w:i/>
              </w:rPr>
              <w:t>trans</w:t>
            </w:r>
            <w:r w:rsidRPr="0091450A">
              <w:t xml:space="preserve"> fats</w:t>
            </w:r>
          </w:p>
          <w:p w14:paraId="24B82551" w14:textId="0B05D2AC" w:rsidR="00D96B05" w:rsidRPr="0091450A" w:rsidRDefault="00D96B05" w:rsidP="00D96B05">
            <w:pPr>
              <w:numPr>
                <w:ilvl w:val="0"/>
                <w:numId w:val="41"/>
              </w:numPr>
              <w:ind w:left="284" w:hanging="284"/>
              <w:contextualSpacing/>
              <w:rPr>
                <w:rFonts w:cs="Times New Roman"/>
                <w:color w:val="000000"/>
                <w:szCs w:val="20"/>
                <w:lang w:eastAsia="en-NZ"/>
              </w:rPr>
            </w:pPr>
            <w:r w:rsidRPr="0091450A">
              <w:t xml:space="preserve">The current level of TFAs in the diet is well below the at-risk level. At a meeting in 2015, ministers accepted the advice of FSANZ that, given the low level of TFAs in the foods sampled in Australia and New Zealand, mandatory labelling does not appear warranted </w:t>
            </w:r>
            <w:r w:rsidRPr="0091450A">
              <w:rPr>
                <w:rFonts w:cs="Times New Roman"/>
                <w:szCs w:val="20"/>
              </w:rPr>
              <w:fldChar w:fldCharType="begin" w:fldLock="1"/>
            </w:r>
            <w:r w:rsidRPr="0091450A">
              <w:rPr>
                <w:rFonts w:cs="Times New Roman"/>
                <w:szCs w:val="20"/>
              </w:rPr>
              <w:instrText>ADDIN CSL_CITATION {"citationItems":[{"id":"ITEM-1","itemData":{"URL":"http://www.foodstandards.govt.nz/consumer/labelling/review/Pages/Technical-evaluation-for-recommendation-13-%28trans-fatty-acids%29-.aspx","author":[{"dropping-particle":"","family":"Food Standards Australia New Zealand","given":"","non-dropping-particle":"","parse-names":false,"suffix":""}],"id":"ITEM-1","issue":"14/2/2017","issued":{"date-parts":[["2015"]]},"title":"Technical evaluation for recommendation 13 (trans fatty acids)","type":"webpage"},"uris":["http://www.mendeley.com/documents/?uuid=0a656caf-e5fc-382e-91d2-37d000fbd1e5","http://www.mendeley.com/documents/?uuid=a7b3a91d-1479-4678-a46c-53e0060dfd29"]}],"mendeley":{"formattedCitation":"(7)","plainTextFormattedCitation":"(7)","previouslyFormattedCitation":"(7)"},"properties":{"noteIndex":0},"schema":"https://github.com/citation-style-language/schema/raw/master/csl-citation.json"}</w:instrText>
            </w:r>
            <w:r w:rsidRPr="0091450A">
              <w:rPr>
                <w:rFonts w:cs="Times New Roman"/>
                <w:szCs w:val="20"/>
              </w:rPr>
              <w:fldChar w:fldCharType="separate"/>
            </w:r>
            <w:r w:rsidRPr="0091450A">
              <w:rPr>
                <w:rFonts w:cs="Times New Roman"/>
                <w:noProof/>
                <w:szCs w:val="20"/>
              </w:rPr>
              <w:t>(7)</w:t>
            </w:r>
            <w:r w:rsidRPr="0091450A">
              <w:rPr>
                <w:rFonts w:cs="Times New Roman"/>
                <w:szCs w:val="20"/>
              </w:rPr>
              <w:fldChar w:fldCharType="end"/>
            </w:r>
            <w:r w:rsidRPr="0091450A">
              <w:rPr>
                <w:rFonts w:cs="Times New Roman"/>
                <w:szCs w:val="20"/>
              </w:rPr>
              <w:t>.</w:t>
            </w:r>
            <w:r w:rsidRPr="0091450A">
              <w:t xml:space="preserve"> </w:t>
            </w:r>
            <w:r w:rsidRPr="0091450A">
              <w:rPr>
                <w:rFonts w:cs="Times New Roman"/>
                <w:color w:val="000000"/>
                <w:szCs w:val="20"/>
                <w:lang w:eastAsia="en-NZ"/>
              </w:rPr>
              <w:t>The</w:t>
            </w:r>
            <w:r w:rsidRPr="0091450A">
              <w:rPr>
                <w:color w:val="000000"/>
              </w:rPr>
              <w:t xml:space="preserve"> average total </w:t>
            </w:r>
            <w:r w:rsidRPr="0091450A">
              <w:rPr>
                <w:rFonts w:cs="Times New Roman"/>
                <w:i/>
                <w:color w:val="000000"/>
                <w:szCs w:val="20"/>
                <w:lang w:eastAsia="en-NZ"/>
              </w:rPr>
              <w:t>trans</w:t>
            </w:r>
            <w:r w:rsidRPr="0091450A">
              <w:rPr>
                <w:color w:val="000000"/>
              </w:rPr>
              <w:t xml:space="preserve">-fat intakes from both ruminant and manufactured sources in New Zealand were below the WHO population goal of contributing less than 1% to total energy intake. </w:t>
            </w:r>
          </w:p>
          <w:p w14:paraId="477C4A60" w14:textId="77777777" w:rsidR="00D96B05" w:rsidRPr="0091450A" w:rsidRDefault="00D96B05" w:rsidP="00D96B05">
            <w:pPr>
              <w:ind w:left="360"/>
              <w:contextualSpacing/>
              <w:rPr>
                <w:b/>
                <w:color w:val="1F497D" w:themeColor="text2"/>
              </w:rPr>
            </w:pPr>
          </w:p>
          <w:p w14:paraId="063E1653" w14:textId="77777777" w:rsidR="00D96B05" w:rsidRPr="0091450A" w:rsidRDefault="00D96B05" w:rsidP="00D96B05">
            <w:pPr>
              <w:rPr>
                <w:b/>
                <w:color w:val="1F497D"/>
                <w:sz w:val="28"/>
                <w:szCs w:val="28"/>
              </w:rPr>
            </w:pPr>
            <w:r w:rsidRPr="0091450A">
              <w:rPr>
                <w:b/>
                <w:color w:val="1F497D"/>
                <w:sz w:val="28"/>
                <w:szCs w:val="28"/>
              </w:rPr>
              <w:t>International best practice examples (benchmarks)</w:t>
            </w:r>
          </w:p>
          <w:p w14:paraId="5C044215" w14:textId="1760D8DB" w:rsidR="009A7026" w:rsidRDefault="00D96B05" w:rsidP="00915D87">
            <w:pPr>
              <w:pStyle w:val="ListParagraph"/>
              <w:numPr>
                <w:ilvl w:val="0"/>
                <w:numId w:val="50"/>
              </w:numPr>
              <w:autoSpaceDE w:val="0"/>
              <w:autoSpaceDN w:val="0"/>
              <w:adjustRightInd w:val="0"/>
              <w:ind w:left="284" w:hanging="284"/>
              <w:jc w:val="both"/>
            </w:pPr>
            <w:r w:rsidRPr="009A7026">
              <w:rPr>
                <w:rFonts w:cstheme="majorHAnsi"/>
                <w:b/>
              </w:rPr>
              <w:t>U</w:t>
            </w:r>
            <w:r w:rsidRPr="009A7026">
              <w:rPr>
                <w:b/>
              </w:rPr>
              <w:t>K</w:t>
            </w:r>
            <w:r w:rsidRPr="0091450A">
              <w:t xml:space="preserve">: In 2016, a key commitment of the ‘Childhood obesity: a plan for action’ was to launch a broad, structured sugar reduction programme to remove sugar from everyday products. All sectors of the food and drinks industry were challenged to reduce overall sugar across a range of products that contribute most to children’s sugar intakes by at least 20% by 2020, including a 5% reduction in the first year of the programme (August 2016 to August 2017). The overall reduction between 2015 -2018 (in total sugar per 100g) was -2.9% </w:t>
            </w:r>
            <w:r w:rsidRPr="0091450A">
              <w:fldChar w:fldCharType="begin" w:fldLock="1"/>
            </w:r>
            <w:r w:rsidRPr="0091450A">
              <w:instrText>ADDIN CSL_CITATION {"citationItems":[{"id":"ITEM-1","itemData":{"author":[{"dropping-particle":"","family":"Public Health England","given":"","non-dropping-particle":"","parse-names":false,"suffix":""}],"id":"ITEM-1","issued":{"date-parts":[["2019"]]},"title":"Sugar reduction. Report on progress between 2015 and 2018.","type":"report"},"uris":["http://www.mendeley.com/documents/?uuid=d052eb7d-74a5-405a-a650-a302f794ebd1"]}],"mendeley":{"formattedCitation":"(8)","plainTextFormattedCitation":"(8)","previouslyFormattedCitation":"(8)"},"properties":{"noteIndex":0},"schema":"https://github.com/citation-style-language/schema/raw/master/csl-citation.json"}</w:instrText>
            </w:r>
            <w:r w:rsidRPr="0091450A">
              <w:fldChar w:fldCharType="separate"/>
            </w:r>
            <w:r w:rsidRPr="0091450A">
              <w:rPr>
                <w:noProof/>
              </w:rPr>
              <w:t>(8)</w:t>
            </w:r>
            <w:r w:rsidRPr="0091450A">
              <w:fldChar w:fldCharType="end"/>
            </w:r>
            <w:r w:rsidRPr="0091450A">
              <w:t xml:space="preserve">. Only three food groups of the eight measured have managed at least a 5% reduction in the first year: sweet spreads and sauces, yoghurts and fromage frais, and breakfast cereals. There has been no sugar reduction in biscuits and chocolate bars </w:t>
            </w:r>
            <w:r w:rsidRPr="0091450A">
              <w:fldChar w:fldCharType="begin" w:fldLock="1"/>
            </w:r>
            <w:r w:rsidRPr="0091450A">
              <w:instrText>ADDIN CSL_CITATION {"citationItems":[{"id":"ITEM-1","itemData":{"author":[{"dropping-particle":"","family":"Public Health England","given":"","non-dropping-particle":"","parse-names":false,"suffix":""}],"id":"ITEM-1","issued":{"date-parts":[["2018"]]},"title":"Sugar Reduction Programme. Progress made by industry in the first year.","type":"report"},"uris":["http://www.mendeley.com/documents/?uuid=7056a297-fcbf-41ff-a24a-91bc7e451146"]}],"mendeley":{"formattedCitation":"(9)","plainTextFormattedCitation":"(9)","previouslyFormattedCitation":"(9)"},"properties":{"noteIndex":0},"schema":"https://github.com/citation-style-language/schema/raw/master/csl-citation.json"}</w:instrText>
            </w:r>
            <w:r w:rsidRPr="0091450A">
              <w:fldChar w:fldCharType="separate"/>
            </w:r>
            <w:r w:rsidRPr="0091450A">
              <w:rPr>
                <w:noProof/>
              </w:rPr>
              <w:t>(9)</w:t>
            </w:r>
            <w:r w:rsidRPr="0091450A">
              <w:fldChar w:fldCharType="end"/>
            </w:r>
            <w:r w:rsidRPr="0091450A">
              <w:t xml:space="preserve">. In contrast to this co-regulation, products where the sugar tax applies over the same period </w:t>
            </w:r>
            <w:r w:rsidR="00F57D88">
              <w:t xml:space="preserve">saw about </w:t>
            </w:r>
            <w:r w:rsidRPr="0091450A">
              <w:t>a</w:t>
            </w:r>
            <w:r w:rsidR="00F57D88">
              <w:t xml:space="preserve"> 30%</w:t>
            </w:r>
            <w:r w:rsidRPr="0091450A">
              <w:t xml:space="preserve"> reduction in sugar.  </w:t>
            </w:r>
          </w:p>
          <w:p w14:paraId="580271CD" w14:textId="4988847B" w:rsidR="00D96B05" w:rsidRPr="0091450A" w:rsidRDefault="00D96B05" w:rsidP="00915D87">
            <w:pPr>
              <w:pStyle w:val="ListParagraph"/>
              <w:numPr>
                <w:ilvl w:val="0"/>
                <w:numId w:val="50"/>
              </w:numPr>
              <w:autoSpaceDE w:val="0"/>
              <w:autoSpaceDN w:val="0"/>
              <w:adjustRightInd w:val="0"/>
              <w:ind w:left="284" w:hanging="284"/>
              <w:jc w:val="both"/>
            </w:pPr>
            <w:r w:rsidRPr="009A7026">
              <w:rPr>
                <w:b/>
              </w:rPr>
              <w:t>Argentina</w:t>
            </w:r>
            <w:r w:rsidRPr="0091450A">
              <w:t xml:space="preserve">: In December 2013, the Government adopted a law on mandatory maximum levels of sodium permitted in meat products and their derivatives, bread and farinaceous products, soups, seasoning mixes and tinned foods (Act 26905), which entered into force in December 2014. The law is applicable to salt levels in restaurant dishes. The law includes gradual reductions (between 5% and 18% of reduction). Infringements by producers and importers may be sanctioned, the most severe penalties being fines of up to one million pesos, in case of repeat infringements, up to ten million pesos and the closing of the business for up to five years </w:t>
            </w:r>
            <w:r w:rsidRPr="009A7026">
              <w:rPr>
                <w:rFonts w:eastAsia="Times New Roman" w:cs="Times New Roman"/>
                <w:szCs w:val="20"/>
                <w:lang w:eastAsia="en-NZ"/>
              </w:rPr>
              <w:fldChar w:fldCharType="begin" w:fldLock="1"/>
            </w:r>
            <w:r w:rsidRPr="009A7026">
              <w:rPr>
                <w:rFonts w:eastAsia="Times New Roman" w:cs="Times New Roman"/>
                <w:szCs w:val="20"/>
                <w:lang w:eastAsia="en-NZ"/>
              </w:rPr>
              <w:instrText>ADDIN CSL_CITATION {"citationItems":[{"id":"ITEM-1","itemData":{"DOI":"10.3978/j.issn.2223-3652.2015.04.01","ISBN":"2223-3652 (Print)\r2223-3652 (Linking)","PMID":"26090331","author":[{"dropping-particle":"","family":"Allemandi","given":"L","non-dropping-particle":"","parse-names":false,"suffix":""},{"dropping-particle":"V","family":"Tiscornia","given":"M","non-dropping-particle":"","parse-names":false,"suffix":""},{"dropping-particle":"","family":"Ponce","given":"M","non-dropping-particle":"","parse-names":false,"suffix":""},{"dropping-particle":"","family":"Castronuovo","given":"L","non-dropping-particle":"","parse-names":false,"suffix":""},{"dropping-particle":"","family":"Dunford","given":"E","non-dropping-particle":"","parse-names":false,"suffix":""},{"dropping-particle":"","family":"Schoj","given":"V","non-dropping-particle":"","parse-names":false,"suffix":""}],"container-title":"Cardiovasc Diagn Ther","id":"ITEM-1","issue":"3","issued":{"date-parts":[["2015"]]},"page":"197-206","title":"Sodium content in processed foods in Argentina: compliance with the national law","type":"article-journal","volume":"5"},"uris":["http://www.mendeley.com/documents/?uuid=19192b1a-8fe0-398c-97e3-1f3cd773d710","http://www.mendeley.com/documents/?uuid=b1d80d9e-42e9-4b62-a6a3-87770d0443ab"]},{"id":"ITEM-2","itemData":{"URL":"http://www.wcrf.org/int/policy/nourishing-framework/improve-food-supply","author":[{"dropping-particle":"","family":"World Cancer Research Fund","given":"","non-dropping-particle":"","parse-names":false,"suffix":""}],"id":"ITEM-2","issue":"19/02/2016","issued":{"date-parts":[["2016"]]},"publisher":"World Cancer Research Fund","title":"NOURISHING Framework - Improving the food supply","type":"webpage"},"uris":["http://www.mendeley.com/documents/?uuid=3a511843-16c8-3532-a937-5530b1a25ada","http://www.mendeley.com/documents/?uuid=b69c5d79-526c-41d8-9684-ecc87dbf8784"]}],"mendeley":{"formattedCitation":"(10,11)","plainTextFormattedCitation":"(10,11)","previouslyFormattedCitation":"(10,11)"},"properties":{"noteIndex":0},"schema":"https://github.com/citation-style-language/schema/raw/master/csl-citation.json"}</w:instrText>
            </w:r>
            <w:r w:rsidRPr="009A7026">
              <w:rPr>
                <w:rFonts w:eastAsia="Times New Roman" w:cs="Times New Roman"/>
                <w:szCs w:val="20"/>
                <w:lang w:eastAsia="en-NZ"/>
              </w:rPr>
              <w:fldChar w:fldCharType="separate"/>
            </w:r>
            <w:r w:rsidRPr="009A7026">
              <w:rPr>
                <w:rFonts w:eastAsia="Times New Roman" w:cs="Times New Roman"/>
                <w:noProof/>
                <w:szCs w:val="20"/>
                <w:lang w:eastAsia="en-NZ"/>
              </w:rPr>
              <w:t>(10,11)</w:t>
            </w:r>
            <w:r w:rsidRPr="009A7026">
              <w:rPr>
                <w:rFonts w:eastAsia="Times New Roman" w:cs="Times New Roman"/>
                <w:szCs w:val="20"/>
                <w:lang w:eastAsia="en-NZ"/>
              </w:rPr>
              <w:fldChar w:fldCharType="end"/>
            </w:r>
            <w:r w:rsidRPr="009A7026">
              <w:rPr>
                <w:rFonts w:eastAsia="Times New Roman" w:cs="Times New Roman"/>
                <w:szCs w:val="20"/>
                <w:lang w:eastAsia="en-NZ"/>
              </w:rPr>
              <w:t xml:space="preserve">. The text of the legislation and specific reduction targets can be found on the Ministry of Health of Argentina website </w:t>
            </w:r>
            <w:r w:rsidRPr="009A7026">
              <w:rPr>
                <w:rFonts w:eastAsia="Times New Roman" w:cs="Times New Roman"/>
                <w:szCs w:val="20"/>
                <w:lang w:eastAsia="en-NZ"/>
              </w:rPr>
              <w:fldChar w:fldCharType="begin" w:fldLock="1"/>
            </w:r>
            <w:r w:rsidRPr="009A7026">
              <w:rPr>
                <w:rFonts w:eastAsia="Times New Roman" w:cs="Times New Roman"/>
                <w:szCs w:val="20"/>
                <w:lang w:eastAsia="en-NZ"/>
              </w:rPr>
              <w:instrText>ADDIN CSL_CITATION {"citationItems":[{"id":"ITEM-1","itemData":{"URL":"http://www.msal.gob.ar/ent/images/stories/programas/pdf/2014-08_Ley26905-Ley-Sodio.pdf","author":[{"dropping-particle":"","family":"Ministerio de Salud","given":"","non-dropping-particle":"","parse-names":false,"suffix":""}],"id":"ITEM-1","issue":"16/06/2016","issued":{"date-parts":[["2013"]]},"title":"Ley 26.905 Consumo de sodio. Valores Máximos.","type":"webpage"},"uris":["http://www.mendeley.com/documents/?uuid=581f240a-2254-37ce-9d1e-ffbb34771f93","http://www.mendeley.com/documents/?uuid=93821762-1432-48e3-a2a5-40168d0d83bd"]}],"mendeley":{"formattedCitation":"(12)","plainTextFormattedCitation":"(12)","previouslyFormattedCitation":"(12)"},"properties":{"noteIndex":0},"schema":"https://github.com/citation-style-language/schema/raw/master/csl-citation.json"}</w:instrText>
            </w:r>
            <w:r w:rsidRPr="009A7026">
              <w:rPr>
                <w:rFonts w:eastAsia="Times New Roman" w:cs="Times New Roman"/>
                <w:szCs w:val="20"/>
                <w:lang w:eastAsia="en-NZ"/>
              </w:rPr>
              <w:fldChar w:fldCharType="separate"/>
            </w:r>
            <w:r w:rsidRPr="009A7026">
              <w:rPr>
                <w:rFonts w:eastAsia="Times New Roman" w:cs="Times New Roman"/>
                <w:noProof/>
                <w:szCs w:val="20"/>
                <w:lang w:eastAsia="en-NZ"/>
              </w:rPr>
              <w:t>(12)</w:t>
            </w:r>
            <w:r w:rsidRPr="009A7026">
              <w:rPr>
                <w:rFonts w:eastAsia="Times New Roman" w:cs="Times New Roman"/>
                <w:szCs w:val="20"/>
                <w:lang w:eastAsia="en-NZ"/>
              </w:rPr>
              <w:fldChar w:fldCharType="end"/>
            </w:r>
            <w:r w:rsidRPr="009A7026">
              <w:rPr>
                <w:rFonts w:eastAsia="Times New Roman" w:cs="Times New Roman"/>
                <w:szCs w:val="20"/>
                <w:lang w:eastAsia="en-NZ"/>
              </w:rPr>
              <w:t>. The legislation is embedded into a wider initiative (Less Salt, More Life) which also includes the reduction of salt in processed foods through voluntary agreements with manufacturers, retailers and bakers, and public awareness of the health effects and the need to reduce discretional salt. To date</w:t>
            </w:r>
            <w:r w:rsidR="00251869">
              <w:rPr>
                <w:rFonts w:eastAsia="Times New Roman" w:cs="Times New Roman"/>
                <w:szCs w:val="20"/>
                <w:lang w:eastAsia="en-NZ"/>
              </w:rPr>
              <w:t>,</w:t>
            </w:r>
            <w:r w:rsidRPr="009A7026">
              <w:rPr>
                <w:rFonts w:eastAsia="Times New Roman" w:cs="Times New Roman"/>
                <w:szCs w:val="20"/>
                <w:lang w:eastAsia="en-NZ"/>
              </w:rPr>
              <w:t xml:space="preserve"> about 60 companies representing 487 processed food products and more than 9000 bakeries have signed the voluntary agreement </w:t>
            </w:r>
            <w:r w:rsidRPr="009A7026">
              <w:rPr>
                <w:rFonts w:eastAsia="Times New Roman" w:cs="Times New Roman"/>
                <w:szCs w:val="20"/>
                <w:lang w:eastAsia="en-NZ"/>
              </w:rPr>
              <w:fldChar w:fldCharType="begin" w:fldLock="1"/>
            </w:r>
            <w:r w:rsidRPr="009A7026">
              <w:rPr>
                <w:rFonts w:eastAsia="Times New Roman" w:cs="Times New Roman"/>
                <w:szCs w:val="20"/>
                <w:lang w:eastAsia="en-NZ"/>
              </w:rPr>
              <w:instrText>ADDIN CSL_CITATION {"citationItems":[{"id":"ITEM-1","itemData":{"URL":"http://www.wcrf.org/int/policy/nourishing-framework/improve-food-supply","author":[{"dropping-particle":"","family":"World Cancer Research Fund","given":"","non-dropping-particle":"","parse-names":false,"suffix":""}],"id":"ITEM-1","issue":"19/02/2016","issued":{"date-parts":[["2016"]]},"publisher":"World Cancer Research Fund","title":"NOURISHING Framework - Improving the food supply","type":"webpage"},"uris":["http://www.mendeley.com/documents/?uuid=b69c5d79-526c-41d8-9684-ecc87dbf8784","http://www.mendeley.com/documents/?uuid=3a511843-16c8-3532-a937-5530b1a25ada"]}],"mendeley":{"formattedCitation":"(11)","plainTextFormattedCitation":"(11)","previouslyFormattedCitation":"(11)"},"properties":{"noteIndex":0},"schema":"https://github.com/citation-style-language/schema/raw/master/csl-citation.json"}</w:instrText>
            </w:r>
            <w:r w:rsidRPr="009A7026">
              <w:rPr>
                <w:rFonts w:eastAsia="Times New Roman" w:cs="Times New Roman"/>
                <w:szCs w:val="20"/>
                <w:lang w:eastAsia="en-NZ"/>
              </w:rPr>
              <w:fldChar w:fldCharType="separate"/>
            </w:r>
            <w:r w:rsidRPr="009A7026">
              <w:rPr>
                <w:rFonts w:eastAsia="Times New Roman" w:cs="Times New Roman"/>
                <w:noProof/>
                <w:szCs w:val="20"/>
                <w:lang w:eastAsia="en-NZ"/>
              </w:rPr>
              <w:t>(11)</w:t>
            </w:r>
            <w:r w:rsidRPr="009A7026">
              <w:rPr>
                <w:rFonts w:eastAsia="Times New Roman" w:cs="Times New Roman"/>
                <w:szCs w:val="20"/>
                <w:lang w:eastAsia="en-NZ"/>
              </w:rPr>
              <w:fldChar w:fldCharType="end"/>
            </w:r>
            <w:r w:rsidRPr="009A7026">
              <w:rPr>
                <w:rFonts w:eastAsia="Times New Roman" w:cs="Times New Roman"/>
                <w:szCs w:val="20"/>
                <w:lang w:eastAsia="en-NZ"/>
              </w:rPr>
              <w:t>.</w:t>
            </w:r>
          </w:p>
          <w:p w14:paraId="70D4B676" w14:textId="77777777" w:rsidR="00D96B05" w:rsidRPr="0091450A" w:rsidRDefault="00D96B05" w:rsidP="00D96B05">
            <w:pPr>
              <w:numPr>
                <w:ilvl w:val="0"/>
                <w:numId w:val="50"/>
              </w:numPr>
              <w:ind w:left="284" w:hanging="284"/>
            </w:pPr>
            <w:r w:rsidRPr="0091450A">
              <w:rPr>
                <w:b/>
              </w:rPr>
              <w:t>South-Africa</w:t>
            </w:r>
            <w:r w:rsidRPr="0091450A">
              <w:t xml:space="preserve">: In 2013, the South African Department of Health adopted mandatory targets for salt reduction in 13 food categories (including bread, breakfast cereals, margarines and fat spreads, savoury snacks, processed meats as well as raw-processed meat sausages, dry soup and gravy powders and stock cubes) by means of regulation (Foodstuffs, Cosmetics and Disinfectants Act). There is a stepped approach with food manufacturers given until June 2016 to meet one set of category-based targets and another three years until June 2019 to meet the next </w:t>
            </w:r>
            <w:r w:rsidRPr="0091450A">
              <w:rPr>
                <w:rFonts w:eastAsia="Times New Roman" w:cs="Times New Roman"/>
                <w:szCs w:val="20"/>
                <w:lang w:eastAsia="en-NZ"/>
              </w:rPr>
              <w:fldChar w:fldCharType="begin" w:fldLock="1"/>
            </w:r>
            <w:r w:rsidRPr="0091450A">
              <w:rPr>
                <w:rFonts w:eastAsia="Times New Roman" w:cs="Times New Roman"/>
                <w:szCs w:val="20"/>
                <w:lang w:eastAsia="en-NZ"/>
              </w:rPr>
              <w:instrText>ADDIN CSL_CITATION {"citationItems":[{"id":"ITEM-1","itemData":{"DOI":"10.1016/S2214-109X(13)70019-6","ISBN":"2214-109X (Electronic)\r2214-109X (Linking)","PMID":"25104152","author":[{"dropping-particle":"","family":"Hofman","given":"K J","non-dropping-particle":"","parse-names":false,"suffix":""},{"dropping-particle":"","family":"Tollman","given":"S M","non-dropping-particle":"","parse-names":false,"suffix":""}],"container-title":"Lancet Glob Health","id":"ITEM-1","issue":"2","issued":{"date-parts":[["2013"]]},"page":"e66-7","title":"Population health in South Africa: a view from the salt mines","type":"article-journal","volume":"1"},"uris":["http://www.mendeley.com/documents/?uuid=2a49b8bf-0301-3e49-8ba5-039a9aac2905","http://www.mendeley.com/documents/?uuid=d59cdc60-41be-4cbe-a0e8-5ed0d225e809"]},{"id":"ITEM-2","itemData":{"URL":"http://www.wcrf.org/int/policy/nourishing-framework/improve-food-supply","author":[{"dropping-particle":"","family":"World Cancer Research Fund","given":"","non-dropping-particle":"","parse-names":false,"suffix":""}],"id":"ITEM-2","issue":"19/02/2016","issued":{"date-parts":[["2016"]]},"publisher":"World Cancer Research Fund","title":"NOURISHING Framework - Improving the food supply","type":"webpage"},"uris":["http://www.mendeley.com/documents/?uuid=b69c5d79-526c-41d8-9684-ecc87dbf8784","http://www.mendeley.com/documents/?uuid=3a511843-16c8-3532-a937-5530b1a25ada"]}],"mendeley":{"formattedCitation":"(11,13)","plainTextFormattedCitation":"(11,13)","previouslyFormattedCitation":"(11,13)"},"properties":{"noteIndex":0},"schema":"https://github.com/citation-style-language/schema/raw/master/csl-citation.json"}</w:instrText>
            </w:r>
            <w:r w:rsidRPr="0091450A">
              <w:rPr>
                <w:rFonts w:eastAsia="Times New Roman" w:cs="Times New Roman"/>
                <w:szCs w:val="20"/>
                <w:lang w:eastAsia="en-NZ"/>
              </w:rPr>
              <w:fldChar w:fldCharType="separate"/>
            </w:r>
            <w:r w:rsidRPr="0091450A">
              <w:rPr>
                <w:rFonts w:eastAsia="Times New Roman" w:cs="Times New Roman"/>
                <w:noProof/>
                <w:szCs w:val="20"/>
                <w:lang w:eastAsia="en-NZ"/>
              </w:rPr>
              <w:t>(11,13)</w:t>
            </w:r>
            <w:r w:rsidRPr="0091450A">
              <w:rPr>
                <w:rFonts w:eastAsia="Times New Roman" w:cs="Times New Roman"/>
                <w:szCs w:val="20"/>
                <w:lang w:eastAsia="en-NZ"/>
              </w:rPr>
              <w:fldChar w:fldCharType="end"/>
            </w:r>
            <w:r w:rsidRPr="0091450A">
              <w:rPr>
                <w:rFonts w:eastAsia="Times New Roman" w:cs="Times New Roman"/>
                <w:szCs w:val="20"/>
                <w:lang w:eastAsia="en-NZ"/>
              </w:rPr>
              <w:t>.</w:t>
            </w:r>
            <w:r w:rsidRPr="0091450A">
              <w:t xml:space="preserve"> The specific reduction targets for each of the food groups can be found in the </w:t>
            </w:r>
            <w:proofErr w:type="spellStart"/>
            <w:r w:rsidRPr="0091450A">
              <w:t>Staatskoerant</w:t>
            </w:r>
            <w:proofErr w:type="spellEnd"/>
            <w:r w:rsidRPr="0091450A">
              <w:t xml:space="preserve"> of 20 March 2013 </w:t>
            </w:r>
            <w:r w:rsidRPr="0091450A">
              <w:rPr>
                <w:rFonts w:eastAsia="Times New Roman" w:cs="Times New Roman"/>
                <w:szCs w:val="20"/>
                <w:lang w:eastAsia="en-NZ"/>
              </w:rPr>
              <w:fldChar w:fldCharType="begin" w:fldLock="1"/>
            </w:r>
            <w:r w:rsidRPr="0091450A">
              <w:rPr>
                <w:rFonts w:eastAsia="Times New Roman" w:cs="Times New Roman"/>
                <w:szCs w:val="20"/>
                <w:lang w:eastAsia="en-NZ"/>
              </w:rPr>
              <w:instrText>ADDIN CSL_CITATION {"citationItems":[{"id":"ITEM-1","itemData":{"URL":"http://www.heartfoundation.co.za/sites/default/files/articles/South Africa salt legislation.pdf","author":[{"dropping-particle":"","family":"Department of Health","given":"","non-dropping-particle":"","parse-names":false,"suffix":""}],"id":"ITEM-1","issue":"16/06/2016","issued":{"date-parts":[["2013"]]},"publisher":"Staatskoerant","title":"Regulations relating to the reduction of sodium in certain foodstuffs and related matters","type":"webpage"},"uris":["http://www.mendeley.com/documents/?uuid=15107a9d-e182-3413-a966-c1d885c3901a","http://www.mendeley.com/documents/?uuid=551fa70d-80d1-4dcf-8d99-be35719c5547"]}],"mendeley":{"formattedCitation":"(14)","plainTextFormattedCitation":"(14)","previouslyFormattedCitation":"(14)"},"properties":{"noteIndex":0},"schema":"https://github.com/citation-style-language/schema/raw/master/csl-citation.json"}</w:instrText>
            </w:r>
            <w:r w:rsidRPr="0091450A">
              <w:rPr>
                <w:rFonts w:eastAsia="Times New Roman" w:cs="Times New Roman"/>
                <w:szCs w:val="20"/>
                <w:lang w:eastAsia="en-NZ"/>
              </w:rPr>
              <w:fldChar w:fldCharType="separate"/>
            </w:r>
            <w:r w:rsidRPr="0091450A">
              <w:rPr>
                <w:rFonts w:eastAsia="Times New Roman" w:cs="Times New Roman"/>
                <w:noProof/>
                <w:szCs w:val="20"/>
                <w:lang w:eastAsia="en-NZ"/>
              </w:rPr>
              <w:t>(14)</w:t>
            </w:r>
            <w:r w:rsidRPr="0091450A">
              <w:rPr>
                <w:rFonts w:eastAsia="Times New Roman" w:cs="Times New Roman"/>
                <w:szCs w:val="20"/>
                <w:lang w:eastAsia="en-NZ"/>
              </w:rPr>
              <w:fldChar w:fldCharType="end"/>
            </w:r>
            <w:r w:rsidRPr="0091450A">
              <w:rPr>
                <w:rFonts w:eastAsia="Times New Roman" w:cs="Times New Roman"/>
                <w:szCs w:val="20"/>
                <w:lang w:eastAsia="en-NZ"/>
              </w:rPr>
              <w:t>.</w:t>
            </w:r>
          </w:p>
          <w:p w14:paraId="697C6B22" w14:textId="40B243C7" w:rsidR="00B26E8C" w:rsidRPr="0091450A" w:rsidRDefault="00D96B05" w:rsidP="004D54A4">
            <w:pPr>
              <w:numPr>
                <w:ilvl w:val="0"/>
                <w:numId w:val="50"/>
              </w:numPr>
              <w:ind w:left="284" w:hanging="284"/>
              <w:rPr>
                <w:rFonts w:cs="Times New Roman"/>
                <w:szCs w:val="20"/>
              </w:rPr>
            </w:pPr>
            <w:r w:rsidRPr="00D96B05">
              <w:rPr>
                <w:b/>
              </w:rPr>
              <w:t>France</w:t>
            </w:r>
            <w:r w:rsidRPr="0091450A">
              <w:t xml:space="preserve">: As part of the French National Nutrition and Health Programme (PNNS), the Ministry of Health established a Charter of Engagement with the food industry (2008). One area of action is improving the nutritional composition of food products by reducing the amount of salt, sugar, total and saturated fats and increasing the amount of fibre. </w:t>
            </w:r>
            <w:r w:rsidRPr="00D96B05">
              <w:rPr>
                <w:rFonts w:eastAsia="Times New Roman" w:cs="Times New Roman"/>
                <w:szCs w:val="20"/>
                <w:lang w:eastAsia="en-NZ"/>
              </w:rPr>
              <w:t>Any entity with an economic interest in the food industry is eligible to submit nutritional commitments. Nine principles are detailed: compliance, honesty, efficiency, retroactivity, fairness, transparency, monitoring, updating, and confidentiality. Commitments must be clear, accurate, precise, dated, and controllable.</w:t>
            </w:r>
            <w:r w:rsidRPr="0091450A">
              <w:t xml:space="preserve"> To date, over 35 companies have made voluntary commitments, which are reviewed and approved by an external committee of 24 public sector experts to ensure they are ‘significant’. There is a strict follow-up. The approved charters are signed by the food industry and monitored by the Food Quality Observatory (created in 2008) </w:t>
            </w:r>
            <w:r w:rsidRPr="00D96B05">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{"citationItems":[{"id":"ITEM-1","itemData":{"DOI":"10.3945/an.112.001941","ISBN":"2156-5376 (Electronic)\r2161-8313 (Linking)","PMID":"22798000","author":[{"dropping-particle":"","family":"Chauliac","given":"M","non-dropping-particle":"","parse-names":false,"suffix":""},{"dropping-particle":"","family":"Hercberg","given":"S","non-dropping-particle":"","parse-names":false,"suffix":""}],"container-title":"Adv Nutr","id":"ITEM-1","issue":"4","issued":{"date-parts":[["2012"]]},"page":"605S-610S","title":"Changing the food environment: the French experience","type":"article-journal","volume":"3"},"uris":["http://www.mendeley.com/documents/?uuid=16a9d4f6-08d4-3225-8caa-33f70c2f558c","http://www.mendeley.com/documents/?uuid=404adc47-d4c0-46d3-91f3-57933d64e841"]},{"id":"ITEM-2","itemData":{"URL":"http://www.wcrf.org/int/policy/nourishing-framework/improve-food-supply","author":[{"dropping-particle":"","family":"World Cancer Research Fund","given":"","non-dropping-particle":"","parse-names":false,"suffix":""}],"id":"ITEM-2","issue":"19/02/2016","issued":{"date-parts":[["2016"]]},"publisher":"World Cancer Research Fund","title":"NOURISHING Framework - Improving the food supply","type":"webpage"},"uris":["http://www.mendeley.com/documents/?uuid=b69c5d79-526c-41d8-9684-ecc87dbf8784","http://www.mendeley.com/documents/?uuid=3a511843-16c8-3532-a937-5530b1a25ada"]}],"mendeley":{"formattedCitation":"(11,15)","plainTextFormattedCitation":"(11,15)","previouslyFormattedCitation":"(11,15)"},"properties":{"noteIndex":0},"schema":"https://github.com/citation-style-language/schema/raw/master/csl-citation.json"}</w:instrText>
            </w:r>
            <w:r w:rsidRPr="00D96B05">
              <w:rPr>
                <w:rFonts w:eastAsia="Times New Roman" w:cs="Times New Roman"/>
                <w:szCs w:val="20"/>
                <w:lang w:eastAsia="en-NZ"/>
              </w:rPr>
              <w:fldChar w:fldCharType="separate"/>
            </w:r>
            <w:r w:rsidR="00A90C92" w:rsidRPr="00A90C92">
              <w:rPr>
                <w:rFonts w:eastAsia="Times New Roman" w:cs="Times New Roman"/>
                <w:noProof/>
                <w:szCs w:val="20"/>
                <w:lang w:eastAsia="en-NZ"/>
              </w:rPr>
              <w:t>(11,15)</w:t>
            </w:r>
            <w:r w:rsidRPr="00D96B05">
              <w:rPr>
                <w:rFonts w:eastAsia="Times New Roman" w:cs="Times New Roman"/>
                <w:szCs w:val="20"/>
                <w:lang w:eastAsia="en-NZ"/>
              </w:rPr>
              <w:fldChar w:fldCharType="end"/>
            </w:r>
            <w:r w:rsidRPr="00D96B05">
              <w:rPr>
                <w:rFonts w:eastAsia="Times New Roman" w:cs="Times New Roman"/>
                <w:szCs w:val="20"/>
                <w:lang w:eastAsia="en-NZ"/>
              </w:rPr>
              <w:t>.</w:t>
            </w:r>
          </w:p>
        </w:tc>
      </w:tr>
    </w:tbl>
    <w:p w14:paraId="428FDFC5" w14:textId="77777777" w:rsidR="00B203FC" w:rsidRPr="0091450A" w:rsidRDefault="00B203FC" w:rsidP="002D613F">
      <w:pPr>
        <w:spacing w:line="240" w:lineRule="auto"/>
      </w:pPr>
    </w:p>
    <w:tbl>
      <w:tblPr>
        <w:tblStyle w:val="TableGrid"/>
        <w:tblW w:w="9242" w:type="dxa"/>
        <w:tblLook w:val="04A0" w:firstRow="1" w:lastRow="0" w:firstColumn="1" w:lastColumn="0" w:noHBand="0" w:noVBand="1"/>
      </w:tblPr>
      <w:tblGrid>
        <w:gridCol w:w="9242"/>
      </w:tblGrid>
      <w:tr w:rsidR="0042167D" w:rsidRPr="0091450A" w14:paraId="391806F3" w14:textId="77777777" w:rsidTr="5AC0CDEF">
        <w:tc>
          <w:tcPr>
            <w:tcW w:w="9242" w:type="dxa"/>
          </w:tcPr>
          <w:p w14:paraId="25AB563C" w14:textId="03FA5585" w:rsidR="0042167D" w:rsidRPr="0091450A" w:rsidRDefault="0042167D" w:rsidP="002D613F">
            <w:pPr>
              <w:spacing w:after="40"/>
              <w:jc w:val="both"/>
              <w:rPr>
                <w:rFonts w:eastAsia="Times New Roman" w:cs="Times New Roman"/>
                <w:b/>
                <w:bCs/>
                <w:szCs w:val="20"/>
                <w:lang w:eastAsia="en-NZ"/>
              </w:rPr>
            </w:pPr>
            <w:r w:rsidRPr="0091450A">
              <w:rPr>
                <w:rFonts w:cs="Times New Roman"/>
                <w:b/>
                <w:color w:val="1F497D" w:themeColor="text2"/>
                <w:sz w:val="28"/>
                <w:szCs w:val="28"/>
              </w:rPr>
              <w:t xml:space="preserve">1 FOOD COMPOSITION: </w:t>
            </w:r>
            <w:r w:rsidRPr="0091450A">
              <w:rPr>
                <w:rFonts w:eastAsia="Times New Roman" w:cs="Times New Roman"/>
                <w:bCs/>
                <w:szCs w:val="20"/>
                <w:lang w:eastAsia="en-NZ"/>
              </w:rPr>
              <w:t xml:space="preserve">There are government systems implemented to ensure that, where practicable, processed foods minimise the energy density and the nutrients of concern (salt, fat, saturated fat, </w:t>
            </w:r>
            <w:r w:rsidRPr="0091450A">
              <w:rPr>
                <w:rFonts w:eastAsia="Times New Roman" w:cs="Times New Roman"/>
                <w:bCs/>
                <w:i/>
                <w:szCs w:val="20"/>
                <w:lang w:eastAsia="en-NZ"/>
              </w:rPr>
              <w:t>trans</w:t>
            </w:r>
            <w:r w:rsidRPr="0091450A">
              <w:rPr>
                <w:rFonts w:eastAsia="Times New Roman" w:cs="Times New Roman"/>
                <w:bCs/>
                <w:szCs w:val="20"/>
                <w:lang w:eastAsia="en-NZ"/>
              </w:rPr>
              <w:t xml:space="preserve"> fat, added sugar)</w:t>
            </w:r>
            <w:r w:rsidR="00CF6EB2" w:rsidRPr="0091450A">
              <w:rPr>
                <w:rFonts w:eastAsia="Times New Roman" w:cs="Times New Roman"/>
                <w:bCs/>
                <w:szCs w:val="20"/>
                <w:lang w:eastAsia="en-NZ"/>
              </w:rPr>
              <w:t>.</w:t>
            </w:r>
          </w:p>
        </w:tc>
      </w:tr>
      <w:tr w:rsidR="00F34474" w:rsidRPr="0091450A" w14:paraId="1132286F" w14:textId="135019B6" w:rsidTr="5AC0CDEF">
        <w:tc>
          <w:tcPr>
            <w:tcW w:w="9242" w:type="dxa"/>
          </w:tcPr>
          <w:p w14:paraId="61F86471" w14:textId="064AF088" w:rsidR="00F34474" w:rsidRPr="0091450A" w:rsidRDefault="00AF63EA" w:rsidP="002D613F">
            <w:pPr>
              <w:spacing w:before="40" w:after="40"/>
              <w:jc w:val="both"/>
              <w:rPr>
                <w:rFonts w:cs="Times New Roman"/>
                <w:b/>
                <w:sz w:val="28"/>
                <w:szCs w:val="28"/>
              </w:rPr>
            </w:pPr>
            <w:bookmarkStart w:id="16" w:name="_Toc31623715"/>
            <w:r w:rsidRPr="0091450A">
              <w:rPr>
                <w:rStyle w:val="Heading3Char"/>
              </w:rPr>
              <w:t>COMP 2</w:t>
            </w:r>
            <w:bookmarkEnd w:id="16"/>
            <w:r w:rsidR="00F34474" w:rsidRPr="0091450A">
              <w:rPr>
                <w:rFonts w:cs="Times New Roman"/>
                <w:b/>
                <w:color w:val="1F497D" w:themeColor="text2"/>
                <w:sz w:val="28"/>
                <w:szCs w:val="28"/>
              </w:rPr>
              <w:t xml:space="preserve">: </w:t>
            </w:r>
            <w:r w:rsidR="00471418" w:rsidRPr="0091450A">
              <w:rPr>
                <w:rFonts w:eastAsia="Times New Roman" w:cs="Times New Roman"/>
                <w:b/>
                <w:bCs/>
                <w:szCs w:val="20"/>
                <w:lang w:eastAsia="en-NZ"/>
              </w:rPr>
              <w:t>Food composition targets/standards have been established for out-of-home meals in food service outlets by the government for the content of the nutrients of concern in certain foods or food groups if they are major contributors to population intakes of these nutrients of concern (</w:t>
            </w:r>
            <w:r w:rsidR="00471418" w:rsidRPr="0091450A">
              <w:rPr>
                <w:rFonts w:eastAsia="Times New Roman" w:cs="Times New Roman"/>
                <w:b/>
                <w:bCs/>
                <w:i/>
                <w:szCs w:val="20"/>
                <w:lang w:eastAsia="en-NZ"/>
              </w:rPr>
              <w:t xml:space="preserve">trans </w:t>
            </w:r>
            <w:r w:rsidR="00471418" w:rsidRPr="0091450A">
              <w:rPr>
                <w:rFonts w:eastAsia="Times New Roman" w:cs="Times New Roman"/>
                <w:b/>
                <w:bCs/>
                <w:szCs w:val="20"/>
                <w:lang w:eastAsia="en-NZ"/>
              </w:rPr>
              <w:t>fats, added s</w:t>
            </w:r>
            <w:r w:rsidR="00C32B16" w:rsidRPr="0091450A">
              <w:rPr>
                <w:rFonts w:eastAsia="Times New Roman" w:cs="Times New Roman"/>
                <w:b/>
                <w:bCs/>
                <w:szCs w:val="20"/>
                <w:lang w:eastAsia="en-NZ"/>
              </w:rPr>
              <w:t>ugars, salt, and saturated fat)</w:t>
            </w:r>
            <w:r w:rsidR="00CF6EB2" w:rsidRPr="0091450A">
              <w:rPr>
                <w:rFonts w:eastAsia="Times New Roman" w:cs="Times New Roman"/>
                <w:b/>
                <w:bCs/>
                <w:szCs w:val="20"/>
                <w:lang w:eastAsia="en-NZ"/>
              </w:rPr>
              <w:t>.</w:t>
            </w:r>
          </w:p>
        </w:tc>
      </w:tr>
      <w:tr w:rsidR="00F34474" w:rsidRPr="0091450A" w14:paraId="13C2D138" w14:textId="59768038" w:rsidTr="005D6133">
        <w:trPr>
          <w:trHeight w:val="1975"/>
        </w:trPr>
        <w:tc>
          <w:tcPr>
            <w:tcW w:w="9242" w:type="dxa"/>
          </w:tcPr>
          <w:p w14:paraId="36945D30" w14:textId="43B5C72E" w:rsidR="00C0619B" w:rsidRPr="0091450A" w:rsidRDefault="001C0897"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w:t>
            </w:r>
            <w:r w:rsidR="00C0619B" w:rsidRPr="0091450A">
              <w:rPr>
                <w:rFonts w:cs="Times New Roman"/>
                <w:b/>
                <w:color w:val="1F497D" w:themeColor="text2"/>
                <w:sz w:val="28"/>
                <w:szCs w:val="28"/>
              </w:rPr>
              <w:t xml:space="preserve"> </w:t>
            </w:r>
            <w:r w:rsidR="00C04080" w:rsidRPr="0091450A">
              <w:rPr>
                <w:rFonts w:cs="Times New Roman"/>
                <w:b/>
                <w:color w:val="1F497D" w:themeColor="text2"/>
                <w:sz w:val="28"/>
                <w:szCs w:val="28"/>
              </w:rPr>
              <w:t>of implementation</w:t>
            </w:r>
          </w:p>
          <w:p w14:paraId="6412F86A" w14:textId="0C862C9E" w:rsidR="002F2C1A" w:rsidRPr="0091450A" w:rsidRDefault="002F2C1A" w:rsidP="002D613F">
            <w:pPr>
              <w:pStyle w:val="ListParagraph"/>
              <w:numPr>
                <w:ilvl w:val="0"/>
                <w:numId w:val="92"/>
              </w:numPr>
              <w:spacing w:before="40" w:after="40"/>
              <w:ind w:left="284" w:hanging="284"/>
              <w:contextualSpacing w:val="0"/>
            </w:pPr>
            <w:r w:rsidRPr="0091450A">
              <w:t xml:space="preserve">There are no food composition targets specified by the Ministry of Health (MoH) or the Ministry for Primary Industries (MPI) for out-of-home meals for the nutrients of concern. </w:t>
            </w:r>
          </w:p>
          <w:p w14:paraId="6CA391D6" w14:textId="280A4CD5" w:rsidR="004C5F7C" w:rsidRPr="0091450A" w:rsidRDefault="00D418C5" w:rsidP="002D613F">
            <w:pPr>
              <w:numPr>
                <w:ilvl w:val="0"/>
                <w:numId w:val="41"/>
              </w:numPr>
              <w:spacing w:before="40" w:after="40"/>
              <w:ind w:left="284" w:hanging="284"/>
              <w:rPr>
                <w:rFonts w:cs="Times New Roman"/>
                <w:szCs w:val="20"/>
                <w:lang w:eastAsia="en-NZ"/>
              </w:rPr>
            </w:pPr>
            <w:r w:rsidRPr="0091450A">
              <w:rPr>
                <w:rFonts w:cs="Times New Roman"/>
                <w:szCs w:val="20"/>
                <w:lang w:eastAsia="en-NZ"/>
              </w:rPr>
              <w:t xml:space="preserve">The Chip Group initiative aims to improve </w:t>
            </w:r>
            <w:r w:rsidR="002B6781" w:rsidRPr="0091450A">
              <w:rPr>
                <w:rFonts w:cs="Times New Roman"/>
                <w:szCs w:val="20"/>
                <w:lang w:eastAsia="en-NZ"/>
              </w:rPr>
              <w:t xml:space="preserve">the </w:t>
            </w:r>
            <w:r w:rsidRPr="0091450A">
              <w:rPr>
                <w:rFonts w:cs="Times New Roman"/>
                <w:szCs w:val="20"/>
                <w:lang w:eastAsia="en-NZ"/>
              </w:rPr>
              <w:t xml:space="preserve">nutrient profile of food service deep-fried chips by reducing fat (total, saturated, </w:t>
            </w:r>
            <w:r w:rsidRPr="0091450A">
              <w:rPr>
                <w:rFonts w:cs="Times New Roman"/>
                <w:i/>
                <w:szCs w:val="20"/>
                <w:lang w:eastAsia="en-NZ"/>
              </w:rPr>
              <w:t>trans</w:t>
            </w:r>
            <w:r w:rsidRPr="0091450A">
              <w:rPr>
                <w:rFonts w:cs="Times New Roman"/>
                <w:szCs w:val="20"/>
                <w:lang w:eastAsia="en-NZ"/>
              </w:rPr>
              <w:t>) and salt</w:t>
            </w:r>
            <w:r w:rsidR="001A2D0C" w:rsidRPr="0091450A">
              <w:rPr>
                <w:rFonts w:cs="Times New Roman"/>
                <w:szCs w:val="20"/>
                <w:lang w:eastAsia="en-NZ"/>
              </w:rPr>
              <w:t xml:space="preserve"> </w:t>
            </w:r>
            <w:r w:rsidR="00B657C4" w:rsidRPr="0091450A">
              <w:rPr>
                <w:rFonts w:cs="Times New Roman"/>
                <w:szCs w:val="20"/>
                <w:lang w:eastAsia="en-NZ"/>
              </w:rPr>
              <w:fldChar w:fldCharType="begin" w:fldLock="1"/>
            </w:r>
            <w:r w:rsidR="002B6CB8">
              <w:rPr>
                <w:rFonts w:cs="Times New Roman"/>
                <w:szCs w:val="20"/>
                <w:lang w:eastAsia="en-NZ"/>
              </w:rPr>
              <w:instrText>ADDIN CSL_CITATION {"citationItems":[{"id":"ITEM-1","itemData":{"URL":"http://blog.thechipgroup.co.nz/","author":[{"dropping-particle":"","family":"The Chip Group","given":"","non-dropping-particle":"","parse-names":false,"suffix":""}],"id":"ITEM-1","issue":"16/01/2014","issued":{"date-parts":[["0"]]},"title":"The Chip Group. Helping you to make better chips","type":"webpage"},"uris":["http://www.mendeley.com/documents/?uuid=16312959-87af-3487-a498-2796f5d96e8b","http://www.mendeley.com/documents/?uuid=bb88091a-c87a-469e-b0cb-69d447c3972f"]}],"mendeley":{"formattedCitation":"(16)","plainTextFormattedCitation":"(16)","previouslyFormattedCitation":"(16)"},"properties":{"noteIndex":0},"schema":"https://github.com/citation-style-language/schema/raw/master/csl-citation.json"}</w:instrText>
            </w:r>
            <w:r w:rsidR="00B657C4" w:rsidRPr="0091450A">
              <w:rPr>
                <w:rFonts w:cs="Times New Roman"/>
                <w:szCs w:val="20"/>
                <w:lang w:eastAsia="en-NZ"/>
              </w:rPr>
              <w:fldChar w:fldCharType="separate"/>
            </w:r>
            <w:r w:rsidR="00A90C92" w:rsidRPr="00A90C92">
              <w:rPr>
                <w:rFonts w:cs="Times New Roman"/>
                <w:noProof/>
                <w:szCs w:val="20"/>
                <w:lang w:eastAsia="en-NZ"/>
              </w:rPr>
              <w:t>(16)</w:t>
            </w:r>
            <w:r w:rsidR="00B657C4" w:rsidRPr="0091450A">
              <w:rPr>
                <w:rFonts w:cs="Times New Roman"/>
                <w:szCs w:val="20"/>
                <w:lang w:eastAsia="en-NZ"/>
              </w:rPr>
              <w:fldChar w:fldCharType="end"/>
            </w:r>
            <w:r w:rsidRPr="0091450A">
              <w:rPr>
                <w:rFonts w:cs="Times New Roman"/>
                <w:szCs w:val="20"/>
                <w:lang w:eastAsia="en-NZ"/>
              </w:rPr>
              <w:t xml:space="preserve">. </w:t>
            </w:r>
            <w:r w:rsidR="00FC3D79">
              <w:rPr>
                <w:rFonts w:cs="Times New Roman"/>
                <w:szCs w:val="20"/>
                <w:lang w:eastAsia="en-NZ"/>
              </w:rPr>
              <w:t>I</w:t>
            </w:r>
            <w:r w:rsidRPr="0091450A">
              <w:rPr>
                <w:rFonts w:cs="Times New Roman"/>
                <w:szCs w:val="20"/>
                <w:lang w:eastAsia="en-NZ"/>
              </w:rPr>
              <w:t xml:space="preserve">t </w:t>
            </w:r>
            <w:r w:rsidR="00FC3D79">
              <w:rPr>
                <w:rFonts w:cs="Times New Roman"/>
                <w:szCs w:val="20"/>
                <w:lang w:eastAsia="en-NZ"/>
              </w:rPr>
              <w:t>was</w:t>
            </w:r>
            <w:r w:rsidRPr="0091450A">
              <w:rPr>
                <w:rFonts w:cs="Times New Roman"/>
                <w:szCs w:val="20"/>
                <w:lang w:eastAsia="en-NZ"/>
              </w:rPr>
              <w:t xml:space="preserve"> funded by both food industry </w:t>
            </w:r>
            <w:r w:rsidRPr="00A17354">
              <w:rPr>
                <w:rFonts w:cs="Times New Roman"/>
                <w:szCs w:val="20"/>
                <w:lang w:eastAsia="en-NZ"/>
              </w:rPr>
              <w:t>and the MoH</w:t>
            </w:r>
            <w:r w:rsidR="00851E7B">
              <w:rPr>
                <w:rFonts w:cs="Times New Roman"/>
                <w:szCs w:val="20"/>
                <w:lang w:eastAsia="en-NZ"/>
              </w:rPr>
              <w:t xml:space="preserve">, however the MoH </w:t>
            </w:r>
            <w:r w:rsidR="00FC3D79">
              <w:rPr>
                <w:rFonts w:cs="Times New Roman"/>
                <w:szCs w:val="20"/>
                <w:lang w:eastAsia="en-NZ"/>
              </w:rPr>
              <w:t>stopped</w:t>
            </w:r>
            <w:bookmarkStart w:id="17" w:name="_GoBack"/>
            <w:r w:rsidR="00851E7B">
              <w:rPr>
                <w:rFonts w:cs="Times New Roman"/>
                <w:szCs w:val="20"/>
                <w:lang w:eastAsia="en-NZ"/>
              </w:rPr>
              <w:t xml:space="preserve"> funding the Chip Group</w:t>
            </w:r>
            <w:bookmarkEnd w:id="17"/>
            <w:r w:rsidRPr="00A17354">
              <w:rPr>
                <w:rFonts w:cs="Times New Roman"/>
                <w:szCs w:val="20"/>
                <w:lang w:eastAsia="en-NZ"/>
              </w:rPr>
              <w:t xml:space="preserve"> </w:t>
            </w:r>
            <w:r w:rsidR="00FC3D79">
              <w:rPr>
                <w:rFonts w:cs="Times New Roman"/>
                <w:szCs w:val="20"/>
                <w:lang w:eastAsia="en-NZ"/>
              </w:rPr>
              <w:t xml:space="preserve">in January 2020 </w:t>
            </w:r>
            <w:r w:rsidRPr="00A17354">
              <w:rPr>
                <w:rFonts w:cs="Times New Roman"/>
                <w:szCs w:val="20"/>
                <w:lang w:eastAsia="en-NZ"/>
              </w:rPr>
              <w:t xml:space="preserve">(personal communication, </w:t>
            </w:r>
            <w:r w:rsidR="00851E7B">
              <w:rPr>
                <w:rFonts w:cs="Times New Roman"/>
                <w:szCs w:val="20"/>
                <w:lang w:eastAsia="en-NZ"/>
              </w:rPr>
              <w:t>Heart Foundation</w:t>
            </w:r>
            <w:r w:rsidRPr="00A17354">
              <w:rPr>
                <w:rFonts w:cs="Times New Roman"/>
                <w:szCs w:val="20"/>
                <w:lang w:eastAsia="en-NZ"/>
              </w:rPr>
              <w:t xml:space="preserve">, </w:t>
            </w:r>
            <w:r w:rsidR="00851E7B" w:rsidRPr="00A17354">
              <w:rPr>
                <w:rFonts w:cs="Times New Roman"/>
                <w:szCs w:val="20"/>
                <w:lang w:eastAsia="en-NZ"/>
              </w:rPr>
              <w:t>20</w:t>
            </w:r>
            <w:r w:rsidR="00851E7B">
              <w:rPr>
                <w:rFonts w:cs="Times New Roman"/>
                <w:szCs w:val="20"/>
                <w:lang w:eastAsia="en-NZ"/>
              </w:rPr>
              <w:t>20</w:t>
            </w:r>
            <w:r w:rsidRPr="00A17354">
              <w:rPr>
                <w:rFonts w:cs="Times New Roman"/>
                <w:szCs w:val="20"/>
                <w:lang w:eastAsia="en-NZ"/>
              </w:rPr>
              <w:t>). The Chip Group sets</w:t>
            </w:r>
            <w:r w:rsidRPr="00A17354">
              <w:rPr>
                <w:rFonts w:cs="Times New Roman"/>
                <w:szCs w:val="20"/>
              </w:rPr>
              <w:t xml:space="preserve"> </w:t>
            </w:r>
            <w:r w:rsidRPr="00A17354">
              <w:rPr>
                <w:rFonts w:cs="Times New Roman"/>
                <w:szCs w:val="20"/>
                <w:lang w:eastAsia="en-NZ"/>
              </w:rPr>
              <w:t>Industry</w:t>
            </w:r>
            <w:r w:rsidRPr="0091450A">
              <w:rPr>
                <w:rFonts w:cs="Times New Roman"/>
                <w:szCs w:val="20"/>
                <w:lang w:eastAsia="en-NZ"/>
              </w:rPr>
              <w:t xml:space="preserve"> Standards that are scientifically robust and achievable, including chip size, serving size, cooking time, basket drainage (shake, bang and hang), cooking oil temperature, salt addition, and oil type. The standards for a deep-frying oil are </w:t>
            </w:r>
            <w:r w:rsidR="00F73110">
              <w:rPr>
                <w:rFonts w:cs="Times New Roman"/>
                <w:szCs w:val="20"/>
                <w:lang w:eastAsia="en-NZ"/>
              </w:rPr>
              <w:t xml:space="preserve">a </w:t>
            </w:r>
            <w:r w:rsidRPr="0091450A">
              <w:rPr>
                <w:rFonts w:cs="Times New Roman"/>
                <w:szCs w:val="20"/>
                <w:lang w:eastAsia="en-NZ"/>
              </w:rPr>
              <w:t xml:space="preserve">maximum 28% saturated fat, max 3% </w:t>
            </w:r>
            <w:r w:rsidR="003D024F" w:rsidRPr="0091450A">
              <w:rPr>
                <w:rFonts w:cs="Times New Roman"/>
                <w:szCs w:val="20"/>
                <w:lang w:eastAsia="en-NZ"/>
              </w:rPr>
              <w:t>linoleic</w:t>
            </w:r>
            <w:r w:rsidRPr="0091450A">
              <w:rPr>
                <w:rFonts w:cs="Times New Roman"/>
                <w:szCs w:val="20"/>
                <w:lang w:eastAsia="en-NZ"/>
              </w:rPr>
              <w:t xml:space="preserve"> acid and max 1% </w:t>
            </w:r>
            <w:r w:rsidR="006F0860" w:rsidRPr="0091450A">
              <w:rPr>
                <w:rFonts w:cs="Times New Roman"/>
                <w:i/>
                <w:szCs w:val="20"/>
                <w:lang w:eastAsia="en-NZ"/>
              </w:rPr>
              <w:t>trans</w:t>
            </w:r>
            <w:r w:rsidR="006F0860" w:rsidRPr="0091450A">
              <w:rPr>
                <w:rFonts w:cs="Times New Roman"/>
                <w:szCs w:val="20"/>
                <w:lang w:eastAsia="en-NZ"/>
              </w:rPr>
              <w:t>-fat</w:t>
            </w:r>
            <w:r w:rsidRPr="0091450A">
              <w:rPr>
                <w:rFonts w:cs="Times New Roman"/>
                <w:szCs w:val="20"/>
                <w:lang w:eastAsia="en-NZ"/>
              </w:rPr>
              <w:t xml:space="preserve">. The Chip Group oil logo, for use on approved oil packaging and point-of-sale, was developed in 2010. There are currently 11 registered approved oils – including blends and new variety oils - marketed by </w:t>
            </w:r>
            <w:proofErr w:type="spellStart"/>
            <w:r w:rsidRPr="0091450A">
              <w:rPr>
                <w:rFonts w:cs="Times New Roman"/>
                <w:szCs w:val="20"/>
                <w:lang w:eastAsia="en-NZ"/>
              </w:rPr>
              <w:t>Bakels</w:t>
            </w:r>
            <w:proofErr w:type="spellEnd"/>
            <w:r w:rsidRPr="0091450A">
              <w:rPr>
                <w:rFonts w:cs="Times New Roman"/>
                <w:szCs w:val="20"/>
                <w:lang w:eastAsia="en-NZ"/>
              </w:rPr>
              <w:t xml:space="preserve">, </w:t>
            </w:r>
            <w:proofErr w:type="spellStart"/>
            <w:r w:rsidRPr="0091450A">
              <w:rPr>
                <w:rFonts w:cs="Times New Roman"/>
                <w:szCs w:val="20"/>
                <w:lang w:eastAsia="en-NZ"/>
              </w:rPr>
              <w:t>Integro</w:t>
            </w:r>
            <w:proofErr w:type="spellEnd"/>
            <w:r w:rsidRPr="0091450A">
              <w:rPr>
                <w:rFonts w:cs="Times New Roman"/>
                <w:szCs w:val="20"/>
                <w:lang w:eastAsia="en-NZ"/>
              </w:rPr>
              <w:t xml:space="preserve"> (</w:t>
            </w:r>
            <w:r w:rsidR="00F73110">
              <w:rPr>
                <w:rFonts w:cs="Times New Roman"/>
                <w:szCs w:val="20"/>
                <w:lang w:eastAsia="en-NZ"/>
              </w:rPr>
              <w:t xml:space="preserve">a </w:t>
            </w:r>
            <w:r w:rsidRPr="0091450A">
              <w:rPr>
                <w:rFonts w:cs="Times New Roman"/>
                <w:szCs w:val="20"/>
                <w:lang w:eastAsia="en-NZ"/>
              </w:rPr>
              <w:t xml:space="preserve">division of Goodman Fielder), </w:t>
            </w:r>
            <w:proofErr w:type="spellStart"/>
            <w:r w:rsidRPr="0091450A">
              <w:rPr>
                <w:rFonts w:cs="Times New Roman"/>
                <w:szCs w:val="20"/>
                <w:lang w:eastAsia="en-NZ"/>
              </w:rPr>
              <w:t>Cookright</w:t>
            </w:r>
            <w:proofErr w:type="spellEnd"/>
            <w:r w:rsidRPr="0091450A">
              <w:rPr>
                <w:rFonts w:cs="Times New Roman"/>
                <w:szCs w:val="20"/>
                <w:lang w:eastAsia="en-NZ"/>
              </w:rPr>
              <w:t xml:space="preserve">, Peerless, </w:t>
            </w:r>
            <w:r w:rsidR="003D024F" w:rsidRPr="0091450A">
              <w:rPr>
                <w:rFonts w:cs="Times New Roman"/>
                <w:szCs w:val="20"/>
                <w:lang w:eastAsia="en-NZ"/>
              </w:rPr>
              <w:t>and NZ</w:t>
            </w:r>
            <w:r w:rsidRPr="0091450A">
              <w:rPr>
                <w:rFonts w:cs="Times New Roman"/>
                <w:szCs w:val="20"/>
                <w:lang w:eastAsia="en-NZ"/>
              </w:rPr>
              <w:t xml:space="preserve"> Sugar/Wilmar. The Chip Group runs the Best Chip Shop Competition every second year to find the best providers of healthier</w:t>
            </w:r>
            <w:r w:rsidR="005D6133" w:rsidRPr="0091450A">
              <w:rPr>
                <w:rFonts w:cs="Times New Roman"/>
                <w:szCs w:val="20"/>
                <w:lang w:eastAsia="en-NZ"/>
              </w:rPr>
              <w:t xml:space="preserve"> </w:t>
            </w:r>
            <w:r w:rsidR="003D024F" w:rsidRPr="0091450A">
              <w:rPr>
                <w:rFonts w:cs="Times New Roman"/>
                <w:szCs w:val="20"/>
                <w:lang w:eastAsia="en-NZ"/>
              </w:rPr>
              <w:t>chips</w:t>
            </w:r>
            <w:r w:rsidR="003D024F" w:rsidRPr="0091450A">
              <w:rPr>
                <w:rFonts w:cs="Times New Roman"/>
                <w:szCs w:val="20"/>
              </w:rPr>
              <w:t>. There</w:t>
            </w:r>
            <w:r w:rsidR="00640623" w:rsidRPr="0091450A">
              <w:rPr>
                <w:rFonts w:cs="Times New Roman"/>
                <w:szCs w:val="20"/>
              </w:rPr>
              <w:t xml:space="preserve"> are awards presented for National Judge</w:t>
            </w:r>
            <w:r w:rsidR="0072519C" w:rsidRPr="0091450A">
              <w:rPr>
                <w:rFonts w:cs="Times New Roman"/>
                <w:szCs w:val="20"/>
              </w:rPr>
              <w:t xml:space="preserve">s’ Supreme Award, People’s </w:t>
            </w:r>
            <w:r w:rsidR="003D024F" w:rsidRPr="0091450A">
              <w:rPr>
                <w:rFonts w:cs="Times New Roman"/>
                <w:szCs w:val="20"/>
              </w:rPr>
              <w:t>Choice</w:t>
            </w:r>
            <w:r w:rsidR="0072519C" w:rsidRPr="0091450A">
              <w:rPr>
                <w:rFonts w:cs="Times New Roman"/>
                <w:szCs w:val="20"/>
              </w:rPr>
              <w:t xml:space="preserve"> Award and Regional finalists of People’s Choice which must be 9% or less fat. </w:t>
            </w:r>
            <w:r w:rsidRPr="0091450A">
              <w:t xml:space="preserve">All entrants whose fat percentage is 9% or less received </w:t>
            </w:r>
            <w:r w:rsidRPr="0091450A">
              <w:rPr>
                <w:i/>
              </w:rPr>
              <w:t xml:space="preserve">Highly Commended Chips </w:t>
            </w:r>
            <w:r w:rsidRPr="0091450A">
              <w:t>awards</w:t>
            </w:r>
            <w:r w:rsidR="00C80AD3" w:rsidRPr="0091450A">
              <w:t xml:space="preserve"> </w:t>
            </w:r>
            <w:r w:rsidR="00C80AD3" w:rsidRPr="0091450A">
              <w:fldChar w:fldCharType="begin" w:fldLock="1"/>
            </w:r>
            <w:r w:rsidR="002B6CB8">
              <w:instrText>ADDIN CSL_CITATION {"citationItems":[{"id":"ITEM-1","itemData":{"URL":"https://thechipgroup.co.nz/best-chip-shop-2019/about-the-competition/","accessed":{"date-parts":[["2020","1","30"]]},"author":[{"dropping-particle":"","family":"The Chip Group","given":"","non-dropping-particle":"","parse-names":false,"suffix":""}],"id":"ITEM-1","issued":{"date-parts":[["2019"]]},"title":"About the competitions - The Chip Group","type":"webpage"},"uris":["http://www.mendeley.com/documents/?uuid=d26ca988-d9f4-30ba-8b95-61bcf674f011"]}],"mendeley":{"formattedCitation":"(17)","plainTextFormattedCitation":"(17)","previouslyFormattedCitation":"(17)"},"properties":{"noteIndex":0},"schema":"https://github.com/citation-style-language/schema/raw/master/csl-citation.json"}</w:instrText>
            </w:r>
            <w:r w:rsidR="00C80AD3" w:rsidRPr="0091450A">
              <w:fldChar w:fldCharType="separate"/>
            </w:r>
            <w:r w:rsidR="00A90C92" w:rsidRPr="00A90C92">
              <w:rPr>
                <w:noProof/>
              </w:rPr>
              <w:t>(17)</w:t>
            </w:r>
            <w:r w:rsidR="00C80AD3" w:rsidRPr="0091450A">
              <w:fldChar w:fldCharType="end"/>
            </w:r>
            <w:r w:rsidR="004C5F7C" w:rsidRPr="0091450A">
              <w:rPr>
                <w:rFonts w:cs="Times New Roman"/>
                <w:szCs w:val="20"/>
                <w:lang w:eastAsia="en-NZ"/>
              </w:rPr>
              <w:t xml:space="preserve">. </w:t>
            </w:r>
          </w:p>
          <w:p w14:paraId="3459CCE6" w14:textId="77777777" w:rsidR="004235B5" w:rsidRPr="0091450A" w:rsidRDefault="004235B5" w:rsidP="002D613F">
            <w:pPr>
              <w:spacing w:before="40" w:after="40"/>
              <w:jc w:val="both"/>
              <w:rPr>
                <w:rFonts w:cs="Times New Roman"/>
                <w:szCs w:val="20"/>
              </w:rPr>
            </w:pPr>
          </w:p>
          <w:p w14:paraId="55957281" w14:textId="199E98B7" w:rsidR="003E796A" w:rsidRPr="0091450A" w:rsidRDefault="003E796A"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15497A6C" w14:textId="5FCE9DF0" w:rsidR="002F2C1A" w:rsidRPr="0091450A" w:rsidRDefault="002F2C1A" w:rsidP="002D613F">
            <w:pPr>
              <w:pStyle w:val="ListParagraph"/>
              <w:numPr>
                <w:ilvl w:val="0"/>
                <w:numId w:val="5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New Zealand</w:t>
            </w:r>
            <w:r w:rsidRPr="0091450A">
              <w:rPr>
                <w:rFonts w:eastAsia="Times New Roman" w:cs="Times New Roman"/>
                <w:szCs w:val="20"/>
                <w:lang w:eastAsia="en-NZ"/>
              </w:rPr>
              <w:t xml:space="preserve">: In New Zealand, The Chip group, </w:t>
            </w:r>
            <w:r w:rsidR="00E84E26">
              <w:rPr>
                <w:rFonts w:eastAsia="Times New Roman" w:cs="Times New Roman"/>
                <w:szCs w:val="20"/>
                <w:lang w:eastAsia="en-NZ"/>
              </w:rPr>
              <w:t xml:space="preserve">was </w:t>
            </w:r>
            <w:r w:rsidRPr="0091450A">
              <w:rPr>
                <w:rFonts w:eastAsia="Times New Roman" w:cs="Times New Roman"/>
                <w:szCs w:val="20"/>
                <w:lang w:eastAsia="en-NZ"/>
              </w:rPr>
              <w:t xml:space="preserve">funded 50% by the </w:t>
            </w:r>
            <w:r w:rsidR="0030228B" w:rsidRPr="0091450A">
              <w:rPr>
                <w:rFonts w:eastAsia="Times New Roman" w:cs="Times New Roman"/>
                <w:szCs w:val="20"/>
                <w:lang w:eastAsia="en-NZ"/>
              </w:rPr>
              <w:t>MoH</w:t>
            </w:r>
            <w:r w:rsidRPr="0091450A">
              <w:rPr>
                <w:rFonts w:eastAsia="Times New Roman" w:cs="Times New Roman"/>
                <w:szCs w:val="20"/>
                <w:lang w:eastAsia="en-NZ"/>
              </w:rPr>
              <w:t xml:space="preserve"> and 50% by industry, aims to </w:t>
            </w:r>
            <w:r w:rsidR="0030228B" w:rsidRPr="0091450A">
              <w:rPr>
                <w:rFonts w:eastAsia="Times New Roman" w:cs="Times New Roman"/>
                <w:szCs w:val="20"/>
                <w:lang w:eastAsia="en-NZ"/>
              </w:rPr>
              <w:t xml:space="preserve">improve the nutritional quality </w:t>
            </w:r>
            <w:r w:rsidRPr="0091450A">
              <w:rPr>
                <w:rFonts w:eastAsia="Times New Roman" w:cs="Times New Roman"/>
                <w:szCs w:val="20"/>
                <w:lang w:eastAsia="en-NZ"/>
              </w:rPr>
              <w:t>of deep-fried chips served by food service outlets by setting an industry standard for deep frying oils. The standard for deep frying oil is max</w:t>
            </w:r>
            <w:r w:rsidR="0030228B" w:rsidRPr="0091450A">
              <w:rPr>
                <w:rFonts w:eastAsia="Times New Roman" w:cs="Times New Roman"/>
                <w:szCs w:val="20"/>
                <w:lang w:eastAsia="en-NZ"/>
              </w:rPr>
              <w:t>.</w:t>
            </w:r>
            <w:r w:rsidRPr="0091450A">
              <w:rPr>
                <w:rFonts w:eastAsia="Times New Roman" w:cs="Times New Roman"/>
                <w:szCs w:val="20"/>
                <w:lang w:eastAsia="en-NZ"/>
              </w:rPr>
              <w:t xml:space="preserve"> 28% of saturated fat, 3% linoleic acid and 1% of </w:t>
            </w:r>
            <w:r w:rsidRPr="0091450A">
              <w:rPr>
                <w:rFonts w:eastAsia="Times New Roman" w:cs="Times New Roman"/>
                <w:i/>
                <w:szCs w:val="20"/>
                <w:lang w:eastAsia="en-NZ"/>
              </w:rPr>
              <w:t>trans</w:t>
            </w:r>
            <w:r w:rsidRPr="0091450A">
              <w:rPr>
                <w:rFonts w:eastAsia="Times New Roman" w:cs="Times New Roman"/>
                <w:szCs w:val="20"/>
                <w:lang w:eastAsia="en-NZ"/>
              </w:rPr>
              <w:t xml:space="preserve">-fat. The Chip group oil logo for use on approved oil packaging was developed in 2010 </w:t>
            </w:r>
            <w:r w:rsidR="00FF570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{"citationItems":[{"id":"ITEM-1","itemData":{"URL":"http://blog.thechipgroup.co.nz/","author":[{"dropping-particle":"","family":"The Chip Group","given":"","non-dropping-particle":"","parse-names":false,"suffix":""}],"id":"ITEM-1","issue":"16/01/2014","issued":{"date-parts":[["0"]]},"title":"The Chip Group. Helping you to make better chips","type":"webpage"},"uris":["http://www.mendeley.com/documents/?uuid=bb88091a-c87a-469e-b0cb-69d447c3972f","http://www.mendeley.com/documents/?uuid=16312959-87af-3487-a498-2796f5d96e8b"]}],"mendeley":{"formattedCitation":"(16)","plainTextFormattedCitation":"(16)","previouslyFormattedCitation":"(16)"},"properties":{"noteIndex":0},"schema":"https://github.com/citation-style-language/schema/raw/master/csl-citation.json"}</w:instrText>
            </w:r>
            <w:r w:rsidR="00FF570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(16)</w:t>
            </w:r>
            <w:r w:rsidR="00FF570D" w:rsidRPr="0091450A">
              <w:rPr>
                <w:rFonts w:eastAsia="Times New Roman" w:cs="Times New Roman"/>
                <w:szCs w:val="20"/>
                <w:lang w:eastAsia="en-NZ"/>
              </w:rPr>
              <w:fldChar w:fldCharType="end"/>
            </w:r>
            <w:r w:rsidRPr="0091450A">
              <w:rPr>
                <w:rFonts w:eastAsia="Times New Roman" w:cs="Times New Roman"/>
                <w:szCs w:val="20"/>
                <w:lang w:eastAsia="en-NZ"/>
              </w:rPr>
              <w:t>.</w:t>
            </w:r>
          </w:p>
          <w:p w14:paraId="4747AFC6" w14:textId="65F8D119" w:rsidR="004235B5" w:rsidRPr="0091450A" w:rsidRDefault="004235B5" w:rsidP="002D613F">
            <w:pPr>
              <w:pStyle w:val="ListParagraph"/>
              <w:numPr>
                <w:ilvl w:val="0"/>
                <w:numId w:val="5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New York</w:t>
            </w:r>
            <w:r w:rsidRPr="0091450A">
              <w:rPr>
                <w:rFonts w:eastAsia="Times New Roman" w:cs="Times New Roman"/>
                <w:szCs w:val="20"/>
                <w:lang w:eastAsia="en-NZ"/>
              </w:rPr>
              <w:t>: In 2009, New York City established voluntary salt guidelines for various restaurant and store-bought foods. In 2010, this city initiative evolved into the National Salt Reduction Initiative that encouraged nationwide partnerships among food manufacturers and restaurants involving more than 100 city and state health authorities to reduce excess sodium by 25% in packaged and restaurant foods. The goal is to reduce Americans’ salt intake by 20% over five years. The National Salt Reduction Initiative has worked with the food industry to establish salt reduction targets for 62 packaged foods and 25 restaurant food categories for 2012 and 2014</w:t>
            </w:r>
            <w:r w:rsidRPr="0091450A">
              <w:rPr>
                <w:rFonts w:cs="Times New Roman"/>
                <w:szCs w:val="20"/>
              </w:rPr>
              <w:t xml:space="preserve">. </w:t>
            </w:r>
            <w:r w:rsidRPr="0091450A">
              <w:rPr>
                <w:rFonts w:eastAsia="Times New Roman" w:cs="Times New Roman"/>
                <w:szCs w:val="20"/>
                <w:lang w:eastAsia="en-NZ"/>
              </w:rPr>
              <w:t xml:space="preserve">The commitments and achievements of companies have been published online </w:t>
            </w:r>
            <w:r w:rsidR="00E1713A"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{"citationItems":[{"id":"ITEM-1","itemData":{"URL":"https://www1.nyc.gov/site/doh/health/health-topics/national-salt-reduction-initiative.page","author":[{"dropping-particle":"","family":"New York City Health","given":"","non-dropping-particle":"","parse-names":false,"suffix":""}],"id":"ITEM-1","issue":"13/03/2017","issued":{"date-parts":[["2017"]]},"title":"National Salt Reduction Initiative (NSRI)","type":"webpage"},"uris":["http://www.mendeley.com/documents/?uuid=1148cfc1-3b20-3d16-8d90-ce99e3f70a39","http://www.mendeley.com/documents/?uuid=1f67af29-4a17-4b04-a3fb-0ab1472d68c3"]}],"mendeley":{"formattedCitation":"(18)","plainTextFormattedCitation":"(18)","previouslyFormattedCitation":"(18)"},"properties":{"noteIndex":0},"schema":"https://github.com/citation-style-language/schema/raw/master/csl-citation.json"}</w:instrText>
            </w:r>
            <w:r w:rsidR="00E1713A"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(18)</w:t>
            </w:r>
            <w:r w:rsidR="00E1713A" w:rsidRPr="0091450A">
              <w:rPr>
                <w:rFonts w:eastAsia="Times New Roman" w:cs="Times New Roman"/>
                <w:szCs w:val="20"/>
                <w:lang w:eastAsia="en-NZ"/>
              </w:rPr>
              <w:fldChar w:fldCharType="end"/>
            </w:r>
            <w:r w:rsidRPr="0091450A">
              <w:rPr>
                <w:rFonts w:eastAsia="Times New Roman" w:cs="Times New Roman"/>
                <w:szCs w:val="20"/>
                <w:lang w:eastAsia="en-NZ"/>
              </w:rPr>
              <w:t>.</w:t>
            </w:r>
          </w:p>
          <w:p w14:paraId="56158CAE" w14:textId="1DDA0B40" w:rsidR="004235B5" w:rsidRPr="0091450A" w:rsidRDefault="004235B5" w:rsidP="002D613F">
            <w:pPr>
              <w:pStyle w:val="ListParagraph"/>
              <w:numPr>
                <w:ilvl w:val="0"/>
                <w:numId w:val="5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The Netherlands</w:t>
            </w:r>
            <w:r w:rsidRPr="0091450A">
              <w:rPr>
                <w:rFonts w:eastAsia="Times New Roman" w:cs="Times New Roman"/>
                <w:szCs w:val="20"/>
                <w:lang w:eastAsia="en-NZ"/>
              </w:rPr>
              <w:t xml:space="preserve">: On January 2014, the Dutch Ministry of Health, Welfare and Sport signed an agreement with trade organizations representing food manufacturers, supermarkets, hotels, restaurants, caterers and the hospitality industry to lower the levels of salt, saturated fat and calories in food products. The agreement includes ambitions for the period up to 2020 and aims to increase the healthiness of the food supply </w:t>
            </w:r>
            <w:r w:rsidR="00143927"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akkoordverbeteringproductsamenstelling.nl/dsresource?type=pdf&amp;disposition=inline&amp;objectid=rivmp:303682&amp;versionid=&amp;subobjectname=","id":"ITEM-1","issue":"13/03/2017","issued":{"date-parts":[["2017"]]},"title":"National Agreement to improve Product Composition","type":"webpage"},"uris":["http://www.mendeley.com/documents/?uuid=beede7c6-b08b-316b-9bcd-f2ef86e6914c","http://www.mendeley.com/documents/?uuid=7f331023-aeea-401e-a999-55c645087799"]},{"id":"ITEM-2","itemData":{"URL":"http://www.wcrf.org/int/policy/nourishing-framework/improve-food-supply","author":[{"dropping-particle":"","family":"World Cancer Research Fund","given":"","non-dropping-particle":"","parse-names":false,"suffix":""}],"id":"ITEM-2","issue":"19/02/2016","issued":{"date-parts":[["2016"]]},"publisher":"World Cancer Research Fund","title":"NOURISHING Framework - Improving the food supply","type":"webpage"},"uris":["http://www.mendeley.com/documents/?uuid=b69c5d79-526c-41d8-9684-ecc87dbf8784","http://www.mendeley.com/documents/?uuid=3a511843-16c8-3532-a937-5530b1a25ada"]}],"mendeley":{"formattedCitation":"(11,19)","plainTextFormattedCitation":"(11,19)","previouslyFormattedCitation":"(11,19)"},"properties":{"noteIndex":0},"schema":"https://github.com/citation-style-language/schema/raw/master/csl-citation.json"}</w:instrText>
            </w:r>
            <w:r w:rsidR="00143927"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(11,19)</w:t>
            </w:r>
            <w:r w:rsidR="00143927" w:rsidRPr="0091450A">
              <w:rPr>
                <w:rFonts w:eastAsia="Times New Roman" w:cs="Times New Roman"/>
                <w:szCs w:val="20"/>
                <w:lang w:eastAsia="en-NZ"/>
              </w:rPr>
              <w:fldChar w:fldCharType="end"/>
            </w:r>
            <w:r w:rsidR="003D024F" w:rsidRPr="0091450A">
              <w:rPr>
                <w:rFonts w:eastAsia="Times New Roman" w:cs="Times New Roman"/>
                <w:szCs w:val="20"/>
                <w:lang w:eastAsia="en-NZ"/>
              </w:rPr>
              <w:t>.</w:t>
            </w:r>
          </w:p>
        </w:tc>
      </w:tr>
    </w:tbl>
    <w:p w14:paraId="4246323A" w14:textId="77777777" w:rsidR="003D024F" w:rsidRPr="0091450A" w:rsidRDefault="003D024F" w:rsidP="002D613F">
      <w:pPr>
        <w:spacing w:after="0" w:line="240" w:lineRule="auto"/>
      </w:pPr>
    </w:p>
    <w:tbl>
      <w:tblPr>
        <w:tblStyle w:val="TableGrid"/>
        <w:tblpPr w:leftFromText="180" w:rightFromText="180" w:vertAnchor="text" w:tblpY="1"/>
        <w:tblOverlap w:val="never"/>
        <w:tblW w:w="9209" w:type="dxa"/>
        <w:tblLook w:val="04A0" w:firstRow="1" w:lastRow="0" w:firstColumn="1" w:lastColumn="0" w:noHBand="0" w:noVBand="1"/>
      </w:tblPr>
      <w:tblGrid>
        <w:gridCol w:w="9209"/>
      </w:tblGrid>
      <w:tr w:rsidR="008A158E" w:rsidRPr="0091450A" w14:paraId="5C4DE71D" w14:textId="77777777" w:rsidTr="005D6133">
        <w:tc>
          <w:tcPr>
            <w:tcW w:w="9209" w:type="dxa"/>
          </w:tcPr>
          <w:p w14:paraId="6A230399" w14:textId="08A4E468" w:rsidR="008A158E" w:rsidRPr="0091450A" w:rsidRDefault="008C0F53" w:rsidP="002D613F">
            <w:pPr>
              <w:spacing w:before="40" w:after="40"/>
              <w:rPr>
                <w:rFonts w:cs="Times New Roman"/>
                <w:b/>
                <w:color w:val="1F497D" w:themeColor="text2"/>
                <w:sz w:val="28"/>
                <w:szCs w:val="28"/>
              </w:rPr>
            </w:pPr>
            <w:bookmarkStart w:id="18" w:name="_Toc31623716"/>
            <w:r w:rsidRPr="0091450A">
              <w:rPr>
                <w:rStyle w:val="Heading2Char"/>
              </w:rPr>
              <w:t xml:space="preserve">2 </w:t>
            </w:r>
            <w:r w:rsidR="008A158E" w:rsidRPr="0091450A">
              <w:rPr>
                <w:rStyle w:val="Heading2Char"/>
              </w:rPr>
              <w:t>FOOD LABELLING</w:t>
            </w:r>
            <w:bookmarkEnd w:id="18"/>
            <w:r w:rsidR="008A158E" w:rsidRPr="0091450A">
              <w:rPr>
                <w:rFonts w:cs="Times New Roman"/>
                <w:b/>
                <w:color w:val="1F497D" w:themeColor="text2"/>
                <w:sz w:val="28"/>
                <w:szCs w:val="28"/>
              </w:rPr>
              <w:t xml:space="preserve">: </w:t>
            </w:r>
            <w:r w:rsidR="00E56D63" w:rsidRPr="0091450A">
              <w:rPr>
                <w:rFonts w:cs="Times New Roman"/>
                <w:bCs/>
                <w:szCs w:val="20"/>
              </w:rPr>
              <w:t xml:space="preserve">There is a regulatory system implemented by the government for consumer-oriented labelling on food packaging and menu boards in restaurants to </w:t>
            </w:r>
            <w:r w:rsidR="000B731D" w:rsidRPr="0091450A">
              <w:rPr>
                <w:rFonts w:cs="Times New Roman"/>
                <w:bCs/>
                <w:szCs w:val="20"/>
              </w:rPr>
              <w:t>prevent misleading claims</w:t>
            </w:r>
            <w:r w:rsidR="000B731D" w:rsidRPr="0091450A" w:rsidDel="0016606F">
              <w:rPr>
                <w:rFonts w:cs="Times New Roman"/>
                <w:bCs/>
                <w:szCs w:val="20"/>
              </w:rPr>
              <w:t xml:space="preserve"> </w:t>
            </w:r>
            <w:r w:rsidR="000B731D">
              <w:rPr>
                <w:rFonts w:cs="Times New Roman"/>
                <w:bCs/>
                <w:szCs w:val="20"/>
              </w:rPr>
              <w:t>and</w:t>
            </w:r>
            <w:r w:rsidR="00020AED">
              <w:rPr>
                <w:rFonts w:cs="Times New Roman"/>
                <w:bCs/>
                <w:szCs w:val="20"/>
              </w:rPr>
              <w:t xml:space="preserve"> </w:t>
            </w:r>
            <w:r w:rsidR="0016606F">
              <w:rPr>
                <w:rFonts w:cs="Times New Roman"/>
                <w:bCs/>
                <w:szCs w:val="20"/>
              </w:rPr>
              <w:t>allow</w:t>
            </w:r>
            <w:r w:rsidR="0016606F" w:rsidRPr="0091450A">
              <w:rPr>
                <w:rFonts w:cs="Times New Roman"/>
                <w:bCs/>
                <w:szCs w:val="20"/>
              </w:rPr>
              <w:t xml:space="preserve"> </w:t>
            </w:r>
            <w:r w:rsidR="00E56D63" w:rsidRPr="0091450A">
              <w:rPr>
                <w:rFonts w:cs="Times New Roman"/>
                <w:bCs/>
                <w:szCs w:val="20"/>
              </w:rPr>
              <w:t>consumers to make informed food choices</w:t>
            </w:r>
            <w:r w:rsidR="000B731D">
              <w:rPr>
                <w:rFonts w:cs="Times New Roman"/>
                <w:bCs/>
                <w:szCs w:val="20"/>
              </w:rPr>
              <w:t>.</w:t>
            </w:r>
          </w:p>
        </w:tc>
      </w:tr>
      <w:tr w:rsidR="008A158E" w:rsidRPr="0091450A" w14:paraId="52A9E6FD" w14:textId="77777777" w:rsidTr="005D6133">
        <w:tc>
          <w:tcPr>
            <w:tcW w:w="9209" w:type="dxa"/>
          </w:tcPr>
          <w:p w14:paraId="33A817E8" w14:textId="5F79ECB8" w:rsidR="008A158E" w:rsidRPr="0091450A" w:rsidRDefault="00E96E2A" w:rsidP="002D613F">
            <w:pPr>
              <w:spacing w:before="40" w:after="40"/>
              <w:rPr>
                <w:rFonts w:cs="Times New Roman"/>
                <w:b/>
                <w:color w:val="1F497D" w:themeColor="text2"/>
                <w:sz w:val="28"/>
                <w:szCs w:val="28"/>
              </w:rPr>
            </w:pPr>
            <w:bookmarkStart w:id="19" w:name="_Toc31623717"/>
            <w:r w:rsidRPr="0091450A">
              <w:rPr>
                <w:rStyle w:val="Heading3Char"/>
              </w:rPr>
              <w:t>LABEL1</w:t>
            </w:r>
            <w:bookmarkEnd w:id="19"/>
            <w:r w:rsidR="008A158E" w:rsidRPr="0091450A">
              <w:rPr>
                <w:rFonts w:cs="Times New Roman"/>
                <w:b/>
                <w:color w:val="1F497D" w:themeColor="text2"/>
                <w:sz w:val="28"/>
                <w:szCs w:val="28"/>
              </w:rPr>
              <w:t xml:space="preserve">: </w:t>
            </w:r>
            <w:r w:rsidR="00886786" w:rsidRPr="0091450A">
              <w:t xml:space="preserve"> </w:t>
            </w:r>
            <w:r w:rsidR="00886786" w:rsidRPr="0091450A">
              <w:rPr>
                <w:rFonts w:cs="Times New Roman"/>
                <w:b/>
                <w:color w:val="000000"/>
                <w:szCs w:val="20"/>
                <w:lang w:eastAsia="en-NZ"/>
              </w:rPr>
              <w:t>Ingredient lists and nutrient declarations in line with Codex recommendations are present on th</w:t>
            </w:r>
            <w:r w:rsidR="00EA00D7" w:rsidRPr="0091450A">
              <w:rPr>
                <w:rFonts w:cs="Times New Roman"/>
                <w:b/>
                <w:color w:val="000000"/>
                <w:szCs w:val="20"/>
                <w:lang w:eastAsia="en-NZ"/>
              </w:rPr>
              <w:t xml:space="preserve">e labels of all </w:t>
            </w:r>
            <w:r w:rsidR="00D44244" w:rsidRPr="0091450A">
              <w:rPr>
                <w:rFonts w:cs="Times New Roman"/>
                <w:b/>
                <w:color w:val="000000"/>
                <w:szCs w:val="20"/>
                <w:lang w:eastAsia="en-NZ"/>
              </w:rPr>
              <w:t>packaged</w:t>
            </w:r>
            <w:r w:rsidR="00EA00D7" w:rsidRPr="0091450A">
              <w:rPr>
                <w:rFonts w:cs="Times New Roman"/>
                <w:b/>
                <w:color w:val="000000"/>
                <w:szCs w:val="20"/>
                <w:lang w:eastAsia="en-NZ"/>
              </w:rPr>
              <w:t xml:space="preserve"> foods</w:t>
            </w:r>
            <w:r w:rsidR="003E796A" w:rsidRPr="0091450A">
              <w:rPr>
                <w:rFonts w:cs="Times New Roman"/>
                <w:b/>
                <w:color w:val="000000"/>
                <w:szCs w:val="20"/>
                <w:lang w:eastAsia="en-NZ"/>
              </w:rPr>
              <w:t>.</w:t>
            </w:r>
          </w:p>
        </w:tc>
      </w:tr>
      <w:tr w:rsidR="008A158E" w:rsidRPr="0091450A" w14:paraId="34A34B53" w14:textId="77777777" w:rsidTr="005D6133">
        <w:tc>
          <w:tcPr>
            <w:tcW w:w="9209" w:type="dxa"/>
          </w:tcPr>
          <w:p w14:paraId="7D912D2F" w14:textId="62BCB2A8"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4C5EFAC" w14:textId="76F682E8" w:rsidR="003977B9" w:rsidRPr="0091450A" w:rsidRDefault="00125247" w:rsidP="002D613F">
            <w:pPr>
              <w:pStyle w:val="ListParagraph"/>
              <w:numPr>
                <w:ilvl w:val="0"/>
                <w:numId w:val="24"/>
              </w:numPr>
              <w:shd w:val="clear" w:color="auto" w:fill="FFFFFF" w:themeFill="background1"/>
              <w:tabs>
                <w:tab w:val="num" w:pos="284"/>
              </w:tabs>
              <w:spacing w:before="40" w:after="40"/>
              <w:ind w:left="284" w:hanging="284"/>
              <w:contextualSpacing w:val="0"/>
              <w:rPr>
                <w:rFonts w:cs="Times New Roman"/>
                <w:szCs w:val="20"/>
              </w:rPr>
            </w:pPr>
            <w:r w:rsidRPr="0091450A">
              <w:rPr>
                <w:rFonts w:cs="Times New Roman"/>
                <w:szCs w:val="20"/>
              </w:rPr>
              <w:lastRenderedPageBreak/>
              <w:t xml:space="preserve">New Zealand </w:t>
            </w:r>
            <w:r w:rsidR="00F10F5A" w:rsidRPr="0091450A">
              <w:rPr>
                <w:rFonts w:cs="Times New Roman"/>
                <w:szCs w:val="20"/>
              </w:rPr>
              <w:t>meets</w:t>
            </w:r>
            <w:r w:rsidRPr="0091450A">
              <w:rPr>
                <w:rFonts w:cs="Times New Roman"/>
                <w:szCs w:val="20"/>
              </w:rPr>
              <w:t xml:space="preserve"> CODEX</w:t>
            </w:r>
            <w:r w:rsidR="00F10F5A" w:rsidRPr="0091450A">
              <w:rPr>
                <w:rFonts w:cs="Times New Roman"/>
                <w:szCs w:val="20"/>
              </w:rPr>
              <w:t xml:space="preserve"> standards</w:t>
            </w:r>
            <w:r w:rsidRPr="0091450A">
              <w:rPr>
                <w:rFonts w:cs="Times New Roman"/>
                <w:szCs w:val="20"/>
              </w:rPr>
              <w:t xml:space="preserve"> and regulation is in place to ensure compliance. </w:t>
            </w:r>
            <w:r w:rsidR="003977B9" w:rsidRPr="0091450A">
              <w:rPr>
                <w:rFonts w:cs="Times New Roman"/>
                <w:szCs w:val="20"/>
              </w:rPr>
              <w:t>The MPI manages New Zealand’s participation in C</w:t>
            </w:r>
            <w:r w:rsidR="006853F2" w:rsidRPr="0091450A">
              <w:rPr>
                <w:rFonts w:cs="Times New Roman"/>
                <w:szCs w:val="20"/>
              </w:rPr>
              <w:t xml:space="preserve">ODEX </w:t>
            </w:r>
            <w:r w:rsidR="003977B9" w:rsidRPr="0091450A">
              <w:rPr>
                <w:rFonts w:cs="Times New Roman"/>
                <w:szCs w:val="20"/>
              </w:rPr>
              <w:t xml:space="preserve">and sets strategic priorities which ensure </w:t>
            </w:r>
            <w:r w:rsidR="0078796B" w:rsidRPr="0091450A">
              <w:rPr>
                <w:rFonts w:cs="Times New Roman"/>
                <w:szCs w:val="20"/>
              </w:rPr>
              <w:t>that CODEX</w:t>
            </w:r>
            <w:r w:rsidR="003977B9" w:rsidRPr="0091450A">
              <w:rPr>
                <w:rFonts w:cs="Times New Roman"/>
                <w:szCs w:val="20"/>
              </w:rPr>
              <w:t xml:space="preserve"> standards have the widest possible application</w:t>
            </w:r>
            <w:r w:rsidR="003F3EB4" w:rsidRPr="0091450A">
              <w:rPr>
                <w:rFonts w:cs="Times New Roman"/>
                <w:szCs w:val="20"/>
              </w:rPr>
              <w:t xml:space="preserve"> </w:t>
            </w:r>
            <w:r w:rsidR="009D7EE1" w:rsidRPr="0091450A">
              <w:rPr>
                <w:rFonts w:cs="Times New Roman"/>
                <w:szCs w:val="20"/>
              </w:rPr>
              <w:fldChar w:fldCharType="begin" w:fldLock="1"/>
            </w:r>
            <w:r w:rsidR="002B6CB8">
              <w:rPr>
                <w:rFonts w:cs="Times New Roman"/>
                <w:szCs w:val="20"/>
              </w:rPr>
              <w:instrText>ADDIN CSL_CITATION {"citationItems":[{"id":"ITEM-1","itemData":{"URL":"https://www.mpi.govt.nz/law-and-policy/legal-overviews/food-safety/codex/","accessed":{"date-parts":[["2020","1","15"]]},"author":[{"dropping-particle":"","family":"New Zealand Government","given":"","non-dropping-particle":"","parse-names":false,"suffix":""}],"id":"ITEM-1","issued":{"date-parts":[["2019"]]},"title":"Codex | NZ Food Safety |","type":"webpage"},"uris":["http://www.mendeley.com/documents/?uuid=27c830e0-ef0b-32fb-be13-648fe865945f","http://www.mendeley.com/documents/?uuid=84af6597-5fc9-4071-a7c3-91f879c9e030"]}],"mendeley":{"formattedCitation":"(20)","plainTextFormattedCitation":"(20)","previouslyFormattedCitation":"(20)"},"properties":{"noteIndex":0},"schema":"https://github.com/citation-style-language/schema/raw/master/csl-citation.json"}</w:instrText>
            </w:r>
            <w:r w:rsidR="009D7EE1" w:rsidRPr="0091450A">
              <w:rPr>
                <w:rFonts w:cs="Times New Roman"/>
                <w:szCs w:val="20"/>
              </w:rPr>
              <w:fldChar w:fldCharType="separate"/>
            </w:r>
            <w:r w:rsidR="00A90C92" w:rsidRPr="00A90C92">
              <w:rPr>
                <w:rFonts w:cs="Times New Roman"/>
                <w:noProof/>
                <w:szCs w:val="20"/>
              </w:rPr>
              <w:t>(20)</w:t>
            </w:r>
            <w:r w:rsidR="009D7EE1" w:rsidRPr="0091450A">
              <w:rPr>
                <w:rFonts w:cs="Times New Roman"/>
                <w:szCs w:val="20"/>
              </w:rPr>
              <w:fldChar w:fldCharType="end"/>
            </w:r>
            <w:r w:rsidR="003977B9" w:rsidRPr="0091450A">
              <w:rPr>
                <w:rFonts w:cs="Times New Roman"/>
                <w:szCs w:val="20"/>
              </w:rPr>
              <w:t xml:space="preserve">. </w:t>
            </w:r>
          </w:p>
          <w:p w14:paraId="7EAB18F2" w14:textId="60214B7D" w:rsidR="00FE5D89" w:rsidRPr="0091450A" w:rsidRDefault="006D68DB" w:rsidP="002D613F">
            <w:pPr>
              <w:pStyle w:val="ListParagraph"/>
              <w:numPr>
                <w:ilvl w:val="0"/>
                <w:numId w:val="24"/>
              </w:numPr>
              <w:shd w:val="clear" w:color="auto" w:fill="FFFFFF" w:themeFill="background1"/>
              <w:tabs>
                <w:tab w:val="num" w:pos="284"/>
              </w:tabs>
              <w:ind w:left="284" w:hanging="284"/>
              <w:rPr>
                <w:rFonts w:cs="Times New Roman"/>
                <w:szCs w:val="20"/>
              </w:rPr>
            </w:pPr>
            <w:r w:rsidRPr="0091450A">
              <w:rPr>
                <w:rFonts w:cs="Times New Roman"/>
                <w:szCs w:val="20"/>
              </w:rPr>
              <w:t>Labelling standards are included in the</w:t>
            </w:r>
            <w:r w:rsidR="008A158E" w:rsidRPr="0091450A">
              <w:rPr>
                <w:rFonts w:cs="Times New Roman"/>
                <w:szCs w:val="20"/>
              </w:rPr>
              <w:t xml:space="preserve"> Australia New Zealand Food Standards Code </w:t>
            </w:r>
            <w:r w:rsidR="00E52759" w:rsidRPr="0091450A">
              <w:rPr>
                <w:rFonts w:cs="Times New Roman"/>
                <w:szCs w:val="20"/>
              </w:rPr>
              <w:fldChar w:fldCharType="begin" w:fldLock="1"/>
            </w:r>
            <w:r w:rsidR="002B6CB8">
              <w:rPr>
                <w:rFonts w:cs="Times New Roman"/>
                <w:szCs w:val="20"/>
              </w:rPr>
              <w:instrText>ADDIN CSL_CITATION {"citationItems":[{"id":"ITEM-1","itemData":{"URL":"http://www.foodstandards.gov.au/code/Pages/default.aspx","author":[{"dropping-particle":"","family":"Food Standards Australia New Zealand","given":"","non-dropping-particle":"","parse-names":false,"suffix":""}],"id":"ITEM-1","issued":{"date-parts":[["0"]]},"title":"Australia New Zealand Food Standards Code","type":"webpage"},"uris":["http://www.mendeley.com/documents/?uuid=0593c1c2-5c30-35e8-a208-0833f9304056","http://www.mendeley.com/documents/?uuid=88874f60-98b2-4daa-b542-42f06e11ed0d"]},{"id":"ITEM-2","itemData":{"URL":"http://www.comlaw.gov.au/Search/Australia New Zealand Food Standards","author":[{"dropping-particle":"","family":"Australian Government","given":"","non-dropping-particle":"","parse-names":false,"suffix":""}],"id":"ITEM-2","issued":{"date-parts":[["0"]]},"title":"Australia New Zealand Food Standards Code","type":"webpage"},"uris":["http://www.mendeley.com/documents/?uuid=0a97a4e0-ded3-37c8-a11c-926ed626e20a","http://www.mendeley.com/documents/?uuid=169e6aa2-3817-4a5d-8908-e1312f69dbc3"]}],"mendeley":{"formattedCitation":"(21,22)","plainTextFormattedCitation":"(21,22)","previouslyFormattedCitation":"(21,22)"},"properties":{"noteIndex":0},"schema":"https://github.com/citation-style-language/schema/raw/master/csl-citation.json"}</w:instrText>
            </w:r>
            <w:r w:rsidR="00E52759" w:rsidRPr="0091450A">
              <w:rPr>
                <w:rFonts w:cs="Times New Roman"/>
                <w:szCs w:val="20"/>
              </w:rPr>
              <w:fldChar w:fldCharType="separate"/>
            </w:r>
            <w:r w:rsidR="00A90C92" w:rsidRPr="00A90C92">
              <w:rPr>
                <w:rFonts w:cs="Times New Roman"/>
                <w:noProof/>
                <w:szCs w:val="20"/>
              </w:rPr>
              <w:t>(21,22)</w:t>
            </w:r>
            <w:r w:rsidR="00E52759" w:rsidRPr="0091450A">
              <w:rPr>
                <w:rFonts w:cs="Times New Roman"/>
                <w:szCs w:val="20"/>
              </w:rPr>
              <w:fldChar w:fldCharType="end"/>
            </w:r>
            <w:r w:rsidR="00E52759" w:rsidRPr="0091450A">
              <w:rPr>
                <w:rFonts w:cs="Times New Roman"/>
                <w:szCs w:val="20"/>
              </w:rPr>
              <w:t>.</w:t>
            </w:r>
            <w:r w:rsidR="008A158E" w:rsidRPr="0091450A">
              <w:rPr>
                <w:rFonts w:cs="Times New Roman"/>
                <w:szCs w:val="20"/>
              </w:rPr>
              <w:t xml:space="preserve"> The MPI is responsible for </w:t>
            </w:r>
            <w:r w:rsidR="00F73110">
              <w:rPr>
                <w:rFonts w:cs="Times New Roman"/>
                <w:szCs w:val="20"/>
              </w:rPr>
              <w:t xml:space="preserve">the </w:t>
            </w:r>
            <w:r w:rsidR="008A158E" w:rsidRPr="0091450A">
              <w:rPr>
                <w:rFonts w:cs="Times New Roman"/>
                <w:szCs w:val="20"/>
              </w:rPr>
              <w:t>implementation</w:t>
            </w:r>
            <w:r w:rsidR="00FE5D89" w:rsidRPr="0091450A">
              <w:rPr>
                <w:rFonts w:cs="Times New Roman"/>
                <w:szCs w:val="20"/>
              </w:rPr>
              <w:t xml:space="preserve"> </w:t>
            </w:r>
            <w:r w:rsidR="008A158E" w:rsidRPr="0091450A">
              <w:rPr>
                <w:rFonts w:cs="Times New Roman"/>
                <w:szCs w:val="20"/>
              </w:rPr>
              <w:t xml:space="preserve">of the Food Standards Code, which has been in force since 2002. </w:t>
            </w:r>
            <w:r w:rsidR="00FE5D89" w:rsidRPr="0091450A">
              <w:rPr>
                <w:rFonts w:cs="Times New Roman"/>
                <w:szCs w:val="20"/>
              </w:rPr>
              <w:t>Labels must include the ingredient list. Ingredients must be declared in the statement of ingredients in descending order of ingoing weight</w:t>
            </w:r>
            <w:r w:rsidR="00A91D32" w:rsidRPr="0091450A">
              <w:rPr>
                <w:rFonts w:cs="Times New Roman"/>
                <w:szCs w:val="20"/>
              </w:rPr>
              <w:t xml:space="preserve"> </w:t>
            </w:r>
            <w:r w:rsidR="00A91D32" w:rsidRPr="0091450A">
              <w:rPr>
                <w:rFonts w:cs="Times New Roman"/>
                <w:szCs w:val="20"/>
              </w:rPr>
              <w:fldChar w:fldCharType="begin" w:fldLock="1"/>
            </w:r>
            <w:r w:rsidR="002B6CB8">
              <w:rPr>
                <w:rFonts w:cs="Times New Roman"/>
                <w:szCs w:val="20"/>
              </w:rPr>
              <w:instrText>ADDIN CSL_CITATION {"citationItems":[{"id":"ITEM-1","itemData":{"URL":"https://www.foodstandards.govt.nz/code/Pages/default.aspx","accessed":{"date-parts":[["2020","1","30"]]},"author":[{"dropping-particle":"","family":"Food Standards Australia New Zealand","given":"","non-dropping-particle":"","parse-names":false,"suffix":""}],"id":"ITEM-1","issued":{"date-parts":[["2019"]]},"title":"Food Standards Code","type":"webpage"},"uris":["http://www.mendeley.com/documents/?uuid=5ac8f4b8-d9d6-3e49-92d4-62066b0b1756"]}],"mendeley":{"formattedCitation":"(23)","plainTextFormattedCitation":"(23)","previouslyFormattedCitation":"(23)"},"properties":{"noteIndex":0},"schema":"https://github.com/citation-style-language/schema/raw/master/csl-citation.json"}</w:instrText>
            </w:r>
            <w:r w:rsidR="00A91D32" w:rsidRPr="0091450A">
              <w:rPr>
                <w:rFonts w:cs="Times New Roman"/>
                <w:szCs w:val="20"/>
              </w:rPr>
              <w:fldChar w:fldCharType="separate"/>
            </w:r>
            <w:r w:rsidR="00A90C92" w:rsidRPr="00A90C92">
              <w:rPr>
                <w:rFonts w:cs="Times New Roman"/>
                <w:noProof/>
                <w:szCs w:val="20"/>
              </w:rPr>
              <w:t>(23)</w:t>
            </w:r>
            <w:r w:rsidR="00A91D32" w:rsidRPr="0091450A">
              <w:rPr>
                <w:rFonts w:cs="Times New Roman"/>
                <w:szCs w:val="20"/>
              </w:rPr>
              <w:fldChar w:fldCharType="end"/>
            </w:r>
            <w:r w:rsidR="00FE5D89" w:rsidRPr="0091450A">
              <w:rPr>
                <w:rFonts w:cs="Times New Roman"/>
                <w:szCs w:val="20"/>
              </w:rPr>
              <w:t xml:space="preserve">. </w:t>
            </w:r>
          </w:p>
          <w:p w14:paraId="321C4655" w14:textId="48912795" w:rsidR="00874105" w:rsidRPr="0091450A" w:rsidRDefault="002A071B" w:rsidP="002D613F">
            <w:pPr>
              <w:pStyle w:val="ListParagraph"/>
              <w:numPr>
                <w:ilvl w:val="0"/>
                <w:numId w:val="24"/>
              </w:numPr>
              <w:shd w:val="clear" w:color="auto" w:fill="FFFFFF" w:themeFill="background1"/>
              <w:tabs>
                <w:tab w:val="num" w:pos="284"/>
              </w:tabs>
              <w:spacing w:before="40" w:after="40"/>
              <w:ind w:left="284" w:hanging="284"/>
              <w:contextualSpacing w:val="0"/>
              <w:rPr>
                <w:rFonts w:cs="Times New Roman"/>
                <w:szCs w:val="20"/>
              </w:rPr>
            </w:pPr>
            <w:r w:rsidRPr="0091450A">
              <w:rPr>
                <w:noProof/>
                <w:lang w:eastAsia="zh-CN"/>
              </w:rPr>
              <w:drawing>
                <wp:anchor distT="0" distB="0" distL="114300" distR="114300" simplePos="0" relativeHeight="251666437" behindDoc="0" locked="0" layoutInCell="1" allowOverlap="1" wp14:anchorId="79974F57" wp14:editId="1C872EAB">
                  <wp:simplePos x="0" y="0"/>
                  <wp:positionH relativeFrom="column">
                    <wp:posOffset>1304925</wp:posOffset>
                  </wp:positionH>
                  <wp:positionV relativeFrom="paragraph">
                    <wp:posOffset>642051</wp:posOffset>
                  </wp:positionV>
                  <wp:extent cx="2992582" cy="21756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55" t="1528" r="1355" b="2166"/>
                          <a:stretch/>
                        </pic:blipFill>
                        <pic:spPr bwMode="auto">
                          <a:xfrm>
                            <a:off x="0" y="0"/>
                            <a:ext cx="2992582" cy="2175665"/>
                          </a:xfrm>
                          <a:prstGeom prst="rect">
                            <a:avLst/>
                          </a:prstGeom>
                          <a:noFill/>
                          <a:ln>
                            <a:noFill/>
                          </a:ln>
                          <a:extLst>
                            <a:ext uri="{53640926-AAD7-44D8-BBD7-CCE9431645EC}">
                              <a14:shadowObscured xmlns:a14="http://schemas.microsoft.com/office/drawing/2010/main"/>
                            </a:ext>
                          </a:extLst>
                        </pic:spPr>
                      </pic:pic>
                    </a:graphicData>
                  </a:graphic>
                </wp:anchor>
              </w:drawing>
            </w:r>
            <w:r w:rsidR="008A158E" w:rsidRPr="0091450A">
              <w:rPr>
                <w:rFonts w:cs="Times New Roman"/>
                <w:szCs w:val="20"/>
              </w:rPr>
              <w:t xml:space="preserve">The </w:t>
            </w:r>
            <w:r w:rsidR="006D68DB" w:rsidRPr="0091450A">
              <w:rPr>
                <w:rFonts w:cs="Times New Roman"/>
                <w:szCs w:val="20"/>
              </w:rPr>
              <w:t xml:space="preserve">general format for the </w:t>
            </w:r>
            <w:r w:rsidR="008A158E" w:rsidRPr="0091450A">
              <w:rPr>
                <w:rFonts w:cs="Times New Roman"/>
                <w:szCs w:val="20"/>
              </w:rPr>
              <w:t xml:space="preserve">nutritional information panel (NIP) </w:t>
            </w:r>
            <w:r w:rsidR="006D68DB" w:rsidRPr="0091450A">
              <w:rPr>
                <w:rFonts w:cs="Times New Roman"/>
                <w:szCs w:val="20"/>
              </w:rPr>
              <w:t>is</w:t>
            </w:r>
            <w:r w:rsidR="008A158E" w:rsidRPr="0091450A">
              <w:rPr>
                <w:rFonts w:cs="Times New Roman"/>
                <w:szCs w:val="20"/>
              </w:rPr>
              <w:t xml:space="preserve"> shown below and is required on most packaged food products. Where average quantities or minimum/maximum quantities are given</w:t>
            </w:r>
            <w:r w:rsidR="006853F2" w:rsidRPr="0091450A">
              <w:rPr>
                <w:rFonts w:cs="Times New Roman"/>
                <w:szCs w:val="20"/>
              </w:rPr>
              <w:t>,</w:t>
            </w:r>
            <w:r w:rsidR="008A158E" w:rsidRPr="0091450A">
              <w:rPr>
                <w:rFonts w:cs="Times New Roman"/>
                <w:szCs w:val="20"/>
              </w:rPr>
              <w:t xml:space="preserve"> this must be indicated in the NIP (example </w:t>
            </w:r>
            <w:r w:rsidR="00F73110">
              <w:rPr>
                <w:rFonts w:cs="Times New Roman"/>
                <w:szCs w:val="20"/>
              </w:rPr>
              <w:t xml:space="preserve">is </w:t>
            </w:r>
            <w:r w:rsidR="008A158E" w:rsidRPr="0091450A">
              <w:rPr>
                <w:rFonts w:cs="Times New Roman"/>
                <w:szCs w:val="20"/>
              </w:rPr>
              <w:t>shown below)</w:t>
            </w:r>
            <w:r w:rsidR="00874105" w:rsidRPr="0091450A">
              <w:rPr>
                <w:rFonts w:cs="Times New Roman"/>
                <w:szCs w:val="20"/>
              </w:rPr>
              <w:t>:</w:t>
            </w:r>
          </w:p>
          <w:p w14:paraId="2DBDFF74" w14:textId="190048A4" w:rsidR="00F715B1" w:rsidRPr="0091450A" w:rsidRDefault="00F715B1" w:rsidP="002D613F">
            <w:pPr>
              <w:pStyle w:val="ListParagraph"/>
              <w:shd w:val="clear" w:color="auto" w:fill="FFFFFF" w:themeFill="background1"/>
              <w:spacing w:before="40" w:after="40"/>
              <w:ind w:left="284"/>
              <w:contextualSpacing w:val="0"/>
              <w:jc w:val="center"/>
            </w:pPr>
          </w:p>
          <w:p w14:paraId="5FEE0D24" w14:textId="3BD0EBD5" w:rsidR="00D83411" w:rsidRPr="0091450A" w:rsidRDefault="006D68DB" w:rsidP="002D613F">
            <w:pPr>
              <w:pStyle w:val="ListParagraph"/>
              <w:numPr>
                <w:ilvl w:val="0"/>
                <w:numId w:val="22"/>
              </w:numPr>
              <w:shd w:val="clear" w:color="auto" w:fill="FFFFFF" w:themeFill="background1"/>
              <w:spacing w:before="40" w:after="40"/>
              <w:contextualSpacing w:val="0"/>
              <w:rPr>
                <w:rFonts w:cs="Times New Roman"/>
                <w:szCs w:val="20"/>
                <w:lang w:eastAsia="en-NZ"/>
              </w:rPr>
            </w:pPr>
            <w:r w:rsidRPr="0091450A">
              <w:rPr>
                <w:szCs w:val="20"/>
              </w:rPr>
              <w:t xml:space="preserve">In 2009, the Council of Australian Governments (COAG) and Australia and New Zealand Food Regulation Ministerial Council (Ministerial Council) agreed to undertake a review of food labelling law and policy. An expert panel, chaired by Dr Neal </w:t>
            </w:r>
            <w:proofErr w:type="spellStart"/>
            <w:r w:rsidRPr="0091450A">
              <w:rPr>
                <w:szCs w:val="20"/>
              </w:rPr>
              <w:t>Blewett</w:t>
            </w:r>
            <w:proofErr w:type="spellEnd"/>
            <w:r w:rsidRPr="0091450A">
              <w:rPr>
                <w:szCs w:val="20"/>
              </w:rPr>
              <w:t xml:space="preserve">, AC, was appointed and the report Labelling Logic, was released in January </w:t>
            </w:r>
            <w:r w:rsidRPr="00025704">
              <w:rPr>
                <w:szCs w:val="20"/>
              </w:rPr>
              <w:t xml:space="preserve">2011 </w:t>
            </w:r>
            <w:r w:rsidR="00AB7012" w:rsidRPr="00025704">
              <w:rPr>
                <w:szCs w:val="20"/>
              </w:rPr>
              <w:fldChar w:fldCharType="begin" w:fldLock="1"/>
            </w:r>
            <w:r w:rsidR="002B6CB8">
              <w:rPr>
                <w:szCs w:val="20"/>
              </w:rPr>
              <w:instrText>ADDIN CSL_CITATION {"citationItems":[{"id":"ITEM-1","itemData":{"URL":"http://foodregulation.gov.au/internet/fr/publishing.nsf/Content/Review-of-food-labelling","author":[{"dropping-particle":"","family":"Australia and New Zealand Food Regulation Ministerial Council","given":"","non-dropping-particle":"","parse-names":false,"suffix":""}],"id":"ITEM-1","issued":{"date-parts":[["2011"]]},"title":"Labelling Logic - the Final Report of the Review of Food Labelling Law and Policy","type":"webpage"},"uris":["http://www.mendeley.com/documents/?uuid=0e319690-6ccd-3bb5-8b1d-715cf690872d","http://www.mendeley.com/documents/?uuid=9cd85429-b806-4768-a917-ab34bbed9003"]}],"mendeley":{"formattedCitation":"(24)","plainTextFormattedCitation":"(24)","previouslyFormattedCitation":"(24)"},"properties":{"noteIndex":0},"schema":"https://github.com/citation-style-language/schema/raw/master/csl-citation.json"}</w:instrText>
            </w:r>
            <w:r w:rsidR="00AB7012" w:rsidRPr="00025704">
              <w:rPr>
                <w:szCs w:val="20"/>
              </w:rPr>
              <w:fldChar w:fldCharType="separate"/>
            </w:r>
            <w:r w:rsidR="00A90C92" w:rsidRPr="00A90C92">
              <w:rPr>
                <w:noProof/>
                <w:szCs w:val="20"/>
              </w:rPr>
              <w:t>(24)</w:t>
            </w:r>
            <w:r w:rsidR="00AB7012" w:rsidRPr="00025704">
              <w:rPr>
                <w:szCs w:val="20"/>
              </w:rPr>
              <w:fldChar w:fldCharType="end"/>
            </w:r>
            <w:r w:rsidR="00AB7012" w:rsidRPr="00025704">
              <w:rPr>
                <w:szCs w:val="20"/>
              </w:rPr>
              <w:t>.</w:t>
            </w:r>
            <w:r w:rsidR="00D83411" w:rsidRPr="0091450A">
              <w:rPr>
                <w:rFonts w:cs="Times New Roman"/>
                <w:szCs w:val="20"/>
                <w:lang w:eastAsia="en-NZ"/>
              </w:rPr>
              <w:t xml:space="preserve"> The report contained </w:t>
            </w:r>
            <w:r w:rsidR="00D83411" w:rsidRPr="0091450A">
              <w:t>61 recommendations</w:t>
            </w:r>
            <w:r w:rsidR="00D83411" w:rsidRPr="0091450A">
              <w:rPr>
                <w:rFonts w:cs="Times New Roman"/>
                <w:szCs w:val="20"/>
                <w:lang w:eastAsia="en-NZ"/>
              </w:rPr>
              <w:t xml:space="preserve"> </w:t>
            </w:r>
            <w:r w:rsidRPr="0091450A">
              <w:rPr>
                <w:rFonts w:cs="Times New Roman"/>
                <w:szCs w:val="20"/>
                <w:lang w:eastAsia="en-NZ"/>
              </w:rPr>
              <w:t xml:space="preserve">with some </w:t>
            </w:r>
            <w:r w:rsidR="00D83411" w:rsidRPr="0091450A">
              <w:rPr>
                <w:rFonts w:cs="Times New Roman"/>
                <w:szCs w:val="20"/>
                <w:lang w:eastAsia="en-NZ"/>
              </w:rPr>
              <w:t>related to nutrition labelling</w:t>
            </w:r>
            <w:r w:rsidR="00667E26" w:rsidRPr="0091450A">
              <w:rPr>
                <w:rFonts w:cs="Times New Roman"/>
                <w:szCs w:val="20"/>
                <w:lang w:eastAsia="en-NZ"/>
              </w:rPr>
              <w:t xml:space="preserve"> and FSANZ has completed the required work on </w:t>
            </w:r>
            <w:r w:rsidR="009864FC">
              <w:rPr>
                <w:rFonts w:cs="Times New Roman"/>
                <w:szCs w:val="20"/>
                <w:lang w:eastAsia="en-NZ"/>
              </w:rPr>
              <w:t>a number of these</w:t>
            </w:r>
            <w:r w:rsidR="00667E26" w:rsidRPr="0091450A">
              <w:rPr>
                <w:rFonts w:cs="Times New Roman"/>
                <w:szCs w:val="20"/>
                <w:lang w:eastAsia="en-NZ"/>
              </w:rPr>
              <w:t xml:space="preserve"> recommendations</w:t>
            </w:r>
            <w:r w:rsidR="00556675">
              <w:rPr>
                <w:rFonts w:cs="Times New Roman"/>
                <w:szCs w:val="20"/>
                <w:lang w:eastAsia="en-NZ"/>
              </w:rPr>
              <w:t xml:space="preserve"> </w:t>
            </w:r>
            <w:r w:rsidR="00556675">
              <w:rPr>
                <w:rFonts w:cs="Times New Roman"/>
                <w:szCs w:val="20"/>
                <w:lang w:eastAsia="en-NZ"/>
              </w:rPr>
              <w:fldChar w:fldCharType="begin" w:fldLock="1"/>
            </w:r>
            <w:r w:rsidR="002B6CB8">
              <w:rPr>
                <w:rFonts w:cs="Times New Roman"/>
                <w:szCs w:val="20"/>
                <w:lang w:eastAsia="en-NZ"/>
              </w:rPr>
              <w:instrText>ADDIN CSL_CITATION {"citationItems":[{"id":"ITEM-1","itemData":{"URL":"https://www.foodstandards.govt.nz/consumer/labelling/review/Pages/default.aspx","accessed":{"date-parts":[["2020","2","4"]]},"author":[{"dropping-particle":"","family":"Food Standards Australia New Zealand","given":"","non-dropping-particle":"","parse-names":false,"suffix":""}],"container-title":"Food Standards Code","id":"ITEM-1","issued":{"date-parts":[["2017"]]},"title":"Labelling review","type":"webpage"},"uris":["http://www.mendeley.com/documents/?uuid=694b402a-331e-3b7e-8634-20b95c324581"]}],"mendeley":{"formattedCitation":"(25)","plainTextFormattedCitation":"(25)","previouslyFormattedCitation":"(25)"},"properties":{"noteIndex":0},"schema":"https://github.com/citation-style-language/schema/raw/master/csl-citation.json"}</w:instrText>
            </w:r>
            <w:r w:rsidR="00556675">
              <w:rPr>
                <w:rFonts w:cs="Times New Roman"/>
                <w:szCs w:val="20"/>
                <w:lang w:eastAsia="en-NZ"/>
              </w:rPr>
              <w:fldChar w:fldCharType="separate"/>
            </w:r>
            <w:r w:rsidR="00A90C92" w:rsidRPr="00A90C92">
              <w:rPr>
                <w:rFonts w:cs="Times New Roman"/>
                <w:noProof/>
                <w:szCs w:val="20"/>
                <w:lang w:eastAsia="en-NZ"/>
              </w:rPr>
              <w:t>(25)</w:t>
            </w:r>
            <w:r w:rsidR="00556675">
              <w:rPr>
                <w:rFonts w:cs="Times New Roman"/>
                <w:szCs w:val="20"/>
                <w:lang w:eastAsia="en-NZ"/>
              </w:rPr>
              <w:fldChar w:fldCharType="end"/>
            </w:r>
            <w:r w:rsidR="00667E26" w:rsidRPr="0091450A">
              <w:rPr>
                <w:rFonts w:cs="Times New Roman"/>
                <w:szCs w:val="20"/>
                <w:lang w:eastAsia="en-NZ"/>
              </w:rPr>
              <w:t>:</w:t>
            </w:r>
          </w:p>
          <w:p w14:paraId="6911F36C" w14:textId="4A62BFD8" w:rsidR="00E0191C" w:rsidRPr="00E0191C" w:rsidRDefault="006B470A" w:rsidP="00C3665C">
            <w:pPr>
              <w:pStyle w:val="ListParagraph"/>
              <w:numPr>
                <w:ilvl w:val="0"/>
                <w:numId w:val="94"/>
              </w:numPr>
              <w:shd w:val="clear" w:color="auto" w:fill="FFFFFF" w:themeFill="background1"/>
              <w:spacing w:before="40" w:after="40"/>
              <w:ind w:left="714" w:hanging="357"/>
            </w:pPr>
            <w:r w:rsidRPr="0091450A">
              <w:rPr>
                <w:u w:val="single"/>
              </w:rPr>
              <w:t>Recommendation 12:</w:t>
            </w:r>
            <w:r w:rsidRPr="0091450A">
              <w:t xml:space="preserve"> </w:t>
            </w:r>
            <w:r w:rsidR="00876115" w:rsidRPr="0091450A">
              <w:t>‘</w:t>
            </w:r>
            <w:r w:rsidR="00876115" w:rsidRPr="0091450A">
              <w:rPr>
                <w:i/>
              </w:rPr>
              <w:t>That w</w:t>
            </w:r>
            <w:r w:rsidRPr="0091450A">
              <w:rPr>
                <w:i/>
              </w:rPr>
              <w:t xml:space="preserve">here sugars, fats or vegetable oils are added as separate ingredients in a food, the terms ‘added sugars’ and ‘added fats’ and/or ‘added vegetable oils’ be used in the ingredient list as the generic term, </w:t>
            </w:r>
            <w:r w:rsidR="006F7072" w:rsidRPr="0091450A">
              <w:rPr>
                <w:i/>
              </w:rPr>
              <w:t>followed by a bracketed list (</w:t>
            </w:r>
            <w:r w:rsidR="00BE5B01" w:rsidRPr="0091450A">
              <w:rPr>
                <w:i/>
              </w:rPr>
              <w:t>e.g.</w:t>
            </w:r>
            <w:r w:rsidRPr="0091450A">
              <w:rPr>
                <w:i/>
              </w:rPr>
              <w:t xml:space="preserve"> added sugars (fructose, glucose syrup, honey), added fats (palm oil, milk fat) or added vegetable oils (sunflower oil, palm oil)</w:t>
            </w:r>
            <w:r w:rsidR="00876115" w:rsidRPr="0091450A">
              <w:t>’</w:t>
            </w:r>
            <w:r w:rsidRPr="0091450A">
              <w:t>.</w:t>
            </w:r>
            <w:r w:rsidR="008F0A07" w:rsidRPr="0091450A">
              <w:t xml:space="preserve"> </w:t>
            </w:r>
          </w:p>
          <w:p w14:paraId="056A1243" w14:textId="48D2FFCC" w:rsidR="00E0191C" w:rsidRDefault="006060EB" w:rsidP="00C3665C">
            <w:pPr>
              <w:pStyle w:val="ListParagraph"/>
              <w:numPr>
                <w:ilvl w:val="0"/>
                <w:numId w:val="94"/>
              </w:numPr>
              <w:shd w:val="clear" w:color="auto" w:fill="FFFFFF" w:themeFill="background1"/>
              <w:spacing w:before="40" w:after="40"/>
              <w:ind w:left="714" w:hanging="357"/>
            </w:pPr>
            <w:r w:rsidRPr="0091450A">
              <w:rPr>
                <w:rFonts w:cs="Times New Roman"/>
                <w:szCs w:val="20"/>
              </w:rPr>
              <w:t>FSANZ u</w:t>
            </w:r>
            <w:r w:rsidR="008F0A07" w:rsidRPr="0091450A">
              <w:t>ndert</w:t>
            </w:r>
            <w:r w:rsidRPr="0091450A">
              <w:t xml:space="preserve">ook </w:t>
            </w:r>
            <w:r w:rsidR="00E256FF" w:rsidRPr="0091450A">
              <w:t xml:space="preserve">work to clarify the policy issue in relation to naming sources of fats and oils, and the next steps to provide adequate information </w:t>
            </w:r>
            <w:r w:rsidR="00BF2813">
              <w:t>for</w:t>
            </w:r>
            <w:r w:rsidR="00E256FF" w:rsidRPr="0091450A">
              <w:t xml:space="preserve"> consumers to make informed choices in support of dietary guidelines. </w:t>
            </w:r>
          </w:p>
          <w:p w14:paraId="29A1112D" w14:textId="3FF06BF3" w:rsidR="00E256FF" w:rsidRPr="0091450A" w:rsidRDefault="00E256FF" w:rsidP="002D613F">
            <w:pPr>
              <w:pStyle w:val="ListParagraph"/>
              <w:numPr>
                <w:ilvl w:val="0"/>
                <w:numId w:val="94"/>
              </w:numPr>
              <w:shd w:val="clear" w:color="auto" w:fill="FFFFFF" w:themeFill="background1"/>
              <w:spacing w:before="40" w:after="40"/>
              <w:ind w:left="714" w:hanging="357"/>
            </w:pPr>
            <w:r w:rsidRPr="0091450A">
              <w:t xml:space="preserve">In April 2017 the Forum agreed to extend the scope of the project to cover all parts of the food label including the identification of fats and oils. The following activities have been completed: </w:t>
            </w:r>
            <w:r w:rsidR="00745E29">
              <w:t xml:space="preserve">a </w:t>
            </w:r>
            <w:r w:rsidRPr="0091450A">
              <w:t xml:space="preserve">literature review on consumers’ knowledge, attitudes and behaviours relating to the labelling of fats and oils, identification of international approaches to fats and oils labelling, the policy context in NZ, engagement with stakeholders. In June 2018 the Forum acknowledged consumer’s ability to identify saturated and/or mono and </w:t>
            </w:r>
            <w:r w:rsidRPr="00782A6C">
              <w:t>polyunsaturated fats in food is limited. Work currently being undertaken is for the National</w:t>
            </w:r>
            <w:r w:rsidRPr="0091450A">
              <w:t xml:space="preserve"> Health and Medical Research Council to provide advice on the guidance required to assist consumers </w:t>
            </w:r>
            <w:r w:rsidR="00745E29">
              <w:t xml:space="preserve">to </w:t>
            </w:r>
            <w:r w:rsidRPr="0091450A">
              <w:t xml:space="preserve">choose healthy fats and oil, and to seek stakeholder input on smart labelling. </w:t>
            </w:r>
            <w:r w:rsidR="00745E29">
              <w:t>P</w:t>
            </w:r>
            <w:r w:rsidRPr="0091450A">
              <w:t>ublic consultation on a range of policy options in relation to labelling of sugars on foods and drinks was undertaken between July and September 2018 with over 160 submissions. A ‘Policy Paper: Labelling of sugars in packaged foods and drinks’ was developed that identifies which of the policy options would best provide consumers with information to enable them to make an informed choice in relation to sugars. In August 2019 the Forum agreed to request that FSANZ review nutrition labelling for added sugars, noting that the option to quantify added sugars in the NIP best met the desired outcome and that a pictorial approach applied to sugar</w:t>
            </w:r>
            <w:r w:rsidR="009D1F7F">
              <w:t>y</w:t>
            </w:r>
            <w:r w:rsidRPr="0091450A">
              <w:t xml:space="preserve"> beverages warrants further consideration, along with other options, pending the response to the HSR five-year review</w:t>
            </w:r>
            <w:r w:rsidR="00FC30A6" w:rsidRPr="0091450A">
              <w:t xml:space="preserve"> </w:t>
            </w:r>
            <w:r w:rsidR="00FC30A6" w:rsidRPr="0091450A">
              <w:fldChar w:fldCharType="begin" w:fldLock="1"/>
            </w:r>
            <w:r w:rsidR="002B6CB8">
              <w:instrText>ADDIN CSL_CITATION {"citationItems":[{"id":"ITEM-1","itemData":{"URL":"https://foodregulation.gov.au/internet/fr/publishing.nsf/Content/sugar-labelling","accessed":{"date-parts":[["2020","1","20"]]},"author":[{"dropping-particle":"","family":"Food Regulation","given":"","non-dropping-particle":"","parse-names":false,"suffix":""}],"id":"ITEM-1","issued":{"date-parts":[["2019"]]},"title":"Food Regulation - Sugar Labelling","type":"webpage"},"uris":["http://www.mendeley.com/documents/?uuid=95dd4005-4a1e-398c-810b-281de0f639a0","http://www.mendeley.com/documents/?uuid=8ec95a9f-b8e6-4d2a-8ed0-d5148fe7e4e8"]}],"mendeley":{"formattedCitation":"(26)","plainTextFormattedCitation":"(26)","previouslyFormattedCitation":"(26)"},"properties":{"noteIndex":0},"schema":"https://github.com/citation-style-language/schema/raw/master/csl-citation.json"}</w:instrText>
            </w:r>
            <w:r w:rsidR="00FC30A6" w:rsidRPr="0091450A">
              <w:fldChar w:fldCharType="separate"/>
            </w:r>
            <w:r w:rsidR="00A90C92" w:rsidRPr="00A90C92">
              <w:rPr>
                <w:noProof/>
              </w:rPr>
              <w:t>(26)</w:t>
            </w:r>
            <w:r w:rsidR="00FC30A6" w:rsidRPr="0091450A">
              <w:fldChar w:fldCharType="end"/>
            </w:r>
            <w:r w:rsidRPr="0091450A">
              <w:t>.</w:t>
            </w:r>
          </w:p>
          <w:p w14:paraId="45211FEA" w14:textId="0759B728" w:rsidR="00200D87" w:rsidRPr="0091450A" w:rsidRDefault="00876115" w:rsidP="002D613F">
            <w:pPr>
              <w:pStyle w:val="ListParagraph"/>
              <w:numPr>
                <w:ilvl w:val="0"/>
                <w:numId w:val="94"/>
              </w:numPr>
              <w:shd w:val="clear" w:color="auto" w:fill="FFFFFF" w:themeFill="background1"/>
              <w:spacing w:before="40" w:after="40"/>
              <w:ind w:left="714" w:hanging="357"/>
            </w:pPr>
            <w:r w:rsidRPr="0091450A">
              <w:rPr>
                <w:u w:val="single"/>
              </w:rPr>
              <w:t>Recommendation 13:</w:t>
            </w:r>
            <w:r w:rsidRPr="0091450A">
              <w:t xml:space="preserve"> ‘</w:t>
            </w:r>
            <w:r w:rsidRPr="0091450A">
              <w:rPr>
                <w:i/>
              </w:rPr>
              <w:t>T</w:t>
            </w:r>
            <w:r w:rsidR="006B470A" w:rsidRPr="0091450A">
              <w:rPr>
                <w:i/>
              </w:rPr>
              <w:t xml:space="preserve">hat mandatory declaration of all trans fats above an agreed threshold be introduced in the NIP if manufactured trans fats have not been phased out of the food supply by </w:t>
            </w:r>
            <w:r w:rsidR="006B470A" w:rsidRPr="0091450A">
              <w:rPr>
                <w:i/>
              </w:rPr>
              <w:lastRenderedPageBreak/>
              <w:t>January 2013</w:t>
            </w:r>
            <w:r w:rsidRPr="0091450A">
              <w:rPr>
                <w:i/>
              </w:rPr>
              <w:t>’</w:t>
            </w:r>
            <w:r w:rsidR="00BD3CF8" w:rsidRPr="0091450A">
              <w:rPr>
                <w:i/>
              </w:rPr>
              <w:t xml:space="preserve">. </w:t>
            </w:r>
            <w:r w:rsidR="0057158A" w:rsidRPr="0091450A">
              <w:t xml:space="preserve">At </w:t>
            </w:r>
            <w:r w:rsidR="006B470A" w:rsidRPr="0091450A">
              <w:t>a meeting in 2015 ministers accepted the advice of FSA</w:t>
            </w:r>
            <w:r w:rsidR="00BD3CF8" w:rsidRPr="0091450A">
              <w:t xml:space="preserve">NZ that, given the low level of </w:t>
            </w:r>
            <w:r w:rsidR="006B470A" w:rsidRPr="0091450A">
              <w:t xml:space="preserve">TFAs in the foods sampled in Australia and New Zealand, mandatory labelling does not appear warranted. The Code currently permits the voluntary declaration of </w:t>
            </w:r>
            <w:r w:rsidR="006B470A" w:rsidRPr="0091450A">
              <w:rPr>
                <w:i/>
              </w:rPr>
              <w:t>trans</w:t>
            </w:r>
            <w:r w:rsidR="006B470A" w:rsidRPr="0091450A">
              <w:t xml:space="preserve"> fatty acids content on labels and requires the declaration of </w:t>
            </w:r>
            <w:r w:rsidR="006B470A" w:rsidRPr="0091450A">
              <w:rPr>
                <w:i/>
              </w:rPr>
              <w:t>trans</w:t>
            </w:r>
            <w:r w:rsidR="006B470A" w:rsidRPr="0091450A">
              <w:t xml:space="preserve"> fatty acids when certain nutrition content and health claims are made </w:t>
            </w:r>
            <w:r w:rsidR="00B4586B" w:rsidRPr="0091450A">
              <w:rPr>
                <w:rFonts w:cs="Times New Roman"/>
                <w:szCs w:val="20"/>
              </w:rPr>
              <w:fldChar w:fldCharType="begin" w:fldLock="1"/>
            </w:r>
            <w:r w:rsidR="006D306C" w:rsidRPr="0091450A">
              <w:rPr>
                <w:rFonts w:cs="Times New Roman"/>
                <w:szCs w:val="20"/>
              </w:rPr>
              <w:instrText>ADDIN CSL_CITATION {"citationItems":[{"id":"ITEM-1","itemData":{"URL":"http://www.foodstandards.govt.nz/consumer/labelling/review/Pages/Technical-evaluation-for-recommendation-13-%28trans-fatty-acids%29-.aspx","author":[{"dropping-particle":"","family":"Food Standards Australia New Zealand","given":"","non-dropping-particle":"","parse-names":false,"suffix":""}],"id":"ITEM-1","issue":"14/2/2017","issued":{"date-parts":[["2015"]]},"title":"Technical evaluation for recommendation 13 (trans fatty acids)","type":"webpage"},"uris":["http://www.mendeley.com/documents/?uuid=a7b3a91d-1479-4678-a46c-53e0060dfd29","http://www.mendeley.com/documents/?uuid=0a656caf-e5fc-382e-91d2-37d000fbd1e5"]}],"mendeley":{"formattedCitation":"(7)","plainTextFormattedCitation":"(7)","previouslyFormattedCitation":"(7)"},"properties":{"noteIndex":0},"schema":"https://github.com/citation-style-language/schema/raw/master/csl-citation.json"}</w:instrText>
            </w:r>
            <w:r w:rsidR="00B4586B" w:rsidRPr="0091450A">
              <w:rPr>
                <w:rFonts w:cs="Times New Roman"/>
                <w:szCs w:val="20"/>
              </w:rPr>
              <w:fldChar w:fldCharType="separate"/>
            </w:r>
            <w:r w:rsidR="00E04610" w:rsidRPr="0091450A">
              <w:rPr>
                <w:rFonts w:cs="Times New Roman"/>
                <w:noProof/>
                <w:szCs w:val="20"/>
              </w:rPr>
              <w:t>(7)</w:t>
            </w:r>
            <w:r w:rsidR="00B4586B" w:rsidRPr="0091450A">
              <w:rPr>
                <w:rFonts w:cs="Times New Roman"/>
                <w:szCs w:val="20"/>
              </w:rPr>
              <w:fldChar w:fldCharType="end"/>
            </w:r>
            <w:r w:rsidR="001F208C" w:rsidRPr="0091450A">
              <w:rPr>
                <w:rFonts w:cs="Times New Roman"/>
                <w:szCs w:val="20"/>
              </w:rPr>
              <w:t>.</w:t>
            </w:r>
          </w:p>
          <w:p w14:paraId="63CA34FD" w14:textId="444E0645" w:rsidR="00051B1A" w:rsidRPr="004D54A4" w:rsidRDefault="00051B1A" w:rsidP="004D54A4">
            <w:pPr>
              <w:pStyle w:val="ListParagraph"/>
              <w:numPr>
                <w:ilvl w:val="0"/>
                <w:numId w:val="94"/>
              </w:numPr>
              <w:spacing w:before="40" w:after="40"/>
              <w:ind w:left="714" w:hanging="357"/>
            </w:pPr>
            <w:r w:rsidRPr="004D54A4">
              <w:rPr>
                <w:u w:val="single"/>
              </w:rPr>
              <w:t>Re</w:t>
            </w:r>
            <w:r w:rsidRPr="0091450A">
              <w:rPr>
                <w:u w:val="single"/>
              </w:rPr>
              <w:t>commendation 26:</w:t>
            </w:r>
            <w:r w:rsidRPr="0091450A">
              <w:t xml:space="preserve"> </w:t>
            </w:r>
            <w:r w:rsidR="00876115" w:rsidRPr="0091450A">
              <w:t>‘</w:t>
            </w:r>
            <w:r w:rsidRPr="0091450A">
              <w:rPr>
                <w:i/>
              </w:rPr>
              <w:t xml:space="preserve">That the energy content be displayed on the labels of all alcoholic beverages consistent with </w:t>
            </w:r>
            <w:r w:rsidR="00876115" w:rsidRPr="0091450A">
              <w:rPr>
                <w:i/>
              </w:rPr>
              <w:t>the requirements for other food products’</w:t>
            </w:r>
            <w:r w:rsidRPr="004D54A4">
              <w:t xml:space="preserve">. </w:t>
            </w:r>
            <w:r w:rsidR="009D1F7F" w:rsidRPr="004D54A4">
              <w:t>T</w:t>
            </w:r>
            <w:r w:rsidR="00F00FAF" w:rsidRPr="004D54A4">
              <w:t>argeted consultation was undertaken in mid-2017. This information is being used to develop policy options for a wider public consultation</w:t>
            </w:r>
            <w:r w:rsidR="00740307" w:rsidRPr="004D54A4">
              <w:t xml:space="preserve"> </w:t>
            </w:r>
            <w:r w:rsidR="00740307" w:rsidRPr="004D54A4">
              <w:fldChar w:fldCharType="begin" w:fldLock="1"/>
            </w:r>
            <w:r w:rsidR="00292106" w:rsidRPr="004D54A4">
              <w:instrText>ADDIN CSL_CITATION {"citationItems":[{"id":"ITEM-1","itemData":{"abstract":"https://foodregulation.gov.au/internet/fr/publishing.nsf/Content/current-activities Below are the current activities of the Food Regulation System. These activities are divided into the three key priorities: Reducing foodborne illness, particularly related to Campylobacter and Salmonella. Supporting the public health objectives to reduce chronic disease related to overweight and obesity. Maintaining a strong, robust and agile Food Regulation System.","author":[{"dropping-particle":"","family":"Australian Government Department of Health","given":"","non-dropping-particle":"","parse-names":false,"suffix":""}],"id":"ITEM-1","issued":{"date-parts":[["2019"]]},"publisher":"Australian Government Department of Health","title":"Current activities of Food Regulation System","type":"article-journal"},"uris":["http://www.mendeley.com/documents/?uuid=bb2763a6-e5c1-3e79-9f79-492d44630fcc","http://www.mendeley.com/documents/?uuid=9b1c46ca-d7ed-479c-a958-255540c23735"]}],"mendeley":{"formattedCitation":"(27)","plainTextFormattedCitation":"(27)","previouslyFormattedCitation":"(27)"},"properties":{"noteIndex":0},"schema":"https://github.com/citation-style-language/schema/raw/master/csl-citation.json"}</w:instrText>
            </w:r>
            <w:r w:rsidR="00740307" w:rsidRPr="004D54A4">
              <w:fldChar w:fldCharType="separate"/>
            </w:r>
            <w:r w:rsidR="00A90C92" w:rsidRPr="004D54A4">
              <w:rPr>
                <w:noProof/>
              </w:rPr>
              <w:t>(27)</w:t>
            </w:r>
            <w:r w:rsidR="00740307" w:rsidRPr="004D54A4">
              <w:fldChar w:fldCharType="end"/>
            </w:r>
            <w:r w:rsidR="00F00FAF" w:rsidRPr="004D54A4">
              <w:t xml:space="preserve">. </w:t>
            </w:r>
          </w:p>
          <w:p w14:paraId="1220276A" w14:textId="070C7E77" w:rsidR="008220E2" w:rsidRPr="004D54A4" w:rsidRDefault="00BB30A1" w:rsidP="004D54A4">
            <w:pPr>
              <w:pStyle w:val="ListParagraph"/>
              <w:numPr>
                <w:ilvl w:val="0"/>
                <w:numId w:val="22"/>
              </w:numPr>
              <w:spacing w:before="40" w:after="40"/>
              <w:rPr>
                <w:rFonts w:cs="Times New Roman"/>
                <w:szCs w:val="20"/>
                <w:lang w:eastAsia="en-NZ"/>
              </w:rPr>
            </w:pPr>
            <w:r w:rsidRPr="004D54A4">
              <w:rPr>
                <w:rFonts w:eastAsia="Times New Roman" w:cs="Times New Roman"/>
                <w:szCs w:val="20"/>
                <w:lang w:eastAsia="en-NZ"/>
              </w:rPr>
              <w:t>The Government response to the Food Industry Taskforce on addressing factors contributing to obesity prioritised the recommendation for the food industry to take on the recommendations that might result from the developments of the Australia and New Zealand Ministerial Forum on Food Regulation ‘Labelling of Sugars on Packaged Foods and Drinks’ review</w:t>
            </w:r>
            <w:r w:rsidR="003C66B9" w:rsidRPr="004D54A4">
              <w:rPr>
                <w:rFonts w:eastAsia="Times New Roman" w:cs="Times New Roman"/>
                <w:szCs w:val="20"/>
                <w:lang w:eastAsia="en-NZ"/>
              </w:rPr>
              <w:t xml:space="preserve"> </w:t>
            </w:r>
            <w:r w:rsidR="00AE1585" w:rsidRPr="004D54A4">
              <w:rPr>
                <w:rFonts w:eastAsia="Times New Roman" w:cs="Times New Roman"/>
                <w:szCs w:val="20"/>
                <w:lang w:eastAsia="en-NZ"/>
              </w:rPr>
              <w:fldChar w:fldCharType="begin" w:fldLock="1"/>
            </w:r>
            <w:r w:rsidR="002B6CB8" w:rsidRPr="004D54A4">
              <w:rPr>
                <w:rFonts w:eastAsia="Times New Roman" w:cs="Times New Roman"/>
                <w:szCs w:val="20"/>
                <w:lang w:eastAsia="en-NZ"/>
              </w:rPr>
              <w:instrText>ADDIN CSL_CITATION {"citationItems":[{"id":"ITEM-1","itemData":{"author":[{"dropping-particle":"","family":"Clark","given":"David Hon Dr.","non-dropping-particle":"","parse-names":false,"suffix":""},{"dropping-particle":"","family":"O'Connor","given":"Damien Hon Dr.","non-dropping-particle":"","parse-names":false,"suffix":""}],"id":"ITEM-1","issued":{"date-parts":[["2018"]]},"publisher-place":"Wellington","title":"Government response to the Food Industry Taskforce's Report ","type":"report"},"uris":["http://www.mendeley.com/documents/?uuid=9b109c6f-0d98-3e1b-8d64-988917887f1f"]}],"mendeley":{"formattedCitation":"(28)","plainTextFormattedCitation":"(28)","previouslyFormattedCitation":"(28)"},"properties":{"noteIndex":0},"schema":"https://github.com/citation-style-language/schema/raw/master/csl-citation.json"}</w:instrText>
            </w:r>
            <w:r w:rsidR="00AE1585" w:rsidRPr="004D54A4">
              <w:rPr>
                <w:rFonts w:eastAsia="Times New Roman" w:cs="Times New Roman"/>
                <w:szCs w:val="20"/>
                <w:lang w:eastAsia="en-NZ"/>
              </w:rPr>
              <w:fldChar w:fldCharType="separate"/>
            </w:r>
            <w:r w:rsidR="00A90C92" w:rsidRPr="004D54A4">
              <w:rPr>
                <w:rFonts w:eastAsia="Times New Roman" w:cs="Times New Roman"/>
                <w:noProof/>
                <w:szCs w:val="20"/>
                <w:lang w:eastAsia="en-NZ"/>
              </w:rPr>
              <w:t>(28)</w:t>
            </w:r>
            <w:r w:rsidR="00AE1585" w:rsidRPr="004D54A4">
              <w:rPr>
                <w:rFonts w:eastAsia="Times New Roman" w:cs="Times New Roman"/>
                <w:szCs w:val="20"/>
                <w:lang w:eastAsia="en-NZ"/>
              </w:rPr>
              <w:fldChar w:fldCharType="end"/>
            </w:r>
            <w:r w:rsidRPr="004D54A4">
              <w:rPr>
                <w:rFonts w:eastAsia="Times New Roman" w:cs="Times New Roman"/>
                <w:szCs w:val="20"/>
                <w:lang w:eastAsia="en-NZ"/>
              </w:rPr>
              <w:t xml:space="preserve">. </w:t>
            </w:r>
          </w:p>
          <w:p w14:paraId="03C750E2" w14:textId="750222F3" w:rsidR="008220E2" w:rsidRPr="004D54A4" w:rsidRDefault="008220E2" w:rsidP="004D54A4">
            <w:pPr>
              <w:pStyle w:val="ListParagraph"/>
              <w:numPr>
                <w:ilvl w:val="0"/>
                <w:numId w:val="22"/>
              </w:numPr>
              <w:spacing w:before="40" w:after="40"/>
              <w:rPr>
                <w:rFonts w:cs="Times New Roman"/>
                <w:szCs w:val="20"/>
                <w:lang w:eastAsia="en-NZ"/>
              </w:rPr>
            </w:pPr>
            <w:r w:rsidRPr="004D54A4">
              <w:rPr>
                <w:rFonts w:cs="Times New Roman"/>
                <w:szCs w:val="20"/>
                <w:lang w:eastAsia="en-NZ"/>
              </w:rPr>
              <w:t>In August 2019, the Australia and New Zealand Ministerial Forum on Food Regulation (the Forum) asked FSANZ to review nutrition labelling for added sugars and to consider energy labelling on alcoholic beverages</w:t>
            </w:r>
            <w:r w:rsidR="00593333" w:rsidRPr="004D54A4">
              <w:rPr>
                <w:rFonts w:cs="Times New Roman"/>
                <w:szCs w:val="20"/>
                <w:lang w:eastAsia="en-NZ"/>
              </w:rPr>
              <w:t xml:space="preserve"> </w:t>
            </w:r>
            <w:r w:rsidR="005E2875" w:rsidRPr="004D54A4">
              <w:rPr>
                <w:rFonts w:cs="Times New Roman"/>
                <w:szCs w:val="20"/>
                <w:lang w:eastAsia="en-NZ"/>
              </w:rPr>
              <w:fldChar w:fldCharType="begin" w:fldLock="1"/>
            </w:r>
            <w:r w:rsidR="002B6CB8" w:rsidRPr="004D54A4">
              <w:rPr>
                <w:rFonts w:cs="Times New Roman"/>
                <w:szCs w:val="20"/>
                <w:lang w:eastAsia="en-NZ"/>
              </w:rPr>
              <w:instrText>ADDIN CSL_CITATION {"citationItems":[{"id":"ITEM-1","itemData":{"URL":"https://www.foodstandards.gov.au/consumer/labelling/Pages/Sugar-labelling.aspx","accessed":{"date-parts":[["2020","2","7"]]},"author":[{"dropping-particle":"","family":"Food Standards Australia and New Zealand","given":"","non-dropping-particle":"","parse-names":false,"suffix":""}],"container-title":"FSANZ","id":"ITEM-1","issued":{"date-parts":[["2019"]]},"title":"Sugar Labelling","type":"webpage"},"uris":["http://www.mendeley.com/documents/?uuid=d78ad805-3e92-4eab-8e44-ab1ec0a5aec7"]},{"id":"ITEM-2","itemData":{"URL":"https://www1.health.gov.au/internet/fr/publishing.nsf/Content/activities-energy-labelling","accessed":{"date-parts":[["2020","2","7"]]},"author":[{"dropping-particle":"","family":"Food Regulation","given":"","non-dropping-particle":"","parse-names":false,"suffix":""}],"id":"ITEM-2","issued":{"date-parts":[["2017"]]},"title":"Energy labelling of alcoholic beverages","type":"webpage"},"uris":["http://www.mendeley.com/documents/?uuid=cdbf1dcc-3b83-4454-aec8-13ef8a321ac4"]}],"mendeley":{"formattedCitation":"(29,30)","plainTextFormattedCitation":"(29,30)","previouslyFormattedCitation":"(29,30)"},"properties":{"noteIndex":0},"schema":"https://github.com/citation-style-language/schema/raw/master/csl-citation.json"}</w:instrText>
            </w:r>
            <w:r w:rsidR="005E2875" w:rsidRPr="004D54A4">
              <w:rPr>
                <w:rFonts w:cs="Times New Roman"/>
                <w:szCs w:val="20"/>
                <w:lang w:eastAsia="en-NZ"/>
              </w:rPr>
              <w:fldChar w:fldCharType="separate"/>
            </w:r>
            <w:r w:rsidR="00A90C92" w:rsidRPr="004D54A4">
              <w:rPr>
                <w:rFonts w:cs="Times New Roman"/>
                <w:noProof/>
                <w:szCs w:val="20"/>
                <w:lang w:eastAsia="en-NZ"/>
              </w:rPr>
              <w:t>(29,30)</w:t>
            </w:r>
            <w:r w:rsidR="005E2875" w:rsidRPr="004D54A4">
              <w:rPr>
                <w:rFonts w:cs="Times New Roman"/>
                <w:szCs w:val="20"/>
                <w:lang w:eastAsia="en-NZ"/>
              </w:rPr>
              <w:fldChar w:fldCharType="end"/>
            </w:r>
            <w:r w:rsidR="005E2875" w:rsidRPr="004D54A4">
              <w:rPr>
                <w:rFonts w:cs="Times New Roman"/>
                <w:szCs w:val="20"/>
                <w:lang w:eastAsia="en-NZ"/>
              </w:rPr>
              <w:t>.</w:t>
            </w:r>
          </w:p>
          <w:p w14:paraId="1A68AA8C" w14:textId="77777777" w:rsidR="008220E2" w:rsidRPr="0091450A" w:rsidRDefault="008220E2" w:rsidP="008220E2">
            <w:pPr>
              <w:pStyle w:val="ListParagraph"/>
              <w:shd w:val="clear" w:color="auto" w:fill="FFFFFF" w:themeFill="background1"/>
              <w:ind w:left="360"/>
            </w:pPr>
          </w:p>
          <w:p w14:paraId="05B5F7FE" w14:textId="2DF0540C"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2596ED2B" w14:textId="27F35F43" w:rsidR="00237CD6" w:rsidRPr="0091450A" w:rsidRDefault="004235B5" w:rsidP="002D613F">
            <w:pPr>
              <w:pStyle w:val="ListParagraph"/>
              <w:keepNext/>
              <w:numPr>
                <w:ilvl w:val="0"/>
                <w:numId w:val="52"/>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Many countries</w:t>
            </w:r>
            <w:r w:rsidRPr="0091450A">
              <w:rPr>
                <w:rFonts w:eastAsia="Times New Roman" w:cs="Times New Roman"/>
                <w:szCs w:val="20"/>
                <w:lang w:eastAsia="en-NZ"/>
              </w:rPr>
              <w:t>: In a wide range of countries</w:t>
            </w:r>
            <w:r w:rsidR="004274CE" w:rsidRPr="0091450A">
              <w:rPr>
                <w:rFonts w:eastAsia="Times New Roman" w:cs="Times New Roman"/>
                <w:szCs w:val="20"/>
                <w:lang w:eastAsia="en-NZ"/>
              </w:rPr>
              <w:t>, including New Zealand,</w:t>
            </w:r>
            <w:r w:rsidRPr="0091450A">
              <w:rPr>
                <w:rFonts w:eastAsia="Times New Roman" w:cs="Times New Roman"/>
                <w:szCs w:val="20"/>
                <w:lang w:eastAsia="en-NZ"/>
              </w:rPr>
              <w:t xml:space="preserve"> producers and retailers are required by law to provide a comprehensive nutrient list on pre-packaged food products (with limited exceptions), even in the absence of a nutrition or health claim. The rules define which nutrients must be listed and on what basis (</w:t>
            </w:r>
            <w:r w:rsidR="00BE5B01" w:rsidRPr="0091450A">
              <w:rPr>
                <w:rFonts w:eastAsia="Times New Roman" w:cs="Times New Roman"/>
                <w:szCs w:val="20"/>
                <w:lang w:eastAsia="en-NZ"/>
              </w:rPr>
              <w:t>e.g.</w:t>
            </w:r>
            <w:r w:rsidR="00067029" w:rsidRPr="0091450A">
              <w:rPr>
                <w:rFonts w:eastAsia="Times New Roman" w:cs="Times New Roman"/>
                <w:szCs w:val="20"/>
                <w:lang w:eastAsia="en-NZ"/>
              </w:rPr>
              <w:t xml:space="preserve"> per 100g or </w:t>
            </w:r>
            <w:r w:rsidRPr="0091450A">
              <w:rPr>
                <w:rFonts w:eastAsia="Times New Roman" w:cs="Times New Roman"/>
                <w:szCs w:val="20"/>
                <w:lang w:eastAsia="en-NZ"/>
              </w:rPr>
              <w:t xml:space="preserve">per serving) </w:t>
            </w:r>
            <w:r w:rsidR="00E35ED5"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00E35ED5"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E35ED5" w:rsidRPr="0091450A">
              <w:rPr>
                <w:rFonts w:eastAsia="Times New Roman" w:cs="Times New Roman"/>
                <w:szCs w:val="20"/>
                <w:lang w:eastAsia="en-NZ"/>
              </w:rPr>
              <w:fldChar w:fldCharType="end"/>
            </w:r>
            <w:r w:rsidR="00E35ED5" w:rsidRPr="0091450A">
              <w:rPr>
                <w:rFonts w:eastAsia="Times New Roman" w:cs="Times New Roman"/>
                <w:szCs w:val="20"/>
                <w:lang w:eastAsia="en-NZ"/>
              </w:rPr>
              <w:t>.</w:t>
            </w:r>
            <w:r w:rsidRPr="0091450A">
              <w:rPr>
                <w:rFonts w:eastAsia="Times New Roman" w:cs="Times New Roman"/>
                <w:szCs w:val="20"/>
                <w:lang w:eastAsia="en-NZ"/>
              </w:rPr>
              <w:t xml:space="preserve"> </w:t>
            </w:r>
            <w:r w:rsidR="00C537E8" w:rsidRPr="0091450A">
              <w:rPr>
                <w:rFonts w:ascii="Franklin Gothic Book" w:hAnsi="Franklin Gothic Book"/>
                <w:i/>
                <w:iCs/>
                <w:color w:val="292929"/>
              </w:rPr>
              <w:t xml:space="preserve"> </w:t>
            </w:r>
            <w:r w:rsidR="00915D87">
              <w:rPr>
                <w:rFonts w:ascii="Franklin Gothic Book" w:hAnsi="Franklin Gothic Book"/>
                <w:i/>
                <w:iCs/>
                <w:color w:val="292929"/>
              </w:rPr>
              <w:t xml:space="preserve"> </w:t>
            </w:r>
            <w:r w:rsidR="00915D87" w:rsidRPr="00915D87">
              <w:rPr>
                <w:rFonts w:eastAsia="Times New Roman" w:cs="Times New Roman"/>
                <w:szCs w:val="20"/>
                <w:lang w:eastAsia="en-NZ"/>
              </w:rPr>
              <w:t>Most other countries follow Guideline CAC/GL 2-1985 from the Codex Alimentarius Commission in requiring nutrition</w:t>
            </w:r>
            <w:r w:rsidR="00915D87" w:rsidRPr="00495026">
              <w:rPr>
                <w:rFonts w:eastAsia="Times New Roman" w:cs="Times New Roman"/>
                <w:szCs w:val="20"/>
                <w:lang w:eastAsia="en-NZ"/>
              </w:rPr>
              <w:t xml:space="preserve"> labels only when a nutrition or health claim is made and/or on food with special dietary uses</w:t>
            </w:r>
            <w:r w:rsidR="00495026">
              <w:rPr>
                <w:rFonts w:eastAsia="Times New Roman" w:cs="Times New Roman"/>
                <w:szCs w:val="20"/>
                <w:lang w:eastAsia="en-NZ"/>
              </w:rPr>
              <w:t xml:space="preserve">. </w:t>
            </w:r>
            <w:r w:rsidR="00495026"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00495026"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495026" w:rsidRPr="0091450A">
              <w:rPr>
                <w:rFonts w:eastAsia="Times New Roman" w:cs="Times New Roman"/>
                <w:szCs w:val="20"/>
                <w:lang w:eastAsia="en-NZ"/>
              </w:rPr>
              <w:fldChar w:fldCharType="end"/>
            </w:r>
          </w:p>
          <w:p w14:paraId="738AF343" w14:textId="2A9B5EF7" w:rsidR="002641F3" w:rsidRPr="0091450A" w:rsidRDefault="002641F3" w:rsidP="002D613F">
            <w:pPr>
              <w:pStyle w:val="ListParagraph"/>
              <w:keepNext/>
              <w:spacing w:before="40" w:after="40"/>
              <w:ind w:left="284"/>
              <w:contextualSpacing w:val="0"/>
              <w:rPr>
                <w:rFonts w:eastAsia="Times New Roman" w:cs="Times New Roman"/>
                <w:szCs w:val="20"/>
                <w:lang w:eastAsia="en-NZ"/>
              </w:rPr>
            </w:pPr>
          </w:p>
        </w:tc>
      </w:tr>
    </w:tbl>
    <w:p w14:paraId="437BDE09" w14:textId="77777777" w:rsidR="00076233" w:rsidRPr="0091450A" w:rsidRDefault="00076233" w:rsidP="002D613F">
      <w:pPr>
        <w:spacing w:after="0" w:line="240" w:lineRule="auto"/>
      </w:pPr>
    </w:p>
    <w:tbl>
      <w:tblPr>
        <w:tblStyle w:val="TableGrid"/>
        <w:tblW w:w="9209" w:type="dxa"/>
        <w:tblLook w:val="04A0" w:firstRow="1" w:lastRow="0" w:firstColumn="1" w:lastColumn="0" w:noHBand="0" w:noVBand="1"/>
      </w:tblPr>
      <w:tblGrid>
        <w:gridCol w:w="9209"/>
      </w:tblGrid>
      <w:tr w:rsidR="008A158E" w:rsidRPr="0091450A" w14:paraId="234FA93D" w14:textId="77777777" w:rsidTr="005D6133">
        <w:tc>
          <w:tcPr>
            <w:tcW w:w="9209" w:type="dxa"/>
          </w:tcPr>
          <w:p w14:paraId="2838BA4B" w14:textId="0DC455EA" w:rsidR="008A158E" w:rsidRPr="0091450A" w:rsidRDefault="008C0F53" w:rsidP="002D613F">
            <w:pPr>
              <w:spacing w:before="40" w:after="40"/>
              <w:rPr>
                <w:rFonts w:cs="Times New Roman"/>
                <w:bCs/>
                <w:szCs w:val="20"/>
              </w:rPr>
            </w:pPr>
            <w:r w:rsidRPr="0091450A">
              <w:rPr>
                <w:rFonts w:cs="Times New Roman"/>
                <w:b/>
                <w:color w:val="1F497D" w:themeColor="text2"/>
                <w:sz w:val="28"/>
                <w:szCs w:val="28"/>
              </w:rPr>
              <w:t xml:space="preserve">2 </w:t>
            </w:r>
            <w:r w:rsidR="008A158E" w:rsidRPr="0091450A">
              <w:rPr>
                <w:rFonts w:cs="Times New Roman"/>
                <w:b/>
                <w:color w:val="1F497D" w:themeColor="text2"/>
                <w:sz w:val="28"/>
                <w:szCs w:val="28"/>
              </w:rPr>
              <w:t xml:space="preserve">FOOD LABELLING: </w:t>
            </w:r>
            <w:r w:rsidR="00E56D63" w:rsidRPr="0091450A">
              <w:rPr>
                <w:rFonts w:cs="Times New Roman"/>
                <w:bCs/>
                <w:szCs w:val="20"/>
              </w:rPr>
              <w:t>There is a regulatory system implemented by the government for consumer-oriented labelling on food packaging and menu boards in restaurants to enable consumers to easily make informed food choices and to prevent misleading claims</w:t>
            </w:r>
          </w:p>
        </w:tc>
      </w:tr>
      <w:tr w:rsidR="008A158E" w:rsidRPr="0091450A" w14:paraId="512C60EE" w14:textId="77777777" w:rsidTr="005D6133">
        <w:tc>
          <w:tcPr>
            <w:tcW w:w="9209" w:type="dxa"/>
          </w:tcPr>
          <w:p w14:paraId="421C4268" w14:textId="590B4887" w:rsidR="008A158E" w:rsidRPr="0091450A" w:rsidRDefault="00F66E14" w:rsidP="002D613F">
            <w:pPr>
              <w:spacing w:before="40" w:after="40"/>
              <w:rPr>
                <w:rFonts w:cs="Times New Roman"/>
                <w:b/>
                <w:color w:val="1F497D" w:themeColor="text2"/>
                <w:sz w:val="28"/>
                <w:szCs w:val="28"/>
              </w:rPr>
            </w:pPr>
            <w:bookmarkStart w:id="20" w:name="_Toc31623718"/>
            <w:r w:rsidRPr="0091450A">
              <w:rPr>
                <w:rStyle w:val="Heading3Char"/>
              </w:rPr>
              <w:t>LABEL2</w:t>
            </w:r>
            <w:bookmarkEnd w:id="20"/>
            <w:r w:rsidR="008A158E" w:rsidRPr="0091450A">
              <w:rPr>
                <w:rFonts w:cs="Times New Roman"/>
                <w:b/>
                <w:color w:val="1F497D" w:themeColor="text2"/>
                <w:sz w:val="28"/>
                <w:szCs w:val="28"/>
              </w:rPr>
              <w:t xml:space="preserve">: </w:t>
            </w:r>
            <w:r w:rsidR="00886786" w:rsidRPr="0091450A">
              <w:rPr>
                <w:rFonts w:cs="Times New Roman"/>
                <w:b/>
                <w:color w:val="000000"/>
                <w:szCs w:val="20"/>
                <w:lang w:eastAsia="en-NZ"/>
              </w:rPr>
              <w:t>Robust, evidence-based regulatory systems are in place for approving/reviewing claims on foods so that consumers are protected against unsubstantiated and misleading nutrition and health claims</w:t>
            </w:r>
          </w:p>
        </w:tc>
      </w:tr>
      <w:tr w:rsidR="008A158E" w:rsidRPr="0091450A" w14:paraId="232AF5F9" w14:textId="77777777" w:rsidTr="005D6133">
        <w:tc>
          <w:tcPr>
            <w:tcW w:w="9209" w:type="dxa"/>
          </w:tcPr>
          <w:p w14:paraId="457F683F" w14:textId="4FEB220F"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 of implementat</w:t>
            </w:r>
            <w:r w:rsidR="00C04080" w:rsidRPr="0091450A">
              <w:rPr>
                <w:rFonts w:cs="Times New Roman"/>
                <w:b/>
                <w:color w:val="1F497D" w:themeColor="text2"/>
                <w:sz w:val="28"/>
                <w:szCs w:val="28"/>
              </w:rPr>
              <w:t>ion</w:t>
            </w:r>
          </w:p>
          <w:p w14:paraId="6167E9AE" w14:textId="6DA8BEBC" w:rsidR="00F106E7" w:rsidRPr="004D54A4" w:rsidRDefault="00140CB8" w:rsidP="00F106E7">
            <w:pPr>
              <w:pStyle w:val="ListParagraph"/>
              <w:numPr>
                <w:ilvl w:val="0"/>
                <w:numId w:val="3"/>
              </w:numPr>
              <w:spacing w:before="40" w:after="40"/>
            </w:pPr>
            <w:r w:rsidRPr="0091450A">
              <w:t xml:space="preserve">Food Standard 1.2.7 Nutrition Health and Related </w:t>
            </w:r>
            <w:r w:rsidRPr="00904512">
              <w:t>Claims</w:t>
            </w:r>
            <w:r w:rsidR="00FC5A8C" w:rsidRPr="00904512">
              <w:t xml:space="preserve"> </w:t>
            </w:r>
            <w:r w:rsidR="00FC5A8C" w:rsidRPr="00904512">
              <w:fldChar w:fldCharType="begin" w:fldLock="1"/>
            </w:r>
            <w:r w:rsidR="002B6CB8">
              <w:instrText>ADDIN CSL_CITATION {"citationItems":[{"id":"ITEM-1","itemData":{"URL":"https://www.legislation.gov.au/Details/F2018C00942","accessed":{"date-parts":[["2020","1","15"]]},"author":[{"dropping-particle":"","family":"Federal Register of Legislation","given":"","non-dropping-particle":"","parse-names":false,"suffix":""}],"id":"ITEM-1","issued":{"date-parts":[["2018"]]},"title":"Australia New Zealand Food Standards Code – Standard 1.2.7 – Nutrition, health and related claims","type":"webpage"},"uris":["http://www.mendeley.com/documents/?uuid=216f5b19-9f51-31b1-934b-5398198252fe","http://www.mendeley.com/documents/?uuid=06a1e1d2-c20d-45a8-b954-1702bd2bae9c"]}],"mendeley":{"formattedCitation":"(32)","plainTextFormattedCitation":"(32)","previouslyFormattedCitation":"(32)"},"properties":{"noteIndex":0},"schema":"https://github.com/citation-style-language/schema/raw/master/csl-citation.json"}</w:instrText>
            </w:r>
            <w:r w:rsidR="00FC5A8C" w:rsidRPr="00904512">
              <w:fldChar w:fldCharType="separate"/>
            </w:r>
            <w:r w:rsidR="00A90C92" w:rsidRPr="00A90C92">
              <w:rPr>
                <w:noProof/>
              </w:rPr>
              <w:t>(32)</w:t>
            </w:r>
            <w:r w:rsidR="00FC5A8C" w:rsidRPr="00904512">
              <w:fldChar w:fldCharType="end"/>
            </w:r>
            <w:r w:rsidRPr="00904512">
              <w:t>. This</w:t>
            </w:r>
            <w:r w:rsidRPr="0091450A">
              <w:t xml:space="preserve"> standard regulates nutrition content claims and health claims on food labels and in advertisements. It became law on 18</w:t>
            </w:r>
            <w:r w:rsidR="00E468BC" w:rsidRPr="0091450A">
              <w:t xml:space="preserve"> January 2013</w:t>
            </w:r>
            <w:r w:rsidR="00345E9F" w:rsidRPr="0091450A">
              <w:t xml:space="preserve"> and</w:t>
            </w:r>
            <w:r w:rsidR="00E468BC" w:rsidRPr="0091450A">
              <w:t xml:space="preserve"> businesses had to</w:t>
            </w:r>
            <w:r w:rsidRPr="0091450A">
              <w:t xml:space="preserve"> comply from 18 January 2016</w:t>
            </w:r>
            <w:r w:rsidR="00051B1A" w:rsidRPr="0091450A">
              <w:t xml:space="preserve"> </w:t>
            </w:r>
            <w:r w:rsidR="003161C7" w:rsidRPr="0091450A">
              <w:rPr>
                <w:rFonts w:cs="Times New Roman"/>
              </w:rPr>
              <w:fldChar w:fldCharType="begin" w:fldLock="1"/>
            </w:r>
            <w:r w:rsidR="002B6CB8">
              <w:rPr>
                <w:rFonts w:cs="Times New Roman"/>
              </w:rPr>
              <w:instrText>ADDIN CSL_CITATION {"citationItems":[{"id":"ITEM-1","itemData":{"URL":"http://www.comlaw.gov.au/Details/F2013L00054","author":[{"dropping-particle":"","family":"Australian Government","given":"","non-dropping-particle":"","parse-names":false,"suffix":""}],"id":"ITEM-1","issue":"26/06/2013","issued":{"date-parts":[["2013"]]},"title":"Australia New Zealand Food Standards Code - Standard 1.2.7 - Nutrition, Health and Related Claims - F2013L00054 ","type":"webpage"},"uris":["http://www.mendeley.com/documents/?uuid=0b63aefd-8cce-3788-88aa-1941afdc99b0","http://www.mendeley.com/documents/?uuid=71e73b40-f4a4-417a-a7ce-223387a044b2"]}],"mendeley":{"formattedCitation":"(33)","plainTextFormattedCitation":"(33)","previouslyFormattedCitation":"(33)"},"properties":{"noteIndex":0},"schema":"https://github.com/citation-style-language/schema/raw/master/csl-citation.json"}</w:instrText>
            </w:r>
            <w:r w:rsidR="003161C7" w:rsidRPr="0091450A">
              <w:rPr>
                <w:rFonts w:cs="Times New Roman"/>
              </w:rPr>
              <w:fldChar w:fldCharType="separate"/>
            </w:r>
            <w:r w:rsidR="00A90C92" w:rsidRPr="00A90C92">
              <w:rPr>
                <w:rFonts w:cs="Times New Roman"/>
                <w:noProof/>
              </w:rPr>
              <w:t>(33)</w:t>
            </w:r>
            <w:r w:rsidR="003161C7" w:rsidRPr="0091450A">
              <w:rPr>
                <w:rFonts w:cs="Times New Roman"/>
              </w:rPr>
              <w:fldChar w:fldCharType="end"/>
            </w:r>
            <w:r w:rsidR="00345E9F" w:rsidRPr="0091450A">
              <w:rPr>
                <w:rFonts w:cs="Times New Roman"/>
              </w:rPr>
              <w:t>,</w:t>
            </w:r>
            <w:r w:rsidR="003161C7" w:rsidRPr="0091450A">
              <w:rPr>
                <w:rFonts w:cs="Times New Roman"/>
              </w:rPr>
              <w:t xml:space="preserve"> </w:t>
            </w:r>
            <w:r w:rsidR="006D253E" w:rsidRPr="0091450A">
              <w:rPr>
                <w:rFonts w:cs="Times New Roman"/>
                <w:lang w:eastAsia="en-NZ"/>
              </w:rPr>
              <w:t xml:space="preserve">and with requirements for nutrition content claims about dietary fibre </w:t>
            </w:r>
            <w:r w:rsidR="00E468BC" w:rsidRPr="0091450A">
              <w:rPr>
                <w:rFonts w:cs="Times New Roman"/>
                <w:lang w:eastAsia="en-NZ"/>
              </w:rPr>
              <w:t>from</w:t>
            </w:r>
            <w:r w:rsidR="00B8651E" w:rsidRPr="0091450A">
              <w:rPr>
                <w:rFonts w:cs="Times New Roman"/>
                <w:lang w:eastAsia="en-NZ"/>
              </w:rPr>
              <w:t xml:space="preserve"> Jan</w:t>
            </w:r>
            <w:r w:rsidR="006D253E" w:rsidRPr="0091450A">
              <w:rPr>
                <w:rFonts w:cs="Times New Roman"/>
                <w:lang w:eastAsia="en-NZ"/>
              </w:rPr>
              <w:t xml:space="preserve"> 2017.</w:t>
            </w:r>
            <w:r w:rsidR="006D253E" w:rsidRPr="0091450A">
              <w:t xml:space="preserve"> Food businesses wanting to make general level health claims can base their claims on one of the more than 200 pre-approved food-health relationships in the Standard or self-substantiate a food-health relationship in accordance with detailed requirements set out in the Standard. </w:t>
            </w:r>
            <w:r w:rsidRPr="0091450A">
              <w:t xml:space="preserve">The Standard sets out the claims that can be made on labels or in advertisements about the nutritional content of food (including nutrient comparative claims) or the relationship between a food or property of food (such as a vitamin or mineral), and a health effect (general or </w:t>
            </w:r>
            <w:r w:rsidR="00C33497" w:rsidRPr="0091450A">
              <w:t>high-level</w:t>
            </w:r>
            <w:r w:rsidRPr="0091450A">
              <w:t xml:space="preserve"> health claims). The Standard establishes the conditions under which claims can be made. It provides exemptions for the use of ‘endorsements’ on labels or in advertisements</w:t>
            </w:r>
            <w:r w:rsidR="00345E9F" w:rsidRPr="0091450A">
              <w:t xml:space="preserve"> if</w:t>
            </w:r>
            <w:r w:rsidRPr="0091450A">
              <w:t xml:space="preserve"> certain requirements set out in the </w:t>
            </w:r>
            <w:r w:rsidR="0091450A" w:rsidRPr="0091450A">
              <w:t>Standard are</w:t>
            </w:r>
            <w:r w:rsidR="00345E9F" w:rsidRPr="0091450A">
              <w:t xml:space="preserve"> met</w:t>
            </w:r>
            <w:r w:rsidRPr="0091450A">
              <w:t xml:space="preserve">. </w:t>
            </w:r>
            <w:r w:rsidR="0061656E" w:rsidRPr="0091450A">
              <w:rPr>
                <w:rFonts w:cs="Times New Roman"/>
              </w:rPr>
              <w:t xml:space="preserve">Division 3 section 1.2.7-4 directly </w:t>
            </w:r>
            <w:r w:rsidR="00BA4AEA" w:rsidRPr="0091450A">
              <w:rPr>
                <w:rFonts w:cs="Times New Roman"/>
              </w:rPr>
              <w:t>discusses th</w:t>
            </w:r>
            <w:r w:rsidR="004D54A4">
              <w:rPr>
                <w:rFonts w:cs="Times New Roman"/>
              </w:rPr>
              <w:t>at</w:t>
            </w:r>
            <w:r w:rsidR="00BA4AEA" w:rsidRPr="0091450A">
              <w:rPr>
                <w:rFonts w:cs="Times New Roman"/>
              </w:rPr>
              <w:t xml:space="preserve"> “Nutrition content claims or health claims not to be made about certain foods”</w:t>
            </w:r>
            <w:r w:rsidR="004545AC" w:rsidRPr="0091450A">
              <w:rPr>
                <w:rFonts w:cs="Times New Roman"/>
              </w:rPr>
              <w:t xml:space="preserve"> and Division 4 is entirely related to the requirements for nutrition</w:t>
            </w:r>
            <w:r w:rsidR="003D01F5">
              <w:rPr>
                <w:rFonts w:cs="Times New Roman"/>
              </w:rPr>
              <w:t xml:space="preserve"> content</w:t>
            </w:r>
            <w:r w:rsidR="004545AC" w:rsidRPr="0091450A">
              <w:rPr>
                <w:rFonts w:cs="Times New Roman"/>
              </w:rPr>
              <w:t xml:space="preserve"> claims</w:t>
            </w:r>
            <w:r w:rsidR="007D48EC" w:rsidRPr="0091450A">
              <w:rPr>
                <w:rFonts w:cs="Times New Roman"/>
              </w:rPr>
              <w:t>.</w:t>
            </w:r>
            <w:r w:rsidR="00BA4AEA" w:rsidRPr="0091450A">
              <w:rPr>
                <w:rFonts w:cs="Times New Roman"/>
              </w:rPr>
              <w:t xml:space="preserve"> </w:t>
            </w:r>
            <w:r w:rsidR="003D01F5" w:rsidRPr="004D54A4">
              <w:rPr>
                <w:rFonts w:cs="Times New Roman"/>
              </w:rPr>
              <w:t>Health c</w:t>
            </w:r>
            <w:r w:rsidRPr="004D54A4">
              <w:t>laims cannot refer to the prevention, diagnosis, cure or alleviation of a disease, disorder or condition; or compare a</w:t>
            </w:r>
            <w:r w:rsidR="00DC2CA4" w:rsidRPr="004D54A4">
              <w:t xml:space="preserve"> portion of</w:t>
            </w:r>
            <w:r w:rsidRPr="004D54A4">
              <w:t xml:space="preserve"> food with a good that is represented in an</w:t>
            </w:r>
            <w:r w:rsidR="00B42934" w:rsidRPr="004D54A4">
              <w:t>y way to be for therapeutic use</w:t>
            </w:r>
            <w:r w:rsidRPr="004D54A4">
              <w:t xml:space="preserve"> (</w:t>
            </w:r>
            <w:r w:rsidR="00051B1A" w:rsidRPr="004D54A4">
              <w:t>personal communication, FSANZ, 20</w:t>
            </w:r>
            <w:r w:rsidR="00F106E7" w:rsidRPr="004D54A4">
              <w:t>20</w:t>
            </w:r>
            <w:r w:rsidRPr="004D54A4">
              <w:t>)</w:t>
            </w:r>
            <w:r w:rsidR="00B42934" w:rsidRPr="004D54A4">
              <w:t>.</w:t>
            </w:r>
          </w:p>
          <w:p w14:paraId="5A54653B" w14:textId="54B501B4" w:rsidR="00F106E7" w:rsidRPr="004D54A4" w:rsidRDefault="00F106E7" w:rsidP="00F106E7">
            <w:pPr>
              <w:pStyle w:val="ListParagraph"/>
              <w:numPr>
                <w:ilvl w:val="0"/>
                <w:numId w:val="3"/>
              </w:numPr>
              <w:spacing w:before="40" w:after="40"/>
            </w:pPr>
            <w:r w:rsidRPr="004D54A4">
              <w:t xml:space="preserve">A new Food Standard (1.2.7) was fully implemented in January 2016 to address claims on food labels. MPI conducted a survey of nutrition content claims and health claims of 680 randomly selected products in 2014/15 (baseline) and 2016/17 (post-implementation). The number of claims meeting the requirements of the Code increased from 57% to 86%. There was a similar number of general level health claims for </w:t>
            </w:r>
            <w:r w:rsidRPr="004D54A4">
              <w:lastRenderedPageBreak/>
              <w:t>both MPI surveys. At baseline, none of these claims met the requirements but by 2016/17 over half did. There were no high-level health claims in the survey (personal communication, MPI, 2020).</w:t>
            </w:r>
          </w:p>
          <w:p w14:paraId="58D94821" w14:textId="4B33D3A2" w:rsidR="00FB4C0B" w:rsidRPr="0091450A" w:rsidRDefault="00E468BC" w:rsidP="00A92F04">
            <w:pPr>
              <w:pStyle w:val="Tablebullet"/>
              <w:numPr>
                <w:ilvl w:val="0"/>
                <w:numId w:val="3"/>
              </w:numPr>
              <w:spacing w:before="40" w:after="40"/>
              <w:rPr>
                <w:rFonts w:asciiTheme="minorHAnsi" w:hAnsiTheme="minorHAnsi"/>
                <w:lang w:val="en-NZ"/>
              </w:rPr>
            </w:pPr>
            <w:r w:rsidRPr="0091450A">
              <w:rPr>
                <w:rFonts w:asciiTheme="minorHAnsi" w:hAnsiTheme="minorHAnsi"/>
                <w:lang w:val="en-NZ"/>
              </w:rPr>
              <w:t>With respect to self-substantiating a food-health relationship for the purposes of making a general level health claim</w:t>
            </w:r>
            <w:r w:rsidRPr="0091450A">
              <w:rPr>
                <w:lang w:val="en-NZ"/>
              </w:rPr>
              <w:t xml:space="preserve">, </w:t>
            </w:r>
            <w:r w:rsidR="006D253E" w:rsidRPr="0091450A">
              <w:rPr>
                <w:lang w:val="en-NZ"/>
              </w:rPr>
              <w:t>Standard 1.2.7 requires a person to notify FSANZ of a relationship between a food or property of food and a health effect (food-health relationship) which has been established by a process of systematic review</w:t>
            </w:r>
            <w:r w:rsidRPr="0091450A">
              <w:rPr>
                <w:lang w:val="en-NZ"/>
              </w:rPr>
              <w:t xml:space="preserve"> before making a general level health claim</w:t>
            </w:r>
            <w:r w:rsidRPr="00E44BFB">
              <w:rPr>
                <w:lang w:val="en-NZ"/>
              </w:rPr>
              <w:t>.</w:t>
            </w:r>
            <w:r w:rsidR="006D253E" w:rsidRPr="00E44BFB">
              <w:rPr>
                <w:lang w:val="en-NZ"/>
              </w:rPr>
              <w:t xml:space="preserve"> </w:t>
            </w:r>
            <w:r w:rsidR="00A92F04" w:rsidRPr="00E44BFB">
              <w:rPr>
                <w:rFonts w:asciiTheme="minorHAnsi" w:hAnsiTheme="minorHAnsi"/>
                <w:lang w:val="en-NZ"/>
              </w:rPr>
              <w:t xml:space="preserve">The notified food-health relationship is published on the FSANZ </w:t>
            </w:r>
            <w:hyperlink r:id="rId14" w:history="1">
              <w:r w:rsidR="00A92F04" w:rsidRPr="00E44BFB">
                <w:rPr>
                  <w:rStyle w:val="Hyperlink"/>
                  <w:rFonts w:asciiTheme="minorHAnsi" w:hAnsiTheme="minorHAnsi"/>
                  <w:color w:val="auto"/>
                  <w:u w:val="none"/>
                </w:rPr>
                <w:t>website</w:t>
              </w:r>
            </w:hyperlink>
            <w:r w:rsidR="00A92F04" w:rsidRPr="00E44BFB">
              <w:rPr>
                <w:rStyle w:val="Hyperlink"/>
                <w:rFonts w:asciiTheme="minorHAnsi" w:hAnsiTheme="minorHAnsi"/>
                <w:color w:val="auto"/>
                <w:u w:val="none"/>
              </w:rPr>
              <w:t xml:space="preserve"> </w:t>
            </w:r>
            <w:r w:rsidR="00A92F04" w:rsidRPr="00E44BFB">
              <w:rPr>
                <w:rStyle w:val="Hyperlink"/>
                <w:rFonts w:asciiTheme="minorHAnsi" w:hAnsiTheme="minorHAnsi" w:cs="Times New Roman"/>
                <w:color w:val="auto"/>
                <w:u w:val="none"/>
              </w:rPr>
              <w:fldChar w:fldCharType="begin" w:fldLock="1"/>
            </w:r>
            <w:r w:rsidR="002B6CB8" w:rsidRPr="00E44BFB">
              <w:rPr>
                <w:rStyle w:val="Hyperlink"/>
                <w:rFonts w:asciiTheme="minorHAnsi" w:hAnsiTheme="minorHAnsi" w:cs="Times New Roman"/>
                <w:color w:val="auto"/>
                <w:u w:val="none"/>
              </w:rPr>
              <w:instrText>ADDIN CSL_CITATION {"citationItems":[{"id":"ITEM-1","itemData":{"URL":"http://www.foodstandards.gov.au/industry/labelling/fhr/Pages/default.aspx","author":[{"dropping-particle":"","family":"Food Standards Australia New Zealand","given":"","non-dropping-particle":"","parse-names":false,"suffix":""}],"id":"ITEM-1","issue":"9/3/2017","issued":{"date-parts":[["2016"]]},"title":"Notified Food-Health Relationships","type":"webpage"},"uris":["http://www.mendeley.com/documents/?uuid=daccca18-6577-38c0-b782-4b24ef30b315"]}],"mendeley":{"formattedCitation":"(34)","plainTextFormattedCitation":"(34)","previouslyFormattedCitation":"(34)"},"properties":{"noteIndex":0},"schema":"https://github.com/citation-style-language/schema/raw/master/csl-citation.json"}</w:instrText>
            </w:r>
            <w:r w:rsidR="00A92F04" w:rsidRPr="00E44BFB">
              <w:rPr>
                <w:rStyle w:val="Hyperlink"/>
                <w:rFonts w:asciiTheme="minorHAnsi" w:hAnsiTheme="minorHAnsi" w:cs="Times New Roman"/>
                <w:color w:val="auto"/>
                <w:u w:val="none"/>
              </w:rPr>
              <w:fldChar w:fldCharType="separate"/>
            </w:r>
            <w:r w:rsidR="00A90C92" w:rsidRPr="00E44BFB">
              <w:rPr>
                <w:rStyle w:val="Hyperlink"/>
                <w:rFonts w:asciiTheme="minorHAnsi" w:hAnsiTheme="minorHAnsi" w:cs="Times New Roman"/>
                <w:noProof/>
                <w:color w:val="auto"/>
                <w:u w:val="none"/>
              </w:rPr>
              <w:t>(34)</w:t>
            </w:r>
            <w:r w:rsidR="00A92F04" w:rsidRPr="00E44BFB">
              <w:rPr>
                <w:rStyle w:val="Hyperlink"/>
                <w:rFonts w:asciiTheme="minorHAnsi" w:hAnsiTheme="minorHAnsi" w:cs="Times New Roman"/>
                <w:color w:val="auto"/>
                <w:u w:val="none"/>
              </w:rPr>
              <w:fldChar w:fldCharType="end"/>
            </w:r>
            <w:r w:rsidR="00A92F04" w:rsidRPr="00E44BFB">
              <w:rPr>
                <w:rStyle w:val="Hyperlink"/>
                <w:rFonts w:asciiTheme="minorHAnsi" w:hAnsiTheme="minorHAnsi" w:cs="Times New Roman"/>
                <w:color w:val="auto"/>
                <w:u w:val="none"/>
              </w:rPr>
              <w:t>,</w:t>
            </w:r>
            <w:r w:rsidR="00A92F04" w:rsidRPr="00E44BFB">
              <w:rPr>
                <w:rFonts w:asciiTheme="minorHAnsi" w:hAnsiTheme="minorHAnsi"/>
                <w:lang w:val="en-NZ"/>
              </w:rPr>
              <w:t xml:space="preserve"> but publication by FSANZ does not indicate acceptance, approval or validation of the food-health relationship. </w:t>
            </w:r>
            <w:r w:rsidR="00A92F04" w:rsidRPr="00E44BFB">
              <w:rPr>
                <w:rFonts w:asciiTheme="minorHAnsi" w:hAnsiTheme="minorHAnsi" w:cstheme="minorHAnsi"/>
                <w:lang w:val="en-US"/>
              </w:rPr>
              <w:t xml:space="preserve">The Ministry for Primary Industries is responsible for enforcing requirements in the Code including evaluating the evidence supplied in support of self-substantiated claims. </w:t>
            </w:r>
            <w:r w:rsidR="006D253E" w:rsidRPr="00E44BFB">
              <w:rPr>
                <w:lang w:val="en-NZ"/>
              </w:rPr>
              <w:t>High</w:t>
            </w:r>
            <w:r w:rsidR="00DC2CA4" w:rsidRPr="00E44BFB">
              <w:rPr>
                <w:lang w:val="en-NZ"/>
              </w:rPr>
              <w:t>-</w:t>
            </w:r>
            <w:r w:rsidR="006D253E" w:rsidRPr="00E44BFB">
              <w:rPr>
                <w:lang w:val="en-NZ"/>
              </w:rPr>
              <w:t xml:space="preserve">level health claims (referring to a serious disease or a biomarker of a serious disease) must be based on a food-health relationship pre-approved by FSANZ. </w:t>
            </w:r>
            <w:r w:rsidRPr="00E44BFB">
              <w:rPr>
                <w:rFonts w:asciiTheme="minorHAnsi" w:hAnsiTheme="minorHAnsi"/>
                <w:lang w:val="en-NZ"/>
              </w:rPr>
              <w:t>There</w:t>
            </w:r>
            <w:r w:rsidRPr="0091450A">
              <w:rPr>
                <w:rFonts w:asciiTheme="minorHAnsi" w:hAnsiTheme="minorHAnsi"/>
                <w:lang w:val="en-NZ"/>
              </w:rPr>
              <w:t xml:space="preserve"> are currently 13 pre-approved food-health relationships for high-level health claims listed in the Standard. </w:t>
            </w:r>
          </w:p>
          <w:p w14:paraId="1185E3BC" w14:textId="293607D6" w:rsidR="00FD5AA0" w:rsidRPr="0091450A" w:rsidRDefault="00E468BC" w:rsidP="002D613F">
            <w:pPr>
              <w:pStyle w:val="ListParagraph"/>
              <w:numPr>
                <w:ilvl w:val="0"/>
                <w:numId w:val="3"/>
              </w:numPr>
              <w:spacing w:before="40" w:after="40"/>
              <w:ind w:left="284" w:hanging="284"/>
              <w:contextualSpacing w:val="0"/>
              <w:rPr>
                <w:rFonts w:cs="Times New Roman"/>
                <w:szCs w:val="20"/>
                <w:lang w:eastAsia="en-NZ"/>
              </w:rPr>
            </w:pPr>
            <w:r w:rsidRPr="0091450A">
              <w:rPr>
                <w:rFonts w:cs="Times New Roman"/>
                <w:szCs w:val="20"/>
              </w:rPr>
              <w:t xml:space="preserve">The Standard requires that to use a general or </w:t>
            </w:r>
            <w:r w:rsidR="006F0860" w:rsidRPr="0091450A">
              <w:rPr>
                <w:rFonts w:cs="Times New Roman"/>
                <w:szCs w:val="20"/>
              </w:rPr>
              <w:t>high-level</w:t>
            </w:r>
            <w:r w:rsidRPr="0091450A">
              <w:rPr>
                <w:rFonts w:cs="Times New Roman"/>
                <w:szCs w:val="20"/>
              </w:rPr>
              <w:t xml:space="preserve"> health claim, the food to which the claim relates must meet </w:t>
            </w:r>
            <w:r w:rsidR="00DC2CA4">
              <w:rPr>
                <w:rFonts w:cs="Times New Roman"/>
                <w:szCs w:val="20"/>
              </w:rPr>
              <w:t xml:space="preserve">the </w:t>
            </w:r>
            <w:r w:rsidRPr="0091450A">
              <w:rPr>
                <w:rFonts w:cs="Times New Roman"/>
                <w:szCs w:val="20"/>
              </w:rPr>
              <w:t>Nutrient Profiling Scoring Criterion (NPSC)</w:t>
            </w:r>
            <w:r w:rsidR="00FD5AA0" w:rsidRPr="0091450A">
              <w:rPr>
                <w:rFonts w:cs="Times New Roman"/>
                <w:szCs w:val="20"/>
                <w:lang w:eastAsia="en-NZ"/>
              </w:rPr>
              <w:t>.</w:t>
            </w:r>
            <w:r w:rsidR="00FD5AA0" w:rsidRPr="0091450A">
              <w:rPr>
                <w:rFonts w:cs="Times New Roman"/>
                <w:szCs w:val="20"/>
              </w:rPr>
              <w:t xml:space="preserve"> </w:t>
            </w:r>
            <w:r w:rsidR="00C31BD8" w:rsidRPr="0091450A">
              <w:t>The final s</w:t>
            </w:r>
            <w:r w:rsidR="00FD5AA0" w:rsidRPr="0091450A">
              <w:t xml:space="preserve">core = baseline points (based on average energy, saturated fat, total </w:t>
            </w:r>
            <w:r w:rsidR="00FD5AA0" w:rsidRPr="00955E0B">
              <w:t>sugar and sodium content per 100 g or 100ml) – (fruit and vegetable points) – (protein points) – (fibre points). An online calculator is</w:t>
            </w:r>
            <w:r w:rsidR="00FD5AA0" w:rsidRPr="0091450A">
              <w:t xml:space="preserve"> available to help food businesses determine a food’s nutrient profiling score </w:t>
            </w:r>
            <w:r w:rsidR="001E0025" w:rsidRPr="0091450A">
              <w:rPr>
                <w:rFonts w:cs="Times New Roman"/>
                <w:szCs w:val="20"/>
              </w:rPr>
              <w:fldChar w:fldCharType="begin" w:fldLock="1"/>
            </w:r>
            <w:r w:rsidR="002B6CB8">
              <w:rPr>
                <w:rFonts w:cs="Times New Roman"/>
                <w:szCs w:val="20"/>
              </w:rPr>
              <w:instrText>ADDIN CSL_CITATION {"citationItems":[{"id":"ITEM-1","itemData":{"URL":"http://www.foodstandards.gov.au/industry/claims/pages/nutrientprofilingcalculator/Default.aspx","author":[{"dropping-particle":"","family":"Food Standards Australia New Zealand","given":"","non-dropping-particle":"","parse-names":false,"suffix":""}],"id":"ITEM-1","issue":"31/07/2013","issued":{"date-parts":[["0"]]},"title":"Nutrient Profiling Scoring Calculator ","type":"webpage"},"uris":["http://www.mendeley.com/documents/?uuid=dbc28bd2-5bac-3edf-9c0d-b63cad58b270","http://www.mendeley.com/documents/?uuid=b9c87a35-8a74-491e-aa7e-ce87705e3f63"]}],"mendeley":{"formattedCitation":"(35)","plainTextFormattedCitation":"(35)","previouslyFormattedCitation":"(35)"},"properties":{"noteIndex":0},"schema":"https://github.com/citation-style-language/schema/raw/master/csl-citation.json"}</w:instrText>
            </w:r>
            <w:r w:rsidR="001E0025" w:rsidRPr="0091450A">
              <w:rPr>
                <w:rFonts w:cs="Times New Roman"/>
                <w:szCs w:val="20"/>
              </w:rPr>
              <w:fldChar w:fldCharType="separate"/>
            </w:r>
            <w:r w:rsidR="00A90C92" w:rsidRPr="00A90C92">
              <w:rPr>
                <w:rFonts w:cs="Times New Roman"/>
                <w:noProof/>
                <w:szCs w:val="20"/>
              </w:rPr>
              <w:t>(35)</w:t>
            </w:r>
            <w:r w:rsidR="001E0025" w:rsidRPr="0091450A">
              <w:rPr>
                <w:rFonts w:cs="Times New Roman"/>
                <w:szCs w:val="20"/>
              </w:rPr>
              <w:fldChar w:fldCharType="end"/>
            </w:r>
            <w:r w:rsidR="00FD5AA0" w:rsidRPr="0091450A">
              <w:rPr>
                <w:rFonts w:cs="Times New Roman"/>
                <w:szCs w:val="20"/>
              </w:rPr>
              <w:t xml:space="preserve">. New Zealand is one of </w:t>
            </w:r>
            <w:r w:rsidR="00DC2CA4">
              <w:rPr>
                <w:rFonts w:cs="Times New Roman"/>
                <w:szCs w:val="20"/>
              </w:rPr>
              <w:t xml:space="preserve">a </w:t>
            </w:r>
            <w:r w:rsidR="00FD5AA0" w:rsidRPr="0091450A">
              <w:rPr>
                <w:rFonts w:cs="Times New Roman"/>
                <w:szCs w:val="20"/>
              </w:rPr>
              <w:t xml:space="preserve">few countries with a nutrient profiling scheme in place for health claims (personal communication, </w:t>
            </w:r>
            <w:r w:rsidR="00FD5AA0" w:rsidRPr="00E44BFB">
              <w:rPr>
                <w:rFonts w:cs="Times New Roman"/>
                <w:szCs w:val="20"/>
              </w:rPr>
              <w:t xml:space="preserve">FSANZ, </w:t>
            </w:r>
            <w:r w:rsidR="001A5E52" w:rsidRPr="00E44BFB">
              <w:rPr>
                <w:rFonts w:cs="Times New Roman"/>
                <w:szCs w:val="20"/>
              </w:rPr>
              <w:t>2020</w:t>
            </w:r>
            <w:r w:rsidR="00FD5AA0" w:rsidRPr="00E44BFB">
              <w:rPr>
                <w:rFonts w:cs="Times New Roman"/>
                <w:szCs w:val="20"/>
              </w:rPr>
              <w:t>).</w:t>
            </w:r>
          </w:p>
          <w:p w14:paraId="41551493" w14:textId="5842E093" w:rsidR="006D253E" w:rsidRPr="0091450A" w:rsidRDefault="006D253E" w:rsidP="002D613F">
            <w:pPr>
              <w:pStyle w:val="ListParagraph"/>
              <w:numPr>
                <w:ilvl w:val="0"/>
                <w:numId w:val="3"/>
              </w:numPr>
              <w:spacing w:before="40" w:after="40"/>
              <w:ind w:left="284" w:hanging="284"/>
              <w:contextualSpacing w:val="0"/>
            </w:pPr>
            <w:r w:rsidRPr="0091450A">
              <w:t xml:space="preserve">A Health Claims Scientific Advisory Group </w:t>
            </w:r>
            <w:r w:rsidR="00CA2A3F" w:rsidRPr="0091450A">
              <w:t>was</w:t>
            </w:r>
            <w:r w:rsidRPr="0091450A">
              <w:t xml:space="preserve"> established to provide scientific and technical advice to FSANZ</w:t>
            </w:r>
            <w:r w:rsidR="00C75023" w:rsidRPr="0091450A">
              <w:t xml:space="preserve"> </w:t>
            </w:r>
            <w:r w:rsidR="00731E31" w:rsidRPr="0091450A">
              <w:fldChar w:fldCharType="begin" w:fldLock="1"/>
            </w:r>
            <w:r w:rsidR="002B6CB8">
              <w:instrText>ADDIN CSL_CITATION {"citationItems":[{"id":"ITEM-1","itemData":{"URL":"https://www.foodstandards.govt.nz/science/expertise/Pages/Scientific-advisory-groups-.aspx","abstract":"From time to time FSANZ engages with experts from research agencies, universities industry and other organisations. We work with these experts as members of advisory groups which are formed to focus on specific issues. Read about the main advisory groups we work below.\n\n","accessed":{"date-parts":[["2020","1","30"]]},"author":[{"dropping-particle":"","family":"Food Standards Australia New Zealand","given":"","non-dropping-particle":"","parse-names":false,"suffix":""}],"id":"ITEM-1","issued":{"date-parts":[["2017"]]},"title":"Expert groups providing advice to FSANZ","type":"webpage"},"uris":["http://www.mendeley.com/documents/?uuid=216e0736-5142-3c9c-a7d3-41a34b70f2e6"]}],"mendeley":{"formattedCitation":"(36)","plainTextFormattedCitation":"(36)","previouslyFormattedCitation":"(36)"},"properties":{"noteIndex":0},"schema":"https://github.com/citation-style-language/schema/raw/master/csl-citation.json"}</w:instrText>
            </w:r>
            <w:r w:rsidR="00731E31" w:rsidRPr="0091450A">
              <w:fldChar w:fldCharType="separate"/>
            </w:r>
            <w:r w:rsidR="00A90C92" w:rsidRPr="00A90C92">
              <w:rPr>
                <w:noProof/>
              </w:rPr>
              <w:t>(36)</w:t>
            </w:r>
            <w:r w:rsidR="00731E31" w:rsidRPr="0091450A">
              <w:fldChar w:fldCharType="end"/>
            </w:r>
            <w:r w:rsidRPr="0091450A">
              <w:t>, when requested, in relation to health claims; and matters relevant to Standard 1.2.7- Nutrition, Health and Related Claims. The role of the High</w:t>
            </w:r>
            <w:r w:rsidR="00F411DC" w:rsidRPr="0091450A">
              <w:rPr>
                <w:rFonts w:cs="Times New Roman"/>
                <w:szCs w:val="20"/>
              </w:rPr>
              <w:t>-</w:t>
            </w:r>
            <w:r w:rsidRPr="0091450A">
              <w:t>Level Health Claims Committee is to consider and provide recommendations to FSANZ in relation to draft high</w:t>
            </w:r>
            <w:r w:rsidR="003E7DF6">
              <w:t>-</w:t>
            </w:r>
            <w:r w:rsidRPr="0091450A">
              <w:t>level health claim variations and/or the application or proposals that r</w:t>
            </w:r>
            <w:r w:rsidR="00B42934" w:rsidRPr="0091450A">
              <w:t>esulted in that draft variation</w:t>
            </w:r>
            <w:r w:rsidR="00051B1A" w:rsidRPr="0091450A">
              <w:rPr>
                <w:rFonts w:cs="Times New Roman"/>
                <w:szCs w:val="20"/>
              </w:rPr>
              <w:t xml:space="preserve"> (personal communication</w:t>
            </w:r>
            <w:r w:rsidR="00051B1A" w:rsidRPr="00E44BFB">
              <w:rPr>
                <w:rFonts w:cs="Times New Roman"/>
                <w:szCs w:val="20"/>
              </w:rPr>
              <w:t>, FSANZ, 20</w:t>
            </w:r>
            <w:r w:rsidR="001A5E52" w:rsidRPr="00E44BFB">
              <w:rPr>
                <w:rFonts w:cs="Times New Roman"/>
                <w:szCs w:val="20"/>
              </w:rPr>
              <w:t>20</w:t>
            </w:r>
            <w:r w:rsidR="00051B1A" w:rsidRPr="00E44BFB">
              <w:rPr>
                <w:rFonts w:cs="Times New Roman"/>
                <w:szCs w:val="20"/>
              </w:rPr>
              <w:t>)</w:t>
            </w:r>
            <w:r w:rsidR="00B42934" w:rsidRPr="00E44BFB">
              <w:rPr>
                <w:rFonts w:cs="Times New Roman"/>
                <w:szCs w:val="20"/>
              </w:rPr>
              <w:t>.</w:t>
            </w:r>
          </w:p>
          <w:p w14:paraId="0F5EFBEC" w14:textId="5379A92C" w:rsidR="00FB4377" w:rsidRPr="0091450A" w:rsidRDefault="00FB4377" w:rsidP="002D613F">
            <w:pPr>
              <w:pStyle w:val="Tablebullet"/>
              <w:numPr>
                <w:ilvl w:val="0"/>
                <w:numId w:val="3"/>
              </w:numPr>
              <w:spacing w:before="40" w:after="40"/>
              <w:ind w:left="284" w:hanging="284"/>
              <w:rPr>
                <w:rFonts w:asciiTheme="minorHAnsi" w:hAnsiTheme="minorHAnsi"/>
                <w:lang w:val="en-NZ"/>
              </w:rPr>
            </w:pPr>
            <w:r w:rsidRPr="0091450A">
              <w:rPr>
                <w:rFonts w:asciiTheme="minorHAnsi" w:hAnsiTheme="minorHAnsi"/>
                <w:lang w:val="en-NZ"/>
              </w:rPr>
              <w:t>Sections S4</w:t>
            </w:r>
            <w:r w:rsidR="006E24F0" w:rsidRPr="0091450A">
              <w:rPr>
                <w:rFonts w:asciiTheme="minorHAnsi" w:hAnsiTheme="minorHAnsi"/>
                <w:lang w:val="en-NZ"/>
              </w:rPr>
              <w:t>-</w:t>
            </w:r>
            <w:r w:rsidRPr="0091450A">
              <w:rPr>
                <w:rFonts w:asciiTheme="minorHAnsi" w:hAnsiTheme="minorHAnsi"/>
                <w:lang w:val="en-NZ"/>
              </w:rPr>
              <w:t>4 and S4</w:t>
            </w:r>
            <w:r w:rsidR="006E24F0" w:rsidRPr="0091450A">
              <w:rPr>
                <w:rFonts w:asciiTheme="minorHAnsi" w:hAnsiTheme="minorHAnsi"/>
                <w:lang w:val="en-NZ"/>
              </w:rPr>
              <w:t>-</w:t>
            </w:r>
            <w:r w:rsidRPr="0091450A">
              <w:rPr>
                <w:rFonts w:asciiTheme="minorHAnsi" w:hAnsiTheme="minorHAnsi"/>
                <w:lang w:val="en-NZ"/>
              </w:rPr>
              <w:t xml:space="preserve">5 of Schedule 4 in the Code outline the specific conditions required for pre-approved high level and general level </w:t>
            </w:r>
            <w:r w:rsidR="006F7072" w:rsidRPr="0091450A">
              <w:rPr>
                <w:rFonts w:asciiTheme="minorHAnsi" w:hAnsiTheme="minorHAnsi"/>
                <w:lang w:val="en-NZ"/>
              </w:rPr>
              <w:t>health claims, respectively (</w:t>
            </w:r>
            <w:r w:rsidR="00BE5B01" w:rsidRPr="0091450A">
              <w:rPr>
                <w:rFonts w:asciiTheme="minorHAnsi" w:hAnsiTheme="minorHAnsi"/>
                <w:lang w:val="en-NZ"/>
              </w:rPr>
              <w:t>e.g.</w:t>
            </w:r>
            <w:r w:rsidRPr="0091450A">
              <w:rPr>
                <w:rFonts w:asciiTheme="minorHAnsi" w:hAnsiTheme="minorHAnsi"/>
                <w:lang w:val="en-NZ"/>
              </w:rPr>
              <w:t xml:space="preserve"> ‘calcium reduces </w:t>
            </w:r>
            <w:r w:rsidR="003E7DF6">
              <w:rPr>
                <w:rFonts w:asciiTheme="minorHAnsi" w:hAnsiTheme="minorHAnsi"/>
                <w:lang w:val="en-NZ"/>
              </w:rPr>
              <w:t xml:space="preserve">the </w:t>
            </w:r>
            <w:r w:rsidRPr="0091450A">
              <w:rPr>
                <w:rFonts w:asciiTheme="minorHAnsi" w:hAnsiTheme="minorHAnsi"/>
                <w:lang w:val="en-NZ"/>
              </w:rPr>
              <w:t xml:space="preserve">risk of osteoporosis’: food must contain no less than 290mg of calcium per serving). </w:t>
            </w:r>
            <w:r w:rsidRPr="0091450A" w:rsidDel="00A6779E">
              <w:rPr>
                <w:rFonts w:asciiTheme="minorHAnsi" w:hAnsiTheme="minorHAnsi"/>
                <w:lang w:val="en-NZ"/>
              </w:rPr>
              <w:t xml:space="preserve"> </w:t>
            </w:r>
          </w:p>
          <w:p w14:paraId="70E72CCD" w14:textId="204864C0" w:rsidR="00FB4377" w:rsidRPr="0091450A" w:rsidRDefault="00B8651E" w:rsidP="002D613F">
            <w:pPr>
              <w:pStyle w:val="ListParagraph"/>
              <w:numPr>
                <w:ilvl w:val="0"/>
                <w:numId w:val="3"/>
              </w:numPr>
              <w:spacing w:before="40" w:after="40"/>
              <w:ind w:left="284" w:hanging="284"/>
              <w:contextualSpacing w:val="0"/>
            </w:pPr>
            <w:r w:rsidRPr="0091450A">
              <w:t>Nutrition</w:t>
            </w:r>
            <w:r w:rsidR="00FB4377" w:rsidRPr="0091450A">
              <w:t xml:space="preserve"> content and comparative nutrition content claims: </w:t>
            </w:r>
            <w:r w:rsidR="00FB4377" w:rsidRPr="0091450A">
              <w:rPr>
                <w:rFonts w:cs="Times New Roman"/>
                <w:szCs w:val="20"/>
              </w:rPr>
              <w:t>A nutrition content claim (including a comparative claim) can be made in accordance with the requirements set out in the Standard. Comparative claims must meet minimum standards relating to the difference between the nutrient content of that</w:t>
            </w:r>
            <w:r w:rsidR="006F7072" w:rsidRPr="0091450A">
              <w:rPr>
                <w:rFonts w:cs="Times New Roman"/>
                <w:szCs w:val="20"/>
              </w:rPr>
              <w:t xml:space="preserve"> food and </w:t>
            </w:r>
            <w:r w:rsidR="006F7072" w:rsidRPr="00620280">
              <w:rPr>
                <w:rFonts w:cs="Times New Roman"/>
                <w:szCs w:val="20"/>
              </w:rPr>
              <w:t>a comparative food (</w:t>
            </w:r>
            <w:r w:rsidR="00BE5B01" w:rsidRPr="00620280">
              <w:rPr>
                <w:rFonts w:cs="Times New Roman"/>
                <w:szCs w:val="20"/>
              </w:rPr>
              <w:t>e.g.</w:t>
            </w:r>
            <w:r w:rsidR="00FB4377" w:rsidRPr="00620280">
              <w:rPr>
                <w:rFonts w:cs="Times New Roman"/>
                <w:szCs w:val="20"/>
              </w:rPr>
              <w:t xml:space="preserve"> at least 25% less energy than the same quantity of reference food). Section S4</w:t>
            </w:r>
            <w:r w:rsidR="00C31BD8" w:rsidRPr="00620280">
              <w:rPr>
                <w:rFonts w:cs="Times New Roman"/>
                <w:szCs w:val="20"/>
              </w:rPr>
              <w:t>-</w:t>
            </w:r>
            <w:r w:rsidR="00FB4377" w:rsidRPr="00620280">
              <w:rPr>
                <w:rFonts w:cs="Times New Roman"/>
                <w:szCs w:val="20"/>
              </w:rPr>
              <w:t>3 of Schedule 4 outlines the specific conditions required f</w:t>
            </w:r>
            <w:r w:rsidR="006F7072" w:rsidRPr="00620280">
              <w:rPr>
                <w:rFonts w:cs="Times New Roman"/>
                <w:szCs w:val="20"/>
              </w:rPr>
              <w:t>or a nutrition content claim (</w:t>
            </w:r>
            <w:r w:rsidR="00BE5B01" w:rsidRPr="00620280">
              <w:rPr>
                <w:rFonts w:cs="Times New Roman"/>
                <w:szCs w:val="20"/>
              </w:rPr>
              <w:t>e.g.</w:t>
            </w:r>
            <w:r w:rsidR="00FB4377" w:rsidRPr="00620280">
              <w:rPr>
                <w:rFonts w:cs="Times New Roman"/>
                <w:szCs w:val="20"/>
              </w:rPr>
              <w:t xml:space="preserve"> to claim ‘low fat’ the food contains no more fat than 1.5g/ 100 mL for liquid food; or 3g/ 100 g for solid food). For claims about properties of food not listed in section S4</w:t>
            </w:r>
            <w:r w:rsidR="006E24F0" w:rsidRPr="00620280">
              <w:rPr>
                <w:rFonts w:cs="Times New Roman"/>
                <w:szCs w:val="20"/>
              </w:rPr>
              <w:t>-</w:t>
            </w:r>
            <w:r w:rsidR="00FB4377" w:rsidRPr="00620280">
              <w:rPr>
                <w:rFonts w:cs="Times New Roman"/>
                <w:szCs w:val="20"/>
              </w:rPr>
              <w:t xml:space="preserve">3 of Schedule 4, the claim can only state that the food contains or does not contain the property of food, or </w:t>
            </w:r>
            <w:r w:rsidR="00B42934" w:rsidRPr="00620280">
              <w:rPr>
                <w:rFonts w:cs="Times New Roman"/>
                <w:szCs w:val="20"/>
              </w:rPr>
              <w:t>contains a specified amount</w:t>
            </w:r>
            <w:r w:rsidR="00FB4377" w:rsidRPr="00620280">
              <w:rPr>
                <w:rFonts w:cs="Times New Roman"/>
                <w:szCs w:val="20"/>
              </w:rPr>
              <w:t xml:space="preserve"> </w:t>
            </w:r>
            <w:r w:rsidR="009C7FCA" w:rsidRPr="00620280">
              <w:rPr>
                <w:rFonts w:cs="Times New Roman"/>
                <w:szCs w:val="20"/>
              </w:rPr>
              <w:t>(personal communication, FSANZ, 2017</w:t>
            </w:r>
            <w:r w:rsidR="00FB4377" w:rsidRPr="00620280">
              <w:rPr>
                <w:rFonts w:cs="Times New Roman"/>
                <w:szCs w:val="20"/>
              </w:rPr>
              <w:t>)</w:t>
            </w:r>
            <w:r w:rsidR="00B42934" w:rsidRPr="00620280">
              <w:rPr>
                <w:rFonts w:cs="Times New Roman"/>
                <w:szCs w:val="20"/>
              </w:rPr>
              <w:t>.</w:t>
            </w:r>
            <w:r w:rsidR="00CA2A3F" w:rsidRPr="00620280">
              <w:t xml:space="preserve"> Where</w:t>
            </w:r>
            <w:r w:rsidR="00CA2A3F" w:rsidRPr="0091450A">
              <w:t xml:space="preserve"> a nutrition content claim is made about any food component, it triggers the need for that component to be included in the nutrition information panel, so that the average amount in th</w:t>
            </w:r>
            <w:r w:rsidR="00255302" w:rsidRPr="0091450A">
              <w:t xml:space="preserve">e food is known </w:t>
            </w:r>
            <w:r w:rsidR="00CA2A3F" w:rsidRPr="0091450A">
              <w:t>(</w:t>
            </w:r>
            <w:r w:rsidR="00255302" w:rsidRPr="0091450A">
              <w:t>p</w:t>
            </w:r>
            <w:r w:rsidR="006E24F0" w:rsidRPr="0091450A">
              <w:t>ersonal</w:t>
            </w:r>
            <w:r w:rsidR="00051B1A" w:rsidRPr="0091450A">
              <w:t xml:space="preserve"> communication, </w:t>
            </w:r>
            <w:r w:rsidR="00CA2A3F" w:rsidRPr="0091450A">
              <w:t>MPI</w:t>
            </w:r>
            <w:r w:rsidR="00051B1A" w:rsidRPr="0091450A">
              <w:t>, 2017</w:t>
            </w:r>
            <w:r w:rsidR="00CA2A3F" w:rsidRPr="0091450A">
              <w:t>)</w:t>
            </w:r>
            <w:r w:rsidR="00CB6A80" w:rsidRPr="0091450A">
              <w:t>. The NPSC does not apply for nutrition content</w:t>
            </w:r>
            <w:r w:rsidR="00DD1DDF" w:rsidRPr="0091450A">
              <w:t xml:space="preserve"> claims.</w:t>
            </w:r>
          </w:p>
          <w:p w14:paraId="60475957" w14:textId="51F66D1F" w:rsidR="009C7FCA" w:rsidRPr="0091450A" w:rsidRDefault="006D253E" w:rsidP="002D613F">
            <w:pPr>
              <w:pStyle w:val="ListParagraph"/>
              <w:numPr>
                <w:ilvl w:val="0"/>
                <w:numId w:val="3"/>
              </w:numPr>
              <w:spacing w:before="40" w:after="40"/>
              <w:ind w:left="284" w:hanging="284"/>
              <w:contextualSpacing w:val="0"/>
            </w:pPr>
            <w:r w:rsidRPr="0091450A">
              <w:t>Recommendation 3 from Labelling Logic: Complete. A Food Labelling Monitoring and Enforcement Framework has been developed</w:t>
            </w:r>
            <w:r w:rsidR="003718C6" w:rsidRPr="0091450A">
              <w:rPr>
                <w:rFonts w:cs="Times New Roman"/>
                <w:szCs w:val="20"/>
              </w:rPr>
              <w:t xml:space="preserve"> </w:t>
            </w:r>
            <w:r w:rsidR="00F76D67" w:rsidRPr="0091450A">
              <w:rPr>
                <w:rFonts w:cs="Times New Roman"/>
                <w:szCs w:val="20"/>
              </w:rPr>
              <w:fldChar w:fldCharType="begin" w:fldLock="1"/>
            </w:r>
            <w:r w:rsidR="002B6CB8">
              <w:rPr>
                <w:rFonts w:cs="Times New Roman"/>
                <w:szCs w:val="20"/>
              </w:rPr>
              <w:instrText>ADDIN CSL_CITATION {"citationItems":[{"id":"ITEM-1","itemData":{"URL":"https://www.foodstandards.govt.nz/consumer/labelling/review/Pages/default.aspx","accessed":{"date-parts":[["2020","2","4"]]},"author":[{"dropping-particle":"","family":"Food Standards Australia New Zealand","given":"","non-dropping-particle":"","parse-names":false,"suffix":""}],"container-title":"Food Standards Code","id":"ITEM-1","issued":{"date-parts":[["2017"]]},"title":"Labelling review","type":"webpage"},"uris":["http://www.mendeley.com/documents/?uuid=694b402a-331e-3b7e-8634-20b95c324581"]}],"mendeley":{"formattedCitation":"(25)","plainTextFormattedCitation":"(25)","previouslyFormattedCitation":"(25)"},"properties":{"noteIndex":0},"schema":"https://github.com/citation-style-language/schema/raw/master/csl-citation.json"}</w:instrText>
            </w:r>
            <w:r w:rsidR="00F76D67" w:rsidRPr="0091450A">
              <w:rPr>
                <w:rFonts w:cs="Times New Roman"/>
                <w:szCs w:val="20"/>
              </w:rPr>
              <w:fldChar w:fldCharType="separate"/>
            </w:r>
            <w:r w:rsidR="00A90C92" w:rsidRPr="00A90C92">
              <w:rPr>
                <w:rFonts w:cs="Times New Roman"/>
                <w:noProof/>
                <w:szCs w:val="20"/>
              </w:rPr>
              <w:t>(25)</w:t>
            </w:r>
            <w:r w:rsidR="00F76D67" w:rsidRPr="0091450A">
              <w:rPr>
                <w:rFonts w:cs="Times New Roman"/>
                <w:szCs w:val="20"/>
              </w:rPr>
              <w:fldChar w:fldCharType="end"/>
            </w:r>
            <w:r w:rsidR="00C9426F" w:rsidRPr="0091450A">
              <w:rPr>
                <w:rFonts w:cs="Times New Roman"/>
                <w:szCs w:val="20"/>
              </w:rPr>
              <w:t>.</w:t>
            </w:r>
            <w:r w:rsidR="00DD1DDF" w:rsidRPr="0091450A">
              <w:t xml:space="preserve"> </w:t>
            </w:r>
            <w:r w:rsidR="0083323D" w:rsidRPr="0091450A">
              <w:rPr>
                <w:rFonts w:cs="Times New Roman"/>
                <w:szCs w:val="20"/>
              </w:rPr>
              <w:t xml:space="preserve">MPI manage non-compliant health claims and nutrition content claims using a graduated and proportionate approach: assess the non-compliant claim, determine the associated risk and use the appropriate tool in response.  This ranges from education and advice, through to direct enforcement action which could include directing business to stop selling the non-complying product.  </w:t>
            </w:r>
            <w:r w:rsidR="001672F8">
              <w:rPr>
                <w:rFonts w:cs="Times New Roman"/>
                <w:szCs w:val="20"/>
              </w:rPr>
              <w:t>A p</w:t>
            </w:r>
            <w:r w:rsidR="0083323D" w:rsidRPr="0091450A">
              <w:rPr>
                <w:rFonts w:cs="Times New Roman"/>
                <w:szCs w:val="20"/>
              </w:rPr>
              <w:t>rosecution is also an option</w:t>
            </w:r>
            <w:r w:rsidR="00855A9C" w:rsidRPr="0091450A">
              <w:rPr>
                <w:rFonts w:cs="Times New Roman"/>
                <w:szCs w:val="20"/>
              </w:rPr>
              <w:t xml:space="preserve"> (personal communication, MPI, 2020).</w:t>
            </w:r>
          </w:p>
          <w:p w14:paraId="0C70E833" w14:textId="393E5D65" w:rsidR="00855A9C" w:rsidRPr="0091450A" w:rsidRDefault="00320810" w:rsidP="002D613F">
            <w:pPr>
              <w:pStyle w:val="ListParagraph"/>
              <w:numPr>
                <w:ilvl w:val="0"/>
                <w:numId w:val="3"/>
              </w:numPr>
              <w:spacing w:before="40" w:after="40"/>
              <w:ind w:left="284" w:hanging="284"/>
              <w:contextualSpacing w:val="0"/>
              <w:rPr>
                <w:rFonts w:cs="Times New Roman"/>
                <w:szCs w:val="20"/>
              </w:rPr>
            </w:pPr>
            <w:r w:rsidRPr="0091450A">
              <w:rPr>
                <w:rFonts w:cs="Times New Roman"/>
                <w:szCs w:val="20"/>
              </w:rPr>
              <w:t>Regarding</w:t>
            </w:r>
            <w:r w:rsidR="0083323D" w:rsidRPr="0091450A">
              <w:rPr>
                <w:rFonts w:cs="Times New Roman"/>
                <w:szCs w:val="20"/>
              </w:rPr>
              <w:t xml:space="preserve"> self-substantiated claims, MPI continues to evaluate all dossiers associated with notifications from New Zealand food businesses.  These are evaluated against the requirements of Schedule 6 of Australia and New Zealand Food Standards Code (FSC).  To date</w:t>
            </w:r>
            <w:r w:rsidR="004D0A50" w:rsidRPr="0091450A">
              <w:rPr>
                <w:rFonts w:cs="Times New Roman"/>
                <w:szCs w:val="20"/>
              </w:rPr>
              <w:t>,</w:t>
            </w:r>
            <w:r w:rsidR="0083323D" w:rsidRPr="0091450A">
              <w:rPr>
                <w:rFonts w:cs="Times New Roman"/>
                <w:szCs w:val="20"/>
              </w:rPr>
              <w:t xml:space="preserve"> there have been </w:t>
            </w:r>
            <w:r w:rsidR="00601991" w:rsidRPr="0091450A">
              <w:rPr>
                <w:rFonts w:cs="Times New Roman"/>
                <w:szCs w:val="20"/>
              </w:rPr>
              <w:t xml:space="preserve">ten </w:t>
            </w:r>
            <w:r w:rsidR="0083323D" w:rsidRPr="0091450A">
              <w:rPr>
                <w:rFonts w:cs="Times New Roman"/>
                <w:szCs w:val="20"/>
              </w:rPr>
              <w:t>formal notifications</w:t>
            </w:r>
            <w:r w:rsidR="00601991" w:rsidRPr="0091450A">
              <w:rPr>
                <w:rFonts w:cs="Times New Roman"/>
                <w:szCs w:val="20"/>
              </w:rPr>
              <w:t>. Two have been removed from the Notifications Register due to not meeting the requirements of Schedule 1.2.7, and three were notified directly to MPI (not FSANZ) because they related to Supplemented Foods.</w:t>
            </w:r>
            <w:r w:rsidR="0083323D" w:rsidRPr="0091450A">
              <w:rPr>
                <w:rFonts w:cs="Times New Roman"/>
                <w:szCs w:val="20"/>
              </w:rPr>
              <w:t xml:space="preserve"> </w:t>
            </w:r>
            <w:r w:rsidR="00601991" w:rsidRPr="0091450A">
              <w:rPr>
                <w:rFonts w:cs="Times New Roman"/>
                <w:szCs w:val="20"/>
              </w:rPr>
              <w:t>S</w:t>
            </w:r>
            <w:r w:rsidR="0083323D" w:rsidRPr="0091450A">
              <w:rPr>
                <w:rFonts w:cs="Times New Roman"/>
                <w:szCs w:val="20"/>
              </w:rPr>
              <w:t xml:space="preserve">ome of these are still in the process of evaluation. Dossiers contain commercially sensitive information and therefore are not available in the public domain. </w:t>
            </w:r>
            <w:r w:rsidR="001672F8">
              <w:rPr>
                <w:rFonts w:cs="Times New Roman"/>
                <w:szCs w:val="20"/>
              </w:rPr>
              <w:t>The i</w:t>
            </w:r>
            <w:r w:rsidR="0083323D" w:rsidRPr="0091450A">
              <w:rPr>
                <w:rFonts w:cs="Times New Roman"/>
                <w:szCs w:val="20"/>
              </w:rPr>
              <w:t xml:space="preserve">ndustry holds these dossiers, though are obliged under Standard 1.2.7 to provide them to the regulator (MPI in NZ) </w:t>
            </w:r>
            <w:r w:rsidR="00855A9C" w:rsidRPr="0091450A">
              <w:rPr>
                <w:rFonts w:cs="Times New Roman"/>
                <w:szCs w:val="20"/>
              </w:rPr>
              <w:t xml:space="preserve">for evaluation </w:t>
            </w:r>
            <w:r w:rsidR="0083323D" w:rsidRPr="0091450A">
              <w:rPr>
                <w:rFonts w:cs="Times New Roman"/>
                <w:szCs w:val="20"/>
              </w:rPr>
              <w:t>when requested (personal communication, MPI</w:t>
            </w:r>
            <w:r w:rsidR="00C7639E" w:rsidRPr="0091450A">
              <w:rPr>
                <w:rFonts w:cs="Times New Roman"/>
                <w:szCs w:val="20"/>
              </w:rPr>
              <w:t>, 20</w:t>
            </w:r>
            <w:r w:rsidR="00855A9C" w:rsidRPr="0091450A">
              <w:rPr>
                <w:rFonts w:cs="Times New Roman"/>
                <w:szCs w:val="20"/>
              </w:rPr>
              <w:t>20</w:t>
            </w:r>
            <w:r w:rsidR="0083323D" w:rsidRPr="0091450A">
              <w:rPr>
                <w:rFonts w:cs="Times New Roman"/>
                <w:szCs w:val="20"/>
              </w:rPr>
              <w:t>)</w:t>
            </w:r>
            <w:r w:rsidR="00B42934" w:rsidRPr="0091450A">
              <w:rPr>
                <w:rFonts w:cs="Times New Roman"/>
                <w:szCs w:val="20"/>
              </w:rPr>
              <w:t>.</w:t>
            </w:r>
          </w:p>
          <w:p w14:paraId="3CA8C7A0" w14:textId="516D151A" w:rsidR="00855A9C" w:rsidRPr="0091450A" w:rsidRDefault="00855A9C" w:rsidP="002D613F">
            <w:pPr>
              <w:pStyle w:val="ListParagraph"/>
              <w:numPr>
                <w:ilvl w:val="0"/>
                <w:numId w:val="3"/>
              </w:numPr>
              <w:spacing w:before="40" w:after="40"/>
              <w:ind w:left="284" w:hanging="284"/>
              <w:contextualSpacing w:val="0"/>
              <w:rPr>
                <w:rFonts w:cs="Times New Roman"/>
                <w:szCs w:val="20"/>
              </w:rPr>
            </w:pPr>
            <w:r w:rsidRPr="0091450A">
              <w:rPr>
                <w:rFonts w:cs="Times New Roman"/>
                <w:szCs w:val="20"/>
              </w:rPr>
              <w:t>In 2019 one of MPI’s key strategic deliverables has been to “Work with industry to substantiate new health claims for export markets, including work on selected products”.  As part of this strategic deliverable</w:t>
            </w:r>
            <w:r w:rsidR="001672F8">
              <w:rPr>
                <w:rFonts w:cs="Times New Roman"/>
                <w:szCs w:val="20"/>
              </w:rPr>
              <w:t>,</w:t>
            </w:r>
            <w:r w:rsidRPr="0091450A">
              <w:rPr>
                <w:rFonts w:cs="Times New Roman"/>
                <w:szCs w:val="20"/>
              </w:rPr>
              <w:t xml:space="preserve"> </w:t>
            </w:r>
            <w:r w:rsidR="00BE0B14" w:rsidRPr="0091450A">
              <w:rPr>
                <w:rFonts w:cs="Times New Roman"/>
                <w:szCs w:val="20"/>
              </w:rPr>
              <w:t>MPI</w:t>
            </w:r>
            <w:r w:rsidRPr="0091450A">
              <w:rPr>
                <w:rFonts w:cs="Times New Roman"/>
                <w:szCs w:val="20"/>
              </w:rPr>
              <w:t xml:space="preserve"> </w:t>
            </w:r>
            <w:r w:rsidR="001672F8">
              <w:rPr>
                <w:rFonts w:cs="Times New Roman"/>
                <w:szCs w:val="20"/>
              </w:rPr>
              <w:lastRenderedPageBreak/>
              <w:t>is</w:t>
            </w:r>
            <w:r w:rsidRPr="0091450A">
              <w:rPr>
                <w:rFonts w:cs="Times New Roman"/>
                <w:szCs w:val="20"/>
              </w:rPr>
              <w:t xml:space="preserve"> currently exploring options for increasing resources and proactive communications with stakeholders (including industry and research groups), to facilitate </w:t>
            </w:r>
            <w:r w:rsidR="001672F8">
              <w:rPr>
                <w:rFonts w:cs="Times New Roman"/>
                <w:szCs w:val="20"/>
              </w:rPr>
              <w:t xml:space="preserve">a </w:t>
            </w:r>
            <w:r w:rsidRPr="0091450A">
              <w:rPr>
                <w:rFonts w:cs="Times New Roman"/>
                <w:szCs w:val="20"/>
              </w:rPr>
              <w:t xml:space="preserve">better understanding of the strict regulatory requirements for making health claims (personal communication, MPI 2020). </w:t>
            </w:r>
          </w:p>
          <w:p w14:paraId="07443E88" w14:textId="729F0673" w:rsidR="00CA2A3F" w:rsidRPr="0091450A" w:rsidRDefault="0072267F" w:rsidP="002D613F">
            <w:pPr>
              <w:pStyle w:val="ListParagraph"/>
              <w:numPr>
                <w:ilvl w:val="0"/>
                <w:numId w:val="3"/>
              </w:numPr>
              <w:spacing w:before="40" w:after="40"/>
              <w:ind w:left="284" w:hanging="284"/>
              <w:contextualSpacing w:val="0"/>
              <w:rPr>
                <w:rFonts w:cs="Times New Roman"/>
                <w:szCs w:val="20"/>
              </w:rPr>
            </w:pPr>
            <w:r w:rsidRPr="0091450A">
              <w:rPr>
                <w:rFonts w:cs="Times New Roman"/>
                <w:szCs w:val="20"/>
              </w:rPr>
              <w:t xml:space="preserve">Other MPI work programme activities associated with Standard 1.2.7 include </w:t>
            </w:r>
            <w:r w:rsidR="001672F8">
              <w:rPr>
                <w:rFonts w:cs="Times New Roman"/>
                <w:szCs w:val="20"/>
              </w:rPr>
              <w:t xml:space="preserve">the </w:t>
            </w:r>
            <w:r w:rsidRPr="0091450A">
              <w:rPr>
                <w:rFonts w:cs="Times New Roman"/>
                <w:szCs w:val="20"/>
              </w:rPr>
              <w:t xml:space="preserve">provision of consumer and industry information on the </w:t>
            </w:r>
            <w:r w:rsidR="006E24F0" w:rsidRPr="0091450A">
              <w:rPr>
                <w:rFonts w:cs="Times New Roman"/>
                <w:szCs w:val="20"/>
              </w:rPr>
              <w:t>standard</w:t>
            </w:r>
            <w:r w:rsidRPr="0091450A">
              <w:rPr>
                <w:rFonts w:cs="Times New Roman"/>
                <w:szCs w:val="20"/>
              </w:rPr>
              <w:t>, liaison with industry on the development of dossiers and the development of internal procedures to assess dossiers</w:t>
            </w:r>
            <w:r w:rsidR="006C41DD" w:rsidRPr="0091450A">
              <w:rPr>
                <w:rFonts w:cs="Times New Roman"/>
                <w:szCs w:val="20"/>
              </w:rPr>
              <w:t xml:space="preserve"> (personal communication, MPI, 2017)</w:t>
            </w:r>
            <w:r w:rsidR="00DB5911" w:rsidRPr="0091450A">
              <w:rPr>
                <w:rFonts w:cs="Times New Roman"/>
                <w:szCs w:val="20"/>
              </w:rPr>
              <w:t xml:space="preserve">. </w:t>
            </w:r>
            <w:r w:rsidR="00CA2A3F" w:rsidRPr="0091450A">
              <w:rPr>
                <w:rFonts w:cs="Times New Roman"/>
                <w:szCs w:val="20"/>
              </w:rPr>
              <w:t>A resource is available from MPI explaining the detailed steps required to complete a systematic review to the requirements of the Food Standards Code.  MPI also work</w:t>
            </w:r>
            <w:r w:rsidR="0061595D" w:rsidRPr="0091450A">
              <w:rPr>
                <w:rFonts w:cs="Times New Roman"/>
                <w:szCs w:val="20"/>
              </w:rPr>
              <w:t>s</w:t>
            </w:r>
            <w:r w:rsidR="00CA2A3F" w:rsidRPr="0091450A">
              <w:rPr>
                <w:rFonts w:cs="Times New Roman"/>
                <w:szCs w:val="20"/>
              </w:rPr>
              <w:t xml:space="preserve"> actively with resear</w:t>
            </w:r>
            <w:r w:rsidR="00255302" w:rsidRPr="0091450A">
              <w:rPr>
                <w:rFonts w:cs="Times New Roman"/>
                <w:szCs w:val="20"/>
              </w:rPr>
              <w:t xml:space="preserve">chers and manufacturers to </w:t>
            </w:r>
            <w:r w:rsidR="0078796B" w:rsidRPr="0091450A">
              <w:rPr>
                <w:rFonts w:cs="Times New Roman"/>
                <w:szCs w:val="20"/>
              </w:rPr>
              <w:t>advi</w:t>
            </w:r>
            <w:r w:rsidR="00BE0B14" w:rsidRPr="0091450A">
              <w:rPr>
                <w:rFonts w:cs="Times New Roman"/>
                <w:szCs w:val="20"/>
              </w:rPr>
              <w:t>s</w:t>
            </w:r>
            <w:r w:rsidR="0078796B" w:rsidRPr="0091450A">
              <w:rPr>
                <w:rFonts w:cs="Times New Roman"/>
                <w:szCs w:val="20"/>
              </w:rPr>
              <w:t>e</w:t>
            </w:r>
            <w:r w:rsidR="00C33497" w:rsidRPr="0091450A">
              <w:rPr>
                <w:rFonts w:cs="Times New Roman"/>
                <w:szCs w:val="20"/>
              </w:rPr>
              <w:t xml:space="preserve"> </w:t>
            </w:r>
            <w:r w:rsidR="00CA2A3F" w:rsidRPr="0091450A">
              <w:rPr>
                <w:rFonts w:cs="Times New Roman"/>
                <w:szCs w:val="20"/>
              </w:rPr>
              <w:t xml:space="preserve">on appropriate research design and systematic review strategies </w:t>
            </w:r>
            <w:r w:rsidR="00255302" w:rsidRPr="0091450A">
              <w:rPr>
                <w:rFonts w:cs="Times New Roman"/>
                <w:szCs w:val="20"/>
              </w:rPr>
              <w:t xml:space="preserve">prior to </w:t>
            </w:r>
            <w:r w:rsidR="001672F8">
              <w:rPr>
                <w:rFonts w:cs="Times New Roman"/>
                <w:szCs w:val="20"/>
              </w:rPr>
              <w:t xml:space="preserve">a </w:t>
            </w:r>
            <w:r w:rsidR="00255302" w:rsidRPr="0091450A">
              <w:rPr>
                <w:rFonts w:cs="Times New Roman"/>
                <w:szCs w:val="20"/>
              </w:rPr>
              <w:t>notification to FSANZ (</w:t>
            </w:r>
            <w:r w:rsidR="009C7FCA" w:rsidRPr="0091450A">
              <w:rPr>
                <w:rFonts w:cs="Times New Roman"/>
                <w:szCs w:val="20"/>
              </w:rPr>
              <w:t>personal communication, MPI, 2017)</w:t>
            </w:r>
            <w:r w:rsidR="00255302" w:rsidRPr="0091450A">
              <w:rPr>
                <w:rFonts w:cs="Times New Roman"/>
                <w:szCs w:val="20"/>
              </w:rPr>
              <w:t>.</w:t>
            </w:r>
          </w:p>
          <w:p w14:paraId="10A0E37F" w14:textId="3B20ECFC" w:rsidR="00CA2A3F" w:rsidRPr="0091450A" w:rsidRDefault="00CA2A3F" w:rsidP="002D613F">
            <w:pPr>
              <w:pStyle w:val="ListParagraph"/>
              <w:numPr>
                <w:ilvl w:val="0"/>
                <w:numId w:val="3"/>
              </w:numPr>
              <w:spacing w:before="40" w:after="40"/>
              <w:ind w:left="284" w:hanging="284"/>
              <w:contextualSpacing w:val="0"/>
            </w:pPr>
            <w:r w:rsidRPr="0091450A">
              <w:rPr>
                <w:rFonts w:cs="Times New Roman"/>
                <w:szCs w:val="20"/>
              </w:rPr>
              <w:t>MPI engage</w:t>
            </w:r>
            <w:r w:rsidR="00DB5911" w:rsidRPr="0091450A">
              <w:rPr>
                <w:rFonts w:cs="Times New Roman"/>
                <w:szCs w:val="20"/>
              </w:rPr>
              <w:t>s</w:t>
            </w:r>
            <w:r w:rsidRPr="0091450A">
              <w:rPr>
                <w:rFonts w:cs="Times New Roman"/>
                <w:szCs w:val="20"/>
              </w:rPr>
              <w:t xml:space="preserve"> with health claims regulators in other countries to better align global regulatory understanding of health claim requirements for foods </w:t>
            </w:r>
            <w:r w:rsidR="006C41DD" w:rsidRPr="0091450A">
              <w:rPr>
                <w:rFonts w:cs="Times New Roman"/>
                <w:szCs w:val="20"/>
              </w:rPr>
              <w:t>(pe</w:t>
            </w:r>
            <w:r w:rsidR="00255302" w:rsidRPr="0091450A">
              <w:rPr>
                <w:rFonts w:cs="Times New Roman"/>
                <w:szCs w:val="20"/>
              </w:rPr>
              <w:t>rsonal communication, MPI, 2017).</w:t>
            </w:r>
          </w:p>
          <w:p w14:paraId="06CEF1C4" w14:textId="7D50B3C4" w:rsidR="004D0A50" w:rsidRPr="0091450A" w:rsidRDefault="00F46835" w:rsidP="002D613F">
            <w:pPr>
              <w:pStyle w:val="ListParagraph"/>
              <w:numPr>
                <w:ilvl w:val="0"/>
                <w:numId w:val="3"/>
              </w:numPr>
              <w:spacing w:before="40" w:after="40"/>
              <w:ind w:left="284" w:hanging="284"/>
              <w:contextualSpacing w:val="0"/>
            </w:pPr>
            <w:r w:rsidRPr="0091450A">
              <w:t>Laws tha</w:t>
            </w:r>
            <w:r w:rsidR="00DB72BE" w:rsidRPr="0091450A">
              <w:t>t protect the consumer in NZ include</w:t>
            </w:r>
            <w:r w:rsidRPr="0091450A">
              <w:t xml:space="preserve"> the </w:t>
            </w:r>
            <w:r w:rsidR="00BE0B14" w:rsidRPr="0091450A">
              <w:t>F</w:t>
            </w:r>
            <w:r w:rsidRPr="0091450A">
              <w:t xml:space="preserve">air </w:t>
            </w:r>
            <w:r w:rsidR="00BE0B14" w:rsidRPr="0091450A">
              <w:t>T</w:t>
            </w:r>
            <w:r w:rsidRPr="0091450A">
              <w:t xml:space="preserve">rading </w:t>
            </w:r>
            <w:r w:rsidR="00BE0B14" w:rsidRPr="0091450A">
              <w:t>A</w:t>
            </w:r>
            <w:r w:rsidRPr="0091450A">
              <w:t xml:space="preserve">ct and the </w:t>
            </w:r>
            <w:r w:rsidR="00BE0B14" w:rsidRPr="0091450A">
              <w:t>C</w:t>
            </w:r>
            <w:r w:rsidRPr="0091450A">
              <w:t xml:space="preserve">onsumer </w:t>
            </w:r>
            <w:r w:rsidR="00BE0B14" w:rsidRPr="0091450A">
              <w:t>G</w:t>
            </w:r>
            <w:r w:rsidRPr="0091450A">
              <w:t xml:space="preserve">uarantees </w:t>
            </w:r>
            <w:r w:rsidR="00BE0B14" w:rsidRPr="0091450A">
              <w:t>A</w:t>
            </w:r>
            <w:r w:rsidRPr="0091450A">
              <w:t>ct</w:t>
            </w:r>
            <w:r w:rsidR="003867A3" w:rsidRPr="0091450A">
              <w:t xml:space="preserve"> </w:t>
            </w:r>
            <w:r w:rsidR="003867A3" w:rsidRPr="0091450A">
              <w:fldChar w:fldCharType="begin" w:fldLock="1"/>
            </w:r>
            <w:r w:rsidR="002B6CB8">
              <w:instrText>ADDIN CSL_CITATION {"citationItems":[{"id":"ITEM-1","itemData":{"URL":"https://www.consumerprotection.govt.nz/general-help/consumer-laws/","accessed":{"date-parts":[["2020","1","15"]]},"author":[{"dropping-particle":"","family":"Consumer Protection","given":"","non-dropping-particle":"","parse-names":false,"suffix":""}],"id":"ITEM-1","issued":{"date-parts":[["0"]]},"title":"Consumer laws","type":"webpage"},"uris":["http://www.mendeley.com/documents/?uuid=4fc98079-9c31-34b4-ac65-f3bd80f1a61f","http://www.mendeley.com/documents/?uuid=04354722-39f8-4436-b892-029cb2258598"]}],"mendeley":{"formattedCitation":"(37)","plainTextFormattedCitation":"(37)","previouslyFormattedCitation":"(37)"},"properties":{"noteIndex":0},"schema":"https://github.com/citation-style-language/schema/raw/master/csl-citation.json"}</w:instrText>
            </w:r>
            <w:r w:rsidR="003867A3" w:rsidRPr="0091450A">
              <w:fldChar w:fldCharType="separate"/>
            </w:r>
            <w:r w:rsidR="00A90C92" w:rsidRPr="00A90C92">
              <w:rPr>
                <w:noProof/>
              </w:rPr>
              <w:t>(37)</w:t>
            </w:r>
            <w:r w:rsidR="003867A3" w:rsidRPr="0091450A">
              <w:fldChar w:fldCharType="end"/>
            </w:r>
            <w:r w:rsidR="003867A3" w:rsidRPr="0091450A">
              <w:rPr>
                <w:rFonts w:cs="Times New Roman"/>
                <w:szCs w:val="20"/>
              </w:rPr>
              <w:t>.</w:t>
            </w:r>
            <w:r w:rsidRPr="0091450A">
              <w:t xml:space="preserve"> It is stated that </w:t>
            </w:r>
            <w:r w:rsidR="006A4027" w:rsidRPr="0091450A">
              <w:t>‘</w:t>
            </w:r>
            <w:r w:rsidRPr="0091450A">
              <w:t xml:space="preserve">goods must meet the guarantees of acceptable quality, </w:t>
            </w:r>
            <w:r w:rsidR="005F138A" w:rsidRPr="0091450A">
              <w:t>and matching description</w:t>
            </w:r>
            <w:r w:rsidR="006A4027" w:rsidRPr="0091450A">
              <w:t>’</w:t>
            </w:r>
            <w:r w:rsidR="005F138A" w:rsidRPr="0091450A">
              <w:t xml:space="preserve">. </w:t>
            </w:r>
            <w:r w:rsidR="00CE2D4C" w:rsidRPr="0091450A">
              <w:t>Consumer Protection NZ</w:t>
            </w:r>
            <w:r w:rsidR="005F138A" w:rsidRPr="0091450A">
              <w:t xml:space="preserve"> prepared a </w:t>
            </w:r>
            <w:r w:rsidR="009057C5" w:rsidRPr="0091450A">
              <w:t xml:space="preserve">consumer </w:t>
            </w:r>
            <w:r w:rsidR="005F138A" w:rsidRPr="0091450A">
              <w:t xml:space="preserve">guide to </w:t>
            </w:r>
            <w:r w:rsidR="00CE2D4C" w:rsidRPr="0091450A">
              <w:t>understand</w:t>
            </w:r>
            <w:r w:rsidR="00DB72BE" w:rsidRPr="0091450A">
              <w:t xml:space="preserve"> consumer rights related to the </w:t>
            </w:r>
            <w:r w:rsidR="005F138A" w:rsidRPr="0091450A">
              <w:t>guarantees act</w:t>
            </w:r>
            <w:r w:rsidR="000B1878" w:rsidRPr="0091450A">
              <w:t xml:space="preserve"> </w:t>
            </w:r>
            <w:r w:rsidR="000B1878" w:rsidRPr="0091450A">
              <w:rPr>
                <w:rStyle w:val="CommentReference"/>
                <w:sz w:val="20"/>
              </w:rPr>
              <w:fldChar w:fldCharType="begin" w:fldLock="1"/>
            </w:r>
            <w:r w:rsidR="002B6CB8">
              <w:rPr>
                <w:rStyle w:val="CommentReference"/>
                <w:sz w:val="20"/>
              </w:rPr>
              <w:instrText>ADDIN CSL_CITATION {"citationItems":[{"id":"ITEM-1","itemData":{"URL":"https://www.consumerprotection.govt.nz/general-help/consumer-laws/consumer-guarantees-act/understand-consumer-rights/","accessed":{"date-parts":[["2020","1","15"]]},"author":[{"dropping-particle":"","family":"Consumer Protection","given":"","non-dropping-particle":"","parse-names":false,"suffix":""}],"id":"ITEM-1","issued":{"date-parts":[["0"]]},"title":"Understanding your consumer rights ","type":"webpage"},"uris":["http://www.mendeley.com/documents/?uuid=096e43c1-73a2-3df4-af5b-0d8ab4b5705e","http://www.mendeley.com/documents/?uuid=653ec23a-531c-4729-b739-58b3094275c5"]}],"mendeley":{"formattedCitation":"(38)","plainTextFormattedCitation":"(38)","previouslyFormattedCitation":"(38)"},"properties":{"noteIndex":0},"schema":"https://github.com/citation-style-language/schema/raw/master/csl-citation.json"}</w:instrText>
            </w:r>
            <w:r w:rsidR="000B1878" w:rsidRPr="0091450A">
              <w:rPr>
                <w:rStyle w:val="CommentReference"/>
                <w:sz w:val="20"/>
              </w:rPr>
              <w:fldChar w:fldCharType="separate"/>
            </w:r>
            <w:r w:rsidR="00A90C92" w:rsidRPr="00A90C92">
              <w:rPr>
                <w:rStyle w:val="CommentReference"/>
                <w:noProof/>
                <w:sz w:val="20"/>
              </w:rPr>
              <w:t>(38)</w:t>
            </w:r>
            <w:r w:rsidR="000B1878" w:rsidRPr="0091450A">
              <w:rPr>
                <w:rStyle w:val="CommentReference"/>
                <w:sz w:val="20"/>
              </w:rPr>
              <w:fldChar w:fldCharType="end"/>
            </w:r>
            <w:r w:rsidR="000B1878" w:rsidRPr="0091450A">
              <w:rPr>
                <w:rStyle w:val="CommentReference"/>
                <w:sz w:val="20"/>
              </w:rPr>
              <w:t>.</w:t>
            </w:r>
          </w:p>
          <w:p w14:paraId="1FDD7862" w14:textId="08B5E11A" w:rsidR="00656365" w:rsidRPr="00E44BFB" w:rsidRDefault="00115038" w:rsidP="00706F41">
            <w:pPr>
              <w:pStyle w:val="ListParagraph"/>
              <w:numPr>
                <w:ilvl w:val="0"/>
                <w:numId w:val="3"/>
              </w:numPr>
              <w:spacing w:before="40" w:after="40"/>
              <w:ind w:left="284" w:hanging="284"/>
              <w:contextualSpacing w:val="0"/>
              <w:rPr>
                <w:b/>
                <w:color w:val="1F497D"/>
              </w:rPr>
            </w:pPr>
            <w:r w:rsidRPr="00E44BFB">
              <w:t xml:space="preserve">FSANZ Food Standards Development Workplan </w:t>
            </w:r>
            <w:r w:rsidR="00812051" w:rsidRPr="00E44BFB">
              <w:t>as of 10 January 2020</w:t>
            </w:r>
            <w:r w:rsidRPr="00E44BFB">
              <w:t xml:space="preserve"> </w:t>
            </w:r>
            <w:r w:rsidR="008461C2" w:rsidRPr="00E44BFB">
              <w:t xml:space="preserve">with </w:t>
            </w:r>
            <w:r w:rsidRPr="00E44BFB">
              <w:t>Nutrition</w:t>
            </w:r>
            <w:r w:rsidR="001672F8" w:rsidRPr="00E44BFB">
              <w:t>-</w:t>
            </w:r>
            <w:r w:rsidRPr="00E44BFB">
              <w:t>related work</w:t>
            </w:r>
            <w:r w:rsidR="008461C2" w:rsidRPr="00E44BFB">
              <w:t xml:space="preserve"> included </w:t>
            </w:r>
            <w:r w:rsidR="00E44BFB" w:rsidRPr="00E44BFB">
              <w:t>these</w:t>
            </w:r>
            <w:r w:rsidR="008461C2" w:rsidRPr="00E44BFB">
              <w:t xml:space="preserve"> applications</w:t>
            </w:r>
            <w:r w:rsidRPr="00E44BFB">
              <w:t xml:space="preserve"> </w:t>
            </w:r>
            <w:r w:rsidR="000661B1" w:rsidRPr="00E44BFB">
              <w:fldChar w:fldCharType="begin" w:fldLock="1"/>
            </w:r>
            <w:r w:rsidR="002B6CB8" w:rsidRPr="00E44BFB">
              <w:instrText>ADDIN CSL_CITATION {"citationItems":[{"id":"ITEM-1","itemData":{"URL":"https://www.foodstandards.govt.nz/code/changes/workplan/Documents/Food standards development Work Plan 10.01.20.pdf?csf=1&amp;e=izaVEw","accessed":{"date-parts":[["2020","1","15"]]},"id":"ITEM-1","issued":{"date-parts":[["2020"]]},"title":"Food Standards Development Work Plan","type":"webpage"},"uris":["http://www.mendeley.com/documents/?uuid=649d7295-ee81-33ad-8190-5861e1e5790c","http://www.mendeley.com/documents/?uuid=536a281e-9b01-4eea-a3ad-562e08924bda"]}],"mendeley":{"formattedCitation":"(39)","plainTextFormattedCitation":"(39)","previouslyFormattedCitation":"(39)"},"properties":{"noteIndex":0},"schema":"https://github.com/citation-style-language/schema/raw/master/csl-citation.json"}</w:instrText>
            </w:r>
            <w:r w:rsidR="000661B1" w:rsidRPr="00E44BFB">
              <w:fldChar w:fldCharType="separate"/>
            </w:r>
            <w:r w:rsidR="00A90C92" w:rsidRPr="00E44BFB">
              <w:rPr>
                <w:noProof/>
              </w:rPr>
              <w:t>(39)</w:t>
            </w:r>
            <w:r w:rsidR="000661B1" w:rsidRPr="00E44BFB">
              <w:fldChar w:fldCharType="end"/>
            </w:r>
            <w:r w:rsidR="00BE0B14" w:rsidRPr="00E44BFB">
              <w:t xml:space="preserve">. 1. </w:t>
            </w:r>
            <w:r w:rsidR="004D0A50" w:rsidRPr="00E44BFB">
              <w:t xml:space="preserve"> </w:t>
            </w:r>
            <w:r w:rsidR="008E2071" w:rsidRPr="00E44BFB">
              <w:t>P1030 – composition and Labelling of Electrolyte Drinks</w:t>
            </w:r>
            <w:r w:rsidRPr="00E44BFB">
              <w:t>:</w:t>
            </w:r>
            <w:r w:rsidR="004D0A50" w:rsidRPr="00E44BFB">
              <w:t xml:space="preserve"> </w:t>
            </w:r>
            <w:r w:rsidR="008E2071" w:rsidRPr="00E44BFB">
              <w:t>Assessment of compositional and labelling requirements for electrolyte drinks.</w:t>
            </w:r>
            <w:r w:rsidR="00BE0B14" w:rsidRPr="00E44BFB">
              <w:t xml:space="preserve"> The f</w:t>
            </w:r>
            <w:r w:rsidRPr="00E44BFB">
              <w:t>irst round</w:t>
            </w:r>
            <w:r w:rsidR="00BE0B14" w:rsidRPr="00E44BFB">
              <w:t xml:space="preserve"> of</w:t>
            </w:r>
            <w:r w:rsidRPr="00E44BFB">
              <w:t xml:space="preserve"> submissions </w:t>
            </w:r>
            <w:r w:rsidR="00BE0B14" w:rsidRPr="00E44BFB">
              <w:t xml:space="preserve">has been </w:t>
            </w:r>
            <w:r w:rsidRPr="00E44BFB">
              <w:t>undertaken</w:t>
            </w:r>
            <w:r w:rsidR="00BE0B14" w:rsidRPr="00E44BFB">
              <w:t xml:space="preserve"> with a d</w:t>
            </w:r>
            <w:r w:rsidRPr="00E44BFB">
              <w:t xml:space="preserve">elay in further assessment due to </w:t>
            </w:r>
            <w:r w:rsidR="001672F8" w:rsidRPr="00E44BFB">
              <w:t xml:space="preserve">the </w:t>
            </w:r>
            <w:r w:rsidRPr="00E44BFB">
              <w:t>complexity of issues raised in submissions.</w:t>
            </w:r>
            <w:r w:rsidR="00812051" w:rsidRPr="00E44BFB">
              <w:t xml:space="preserve"> </w:t>
            </w:r>
            <w:r w:rsidR="00BE0B14" w:rsidRPr="00E44BFB">
              <w:t xml:space="preserve">2. </w:t>
            </w:r>
            <w:r w:rsidR="00812051" w:rsidRPr="00E44BFB">
              <w:t xml:space="preserve">P1049 – carbohydrate and sugar claims on alcoholic beverages. </w:t>
            </w:r>
            <w:r w:rsidR="00BE0B14" w:rsidRPr="00E44BFB">
              <w:t>This c</w:t>
            </w:r>
            <w:r w:rsidR="00812051" w:rsidRPr="00E44BFB">
              <w:t>ommence</w:t>
            </w:r>
            <w:r w:rsidR="00BE0B14" w:rsidRPr="00E44BFB">
              <w:t>d in</w:t>
            </w:r>
            <w:r w:rsidR="00812051" w:rsidRPr="00E44BFB">
              <w:t xml:space="preserve"> late August 2018</w:t>
            </w:r>
            <w:r w:rsidR="008461C2" w:rsidRPr="00E44BFB">
              <w:t xml:space="preserve"> with 1 call for submissions</w:t>
            </w:r>
            <w:r w:rsidR="00E44BFB" w:rsidRPr="00E44BFB">
              <w:t>.</w:t>
            </w:r>
          </w:p>
          <w:p w14:paraId="23F12477" w14:textId="6FF41370"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16098FD6" w14:textId="094456EA" w:rsidR="00952B3C" w:rsidRPr="0091450A" w:rsidRDefault="00952B3C" w:rsidP="002D613F">
            <w:pPr>
              <w:pStyle w:val="ListParagraph"/>
              <w:keepNext/>
              <w:numPr>
                <w:ilvl w:val="0"/>
                <w:numId w:val="53"/>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Australia/New Zealand</w:t>
            </w:r>
            <w:r w:rsidRPr="0091450A">
              <w:rPr>
                <w:rFonts w:eastAsia="Times New Roman" w:cs="Times New Roman"/>
                <w:szCs w:val="20"/>
                <w:lang w:eastAsia="en-NZ"/>
              </w:rPr>
              <w:t>: A law (Standard 1.2.7)</w:t>
            </w:r>
            <w:r w:rsidR="003B7F1D" w:rsidRPr="0091450A">
              <w:rPr>
                <w:rFonts w:eastAsia="Times New Roman" w:cs="Times New Roman"/>
                <w:szCs w:val="20"/>
                <w:lang w:eastAsia="en-NZ"/>
              </w:rPr>
              <w:t xml:space="preserve"> </w:t>
            </w:r>
            <w:r w:rsidR="003E03E9"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{"citationItems":[{"id":"ITEM-1","itemData":{"URL":"https://www.comlaw.gov.au/Details/F2013L00054","author":[{"dropping-particle":"","family":"Australian Government","given":"","non-dropping-particle":"","parse-names":false,"suffix":""}],"id":"ITEM-1","issue":"22/02/2016","issued":{"date-parts":[["2013"]]},"title":"Australia New Zealand Food Standards Code - Standard 1.2.7 - Nutrition, Health and Related Claims - F2013L00054","type":"webpage"},"uris":["http://www.mendeley.com/documents/?uuid=6ed0cf02-df6f-31a5-b08f-f00b55c87fd6","http://www.mendeley.com/documents/?uuid=114102d5-0401-4640-90d7-1658806a78eb"]}],"mendeley":{"formattedCitation":"(40)","plainTextFormattedCitation":"(40)","previouslyFormattedCitation":"(40)"},"properties":{"noteIndex":0},"schema":"https://github.com/citation-style-language/schema/raw/master/csl-citation.json"}</w:instrText>
            </w:r>
            <w:r w:rsidR="003E03E9"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(40)</w:t>
            </w:r>
            <w:r w:rsidR="003E03E9" w:rsidRPr="0091450A">
              <w:rPr>
                <w:rFonts w:eastAsia="Times New Roman" w:cs="Times New Roman"/>
                <w:szCs w:val="20"/>
                <w:lang w:eastAsia="en-NZ"/>
              </w:rPr>
              <w:fldChar w:fldCharType="end"/>
            </w:r>
            <w:r w:rsidRPr="0091450A">
              <w:rPr>
                <w:rFonts w:eastAsia="Times New Roman" w:cs="Times New Roman"/>
                <w:szCs w:val="20"/>
                <w:lang w:eastAsia="en-NZ"/>
              </w:rPr>
              <w:t xml:space="preserve">, approved in 2013, regulates the use of nutrition content and health claims on food labels in Australia and New Zealand. Health claims must be based on pre-approved food-health relationships or self-substantiated according to government requirements and they are only permitted on foods that meet nutritional criteria, as defined by a nutrient profiling model (Nutrient Profiling Scoring Criterion (NPSC)) </w:t>
            </w:r>
            <w:r w:rsidR="00C33497" w:rsidRPr="0091450A">
              <w:rPr>
                <w:rFonts w:eastAsia="Times New Roman" w:cs="Times New Roman"/>
                <w:szCs w:val="20"/>
                <w:lang w:eastAsia="en-NZ"/>
              </w:rPr>
              <w:t>considering</w:t>
            </w:r>
            <w:r w:rsidRPr="0091450A">
              <w:rPr>
                <w:rFonts w:eastAsia="Times New Roman" w:cs="Times New Roman"/>
                <w:szCs w:val="20"/>
                <w:lang w:eastAsia="en-NZ"/>
              </w:rPr>
              <w:t xml:space="preserve"> energy, sodium, saturated fat and total sugar content of foods, as well as protein, fibre, fruit, vegetable, nut and legume content of foods. Although nutrition content claims also need to meet certain criteria set out in the Standard, there are no generalized nutritional criteria that restrict their </w:t>
            </w:r>
            <w:r w:rsidR="003B7F1D" w:rsidRPr="0091450A">
              <w:rPr>
                <w:rFonts w:eastAsia="Times New Roman" w:cs="Times New Roman"/>
                <w:szCs w:val="20"/>
                <w:lang w:eastAsia="en-NZ"/>
              </w:rPr>
              <w:t xml:space="preserve">use on </w:t>
            </w:r>
            <w:r w:rsidR="00F13595" w:rsidRPr="0091450A">
              <w:rPr>
                <w:rFonts w:eastAsia="Times New Roman" w:cs="Times New Roman"/>
                <w:szCs w:val="20"/>
                <w:lang w:eastAsia="en-NZ"/>
              </w:rPr>
              <w:t>‘</w:t>
            </w:r>
            <w:r w:rsidR="003B7F1D" w:rsidRPr="0091450A">
              <w:rPr>
                <w:rFonts w:eastAsia="Times New Roman" w:cs="Times New Roman"/>
                <w:szCs w:val="20"/>
                <w:lang w:eastAsia="en-NZ"/>
              </w:rPr>
              <w:t>unhealthy</w:t>
            </w:r>
            <w:r w:rsidR="00F13595" w:rsidRPr="0091450A">
              <w:rPr>
                <w:rFonts w:eastAsia="Times New Roman" w:cs="Times New Roman"/>
                <w:szCs w:val="20"/>
                <w:lang w:eastAsia="en-NZ"/>
              </w:rPr>
              <w:t>’</w:t>
            </w:r>
            <w:r w:rsidR="003B7F1D" w:rsidRPr="0091450A">
              <w:rPr>
                <w:rFonts w:eastAsia="Times New Roman" w:cs="Times New Roman"/>
                <w:szCs w:val="20"/>
                <w:lang w:eastAsia="en-NZ"/>
              </w:rPr>
              <w:t xml:space="preserve"> foods </w:t>
            </w:r>
            <w:r w:rsidR="003B7F1D" w:rsidRPr="0091450A">
              <w:rPr>
                <w:rFonts w:eastAsia="Times New Roman" w:cs="Times New Roman"/>
                <w:i/>
                <w:szCs w:val="20"/>
                <w:lang w:eastAsia="en-NZ"/>
              </w:rPr>
              <w:t>per se</w:t>
            </w:r>
            <w:r w:rsidRPr="0091450A">
              <w:rPr>
                <w:rFonts w:eastAsia="Times New Roman" w:cs="Times New Roman"/>
                <w:szCs w:val="20"/>
                <w:lang w:eastAsia="en-NZ"/>
              </w:rPr>
              <w:t>. The industry needed to comply with this new legislation by January 2016. Food Standards Australia New Zealand has developed an online calculator to help food businesses to calculate a food’s nutrient profiling score</w:t>
            </w:r>
            <w:r w:rsidR="00B42934" w:rsidRPr="0091450A">
              <w:rPr>
                <w:rFonts w:eastAsia="Times New Roman" w:cs="Times New Roman"/>
                <w:szCs w:val="20"/>
                <w:lang w:eastAsia="en-NZ"/>
              </w:rPr>
              <w:t xml:space="preserve"> </w:t>
            </w:r>
            <w:r w:rsidR="00C83C72"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{"citationItems":[{"id":"ITEM-1","itemData":{"URL":"http://www.foodstandards.gov.au/industry/labelling/pages/nutrientprofilingcalculator/Default.aspx","author":[{"dropping-particle":"","family":"Food Standard Australia New Zealand","given":"","non-dropping-particle":"","parse-names":false,"suffix":""}],"id":"ITEM-1","issue":"16/06/2016","issued":{"date-parts":[["2016"]]},"title":"Nutrient Profiling Scoring Calculator for Standard 1.2.7","type":"webpage"},"uris":["http://www.mendeley.com/documents/?uuid=561bbffd-50b2-30db-a56d-849cdf2a29a3","http://www.mendeley.com/documents/?uuid=61f1235b-4b98-4d26-aaa8-58cd107a9523"]}],"mendeley":{"formattedCitation":"(41)","plainTextFormattedCitation":"(41)","previouslyFormattedCitation":"(41)"},"properties":{"noteIndex":0},"schema":"https://github.com/citation-style-language/schema/raw/master/csl-citation.json"}</w:instrText>
            </w:r>
            <w:r w:rsidR="00C83C72"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(41)</w:t>
            </w:r>
            <w:r w:rsidR="00C83C72" w:rsidRPr="0091450A">
              <w:rPr>
                <w:rFonts w:eastAsia="Times New Roman" w:cs="Times New Roman"/>
                <w:szCs w:val="20"/>
                <w:lang w:eastAsia="en-NZ"/>
              </w:rPr>
              <w:fldChar w:fldCharType="end"/>
            </w:r>
            <w:r w:rsidR="00C83C72" w:rsidRPr="0091450A">
              <w:rPr>
                <w:rFonts w:eastAsia="Times New Roman" w:cs="Times New Roman"/>
                <w:szCs w:val="20"/>
                <w:lang w:eastAsia="en-NZ"/>
              </w:rPr>
              <w:t>.</w:t>
            </w:r>
          </w:p>
          <w:p w14:paraId="07DFB3E0" w14:textId="2F7F5F68" w:rsidR="00952B3C" w:rsidRPr="0091450A" w:rsidRDefault="00952B3C" w:rsidP="002D613F">
            <w:pPr>
              <w:pStyle w:val="ListParagraph"/>
              <w:keepNext/>
              <w:numPr>
                <w:ilvl w:val="0"/>
                <w:numId w:val="53"/>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Indonesia:</w:t>
            </w:r>
            <w:r w:rsidRPr="0091450A">
              <w:rPr>
                <w:rFonts w:eastAsia="Times New Roman" w:cs="Times New Roman"/>
                <w:szCs w:val="20"/>
                <w:lang w:eastAsia="en-NZ"/>
              </w:rPr>
              <w:t xml:space="preserve"> Regulation HK.03.1.23.11.11.09909 (2011) </w:t>
            </w:r>
            <w:r w:rsidR="00A64D28"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{"citationItems":[{"id":"ITEM-1","itemData":{"URL":"https://extranet.who.int/nutrition/gina/en/node/22946","id":"ITEM-1","issue":"16/06/2016","issued":{"date-parts":[["2011"]]},"title":"Policy - Regulation HK.03.1.23.11.11.09909 (2011) on the Control of Claims on Processed Food Labeling and Advertisements","type":"webpage"},"uris":["http://www.mendeley.com/documents/?uuid=b4a1dd27-429d-3ac2-8f4f-68a3175d251c","http://www.mendeley.com/documents/?uuid=d3fe5692-2df4-4fdd-a881-4fb8b0ba4367"]}],"mendeley":{"formattedCitation":"(42)","plainTextFormattedCitation":"(42)","previouslyFormattedCitation":"(42)"},"properties":{"noteIndex":0},"schema":"https://github.com/citation-style-language/schema/raw/master/csl-citation.json"}</w:instrText>
            </w:r>
            <w:r w:rsidR="00A64D28"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(42)</w:t>
            </w:r>
            <w:r w:rsidR="00A64D28" w:rsidRPr="0091450A">
              <w:rPr>
                <w:rFonts w:eastAsia="Times New Roman" w:cs="Times New Roman"/>
                <w:szCs w:val="20"/>
                <w:lang w:eastAsia="en-NZ"/>
              </w:rPr>
              <w:fldChar w:fldCharType="end"/>
            </w:r>
            <w:r w:rsidR="00F13595" w:rsidRPr="0091450A">
              <w:rPr>
                <w:rFonts w:eastAsia="Times New Roman" w:cs="Times New Roman"/>
                <w:szCs w:val="20"/>
                <w:lang w:eastAsia="en-NZ"/>
              </w:rPr>
              <w:t xml:space="preserve"> on ‘</w:t>
            </w:r>
            <w:r w:rsidRPr="0091450A">
              <w:rPr>
                <w:rFonts w:eastAsia="Times New Roman" w:cs="Times New Roman"/>
                <w:szCs w:val="20"/>
                <w:lang w:eastAsia="en-NZ"/>
              </w:rPr>
              <w:t>The Control of Claims on Processed Food Labelling and Advertisements</w:t>
            </w:r>
            <w:r w:rsidR="00F13595" w:rsidRPr="0091450A">
              <w:rPr>
                <w:rFonts w:eastAsia="Times New Roman" w:cs="Times New Roman"/>
                <w:szCs w:val="20"/>
                <w:lang w:eastAsia="en-NZ"/>
              </w:rPr>
              <w:t>’</w:t>
            </w:r>
            <w:r w:rsidRPr="0091450A">
              <w:rPr>
                <w:rFonts w:eastAsia="Times New Roman" w:cs="Times New Roman"/>
                <w:szCs w:val="20"/>
                <w:lang w:eastAsia="en-NZ"/>
              </w:rPr>
              <w:t xml:space="preserve"> establishes rules on the use of specified nutrient content claims (i.e. levels of fat for a low</w:t>
            </w:r>
            <w:r w:rsidR="001672F8">
              <w:rPr>
                <w:rFonts w:eastAsia="Times New Roman" w:cs="Times New Roman"/>
                <w:szCs w:val="20"/>
                <w:lang w:eastAsia="en-NZ"/>
              </w:rPr>
              <w:t>-</w:t>
            </w:r>
            <w:r w:rsidRPr="0091450A">
              <w:rPr>
                <w:rFonts w:eastAsia="Times New Roman" w:cs="Times New Roman"/>
                <w:szCs w:val="20"/>
                <w:lang w:eastAsia="en-NZ"/>
              </w:rPr>
              <w:t>fat claim). The Regulation applies to any food product or beverage which has been processed. Generally, any nutrition or health claim may only be used on processed foods or beverages if they do not exceed a certain level of fat, saturated fat and sodium per serving (13g total fat, 4g saturated fat, 60mg cholesterol and 480mg sodium). The Regulation sets out certain exceptions from this rule, whereby products exceeding these limits may still contain certain nutrient or health claims (</w:t>
            </w:r>
            <w:r w:rsidR="00F13595" w:rsidRPr="0091450A">
              <w:rPr>
                <w:rFonts w:eastAsia="Times New Roman" w:cs="Times New Roman"/>
                <w:szCs w:val="20"/>
                <w:lang w:eastAsia="en-NZ"/>
              </w:rPr>
              <w:t>‘</w:t>
            </w:r>
            <w:r w:rsidRPr="0091450A">
              <w:rPr>
                <w:rFonts w:eastAsia="Times New Roman" w:cs="Times New Roman"/>
                <w:szCs w:val="20"/>
                <w:lang w:eastAsia="en-NZ"/>
              </w:rPr>
              <w:t>low in [name of nutrient]</w:t>
            </w:r>
            <w:r w:rsidR="00F13595" w:rsidRPr="0091450A">
              <w:rPr>
                <w:rFonts w:eastAsia="Times New Roman" w:cs="Times New Roman"/>
                <w:szCs w:val="20"/>
                <w:lang w:eastAsia="en-NZ"/>
              </w:rPr>
              <w:t>’</w:t>
            </w:r>
            <w:r w:rsidRPr="0091450A">
              <w:rPr>
                <w:rFonts w:eastAsia="Times New Roman" w:cs="Times New Roman"/>
                <w:szCs w:val="20"/>
                <w:lang w:eastAsia="en-NZ"/>
              </w:rPr>
              <w:t xml:space="preserve"> an</w:t>
            </w:r>
            <w:r w:rsidR="00F13595" w:rsidRPr="0091450A">
              <w:rPr>
                <w:rFonts w:eastAsia="Times New Roman" w:cs="Times New Roman"/>
                <w:szCs w:val="20"/>
                <w:lang w:eastAsia="en-NZ"/>
              </w:rPr>
              <w:t>d ‘free from [name of nutrient]’</w:t>
            </w:r>
            <w:r w:rsidRPr="0091450A">
              <w:rPr>
                <w:rFonts w:eastAsia="Times New Roman" w:cs="Times New Roman"/>
                <w:szCs w:val="20"/>
                <w:lang w:eastAsia="en-NZ"/>
              </w:rPr>
              <w:t xml:space="preserve"> claims; claims related to fibre, phytosterol and </w:t>
            </w:r>
            <w:proofErr w:type="spellStart"/>
            <w:r w:rsidRPr="0091450A">
              <w:rPr>
                <w:rFonts w:eastAsia="Times New Roman" w:cs="Times New Roman"/>
                <w:szCs w:val="20"/>
                <w:lang w:eastAsia="en-NZ"/>
              </w:rPr>
              <w:t>phytostanol</w:t>
            </w:r>
            <w:proofErr w:type="spellEnd"/>
            <w:r w:rsidRPr="0091450A">
              <w:rPr>
                <w:rFonts w:eastAsia="Times New Roman" w:cs="Times New Roman"/>
                <w:szCs w:val="20"/>
                <w:lang w:eastAsia="en-NZ"/>
              </w:rPr>
              <w:t>; certain disease risk reduction claims)</w:t>
            </w:r>
            <w:r w:rsidR="00B42934" w:rsidRPr="0091450A">
              <w:rPr>
                <w:rFonts w:eastAsia="Times New Roman" w:cs="Times New Roman"/>
                <w:szCs w:val="20"/>
                <w:lang w:eastAsia="en-NZ"/>
              </w:rPr>
              <w:t xml:space="preserve"> </w:t>
            </w:r>
            <w:r w:rsidR="00C30E50"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5013a327-5fee-469a-8a81-a00c331ce75a","http://www.mendeley.com/documents/?uuid=092173ac-eb10-33db-bff8-e73c776b906e"]}],"mendeley":{"formattedCitation":"(31)","plainTextFormattedCitation":"(31)","previouslyFormattedCitation":"(31)"},"properties":{"noteIndex":0},"schema":"https://github.com/citation-style-language/schema/raw/master/csl-citation.json"}</w:instrText>
            </w:r>
            <w:r w:rsidR="00C30E50"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C30E50" w:rsidRPr="0091450A">
              <w:rPr>
                <w:rFonts w:eastAsia="Times New Roman" w:cs="Times New Roman"/>
                <w:szCs w:val="20"/>
                <w:lang w:eastAsia="en-NZ"/>
              </w:rPr>
              <w:fldChar w:fldCharType="end"/>
            </w:r>
            <w:r w:rsidRPr="0091450A">
              <w:rPr>
                <w:rFonts w:eastAsia="Times New Roman" w:cs="Times New Roman"/>
                <w:szCs w:val="20"/>
                <w:lang w:eastAsia="en-NZ"/>
              </w:rPr>
              <w:t>.</w:t>
            </w:r>
          </w:p>
          <w:p w14:paraId="0CBF54F5" w14:textId="252DA322" w:rsidR="00282010" w:rsidRPr="0091450A" w:rsidRDefault="00952B3C" w:rsidP="002D613F">
            <w:pPr>
              <w:pStyle w:val="ListParagraph"/>
              <w:numPr>
                <w:ilvl w:val="0"/>
                <w:numId w:val="53"/>
              </w:numPr>
              <w:spacing w:before="40" w:after="40"/>
              <w:ind w:left="284" w:hanging="284"/>
              <w:contextualSpacing w:val="0"/>
              <w:rPr>
                <w:color w:val="002060"/>
              </w:rPr>
            </w:pPr>
            <w:r w:rsidRPr="0091450A">
              <w:rPr>
                <w:rFonts w:eastAsia="Times New Roman" w:cs="Times New Roman"/>
                <w:b/>
                <w:szCs w:val="20"/>
                <w:lang w:eastAsia="en-NZ"/>
              </w:rPr>
              <w:t>US</w:t>
            </w:r>
            <w:r w:rsidRPr="0091450A">
              <w:rPr>
                <w:rFonts w:eastAsia="Times New Roman" w:cs="Times New Roman"/>
                <w:szCs w:val="20"/>
                <w:lang w:eastAsia="en-NZ"/>
              </w:rPr>
              <w:t xml:space="preserve">: Nutrient-content claims are generally limited to a list of nutrients authorized by the Food and Drug Administration (Food Labelling Guide 1994, </w:t>
            </w:r>
            <w:r w:rsidR="001672F8">
              <w:rPr>
                <w:rFonts w:eastAsia="Times New Roman" w:cs="Times New Roman"/>
                <w:szCs w:val="20"/>
                <w:lang w:eastAsia="en-NZ"/>
              </w:rPr>
              <w:t>a</w:t>
            </w:r>
            <w:r w:rsidRPr="0091450A">
              <w:rPr>
                <w:rFonts w:eastAsia="Times New Roman" w:cs="Times New Roman"/>
                <w:szCs w:val="20"/>
                <w:lang w:eastAsia="en-NZ"/>
              </w:rPr>
              <w:t>s last revised in January 2013). Packages containing a nutrient-content claim must include a disclosure statement if a serving of food contains more than 13g of fat, 4g of saturated fat, 60mg of cholesterol, or 480mg of sodium. Health claims are generally not permitted if a food contains more than 13g of fat, 4g of saturated fat, 60mg of cholesterol, or 480mg of sodium. Sugar and whole</w:t>
            </w:r>
            <w:r w:rsidR="001672F8">
              <w:rPr>
                <w:rFonts w:eastAsia="Times New Roman" w:cs="Times New Roman"/>
                <w:szCs w:val="20"/>
                <w:lang w:eastAsia="en-NZ"/>
              </w:rPr>
              <w:t>-</w:t>
            </w:r>
            <w:r w:rsidRPr="0091450A">
              <w:rPr>
                <w:rFonts w:eastAsia="Times New Roman" w:cs="Times New Roman"/>
                <w:szCs w:val="20"/>
                <w:lang w:eastAsia="en-NZ"/>
              </w:rPr>
              <w:t xml:space="preserve">grain content are not considered </w:t>
            </w:r>
            <w:r w:rsidR="00C30E50"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{"citationItems":[{"id":"ITEM-1","itemData":{"URL":"http://www.fda.gov/Food/GuidanceRegulation/GuidanceDocumentsRegulatoryInformation/LabelingNutrition/ucm064908.htm","author":[{"dropping-particle":"","family":"U.S. Food and Drug Administration","given":"","non-dropping-particle":"","parse-names":false,"suffix":""}],"id":"ITEM-1","issue":"16/06/2016","issued":{"date-parts":[["0"]]},"title":"Guidance for Industry: A Food Labeling Guide (8. Claims)","type":"webpage"},"uris":["http://www.mendeley.com/documents/?uuid=f0077156-b9ca-3e5b-96d0-386baf862a67","http://www.mendeley.com/documents/?uuid=50f88117-376e-4c91-9622-884364be007f"]},{"id":"ITEM-2","itemData":{"URL":"http://www.wcrf.org/int/policy/nourishing-framework/nutrition-labels","author":[{"dropping-particle":"","family":"World Cancer Research Fund","given":"","non-dropping-particle":"","parse-names":false,"suffix":""}],"id":"ITEM-2","issue":"22/02/2016","issued":{"date-parts":[["2016"]]},"publisher":"World Cancer Research Fund","title":"NOURISHING Framework - Nutrition labels","type":"webpage"},"uris":["http://www.mendeley.com/documents/?uuid=5013a327-5fee-469a-8a81-a00c331ce75a","http://www.mendeley.com/documents/?uuid=092173ac-eb10-33db-bff8-e73c776b906e"]}],"mendeley":{"formattedCitation":"(31,43)","plainTextFormattedCitation":"(31,43)","previouslyFormattedCitation":"(31,43)"},"properties":{"noteIndex":0},"schema":"https://github.com/citation-style-language/schema/raw/master/csl-citation.json"}</w:instrText>
            </w:r>
            <w:r w:rsidR="00C30E50"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(31,43)</w:t>
            </w:r>
            <w:r w:rsidR="00C30E50" w:rsidRPr="0091450A">
              <w:rPr>
                <w:rFonts w:eastAsia="Times New Roman" w:cs="Times New Roman"/>
                <w:szCs w:val="20"/>
                <w:lang w:eastAsia="en-NZ"/>
              </w:rPr>
              <w:fldChar w:fldCharType="end"/>
            </w:r>
            <w:r w:rsidR="00C30E50" w:rsidRPr="0091450A">
              <w:rPr>
                <w:rFonts w:eastAsia="Times New Roman" w:cs="Times New Roman"/>
                <w:szCs w:val="20"/>
                <w:lang w:eastAsia="en-NZ"/>
              </w:rPr>
              <w:t xml:space="preserve">. </w:t>
            </w:r>
          </w:p>
        </w:tc>
      </w:tr>
    </w:tbl>
    <w:p w14:paraId="422B296C" w14:textId="38F869CF" w:rsidR="008259CC" w:rsidRPr="0091450A" w:rsidRDefault="008259CC" w:rsidP="002D613F">
      <w:pPr>
        <w:spacing w:after="0" w:line="240" w:lineRule="auto"/>
      </w:pPr>
    </w:p>
    <w:tbl>
      <w:tblPr>
        <w:tblStyle w:val="TableGrid"/>
        <w:tblW w:w="9209" w:type="dxa"/>
        <w:tblLook w:val="04A0" w:firstRow="1" w:lastRow="0" w:firstColumn="1" w:lastColumn="0" w:noHBand="0" w:noVBand="1"/>
      </w:tblPr>
      <w:tblGrid>
        <w:gridCol w:w="9209"/>
      </w:tblGrid>
      <w:tr w:rsidR="008A158E" w:rsidRPr="0091450A" w14:paraId="2D845048" w14:textId="77777777" w:rsidTr="00090A17">
        <w:tc>
          <w:tcPr>
            <w:tcW w:w="9209" w:type="dxa"/>
          </w:tcPr>
          <w:p w14:paraId="0CE0F785" w14:textId="6315C8D5" w:rsidR="008A158E" w:rsidRPr="0091450A" w:rsidRDefault="008C0F53"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2 </w:t>
            </w:r>
            <w:r w:rsidR="008A158E" w:rsidRPr="0091450A">
              <w:rPr>
                <w:rFonts w:cs="Times New Roman"/>
                <w:b/>
                <w:color w:val="1F497D" w:themeColor="text2"/>
                <w:sz w:val="28"/>
                <w:szCs w:val="28"/>
              </w:rPr>
              <w:t xml:space="preserve">FOOD LABELLING: </w:t>
            </w:r>
            <w:r w:rsidR="00E56D63" w:rsidRPr="0091450A">
              <w:rPr>
                <w:rFonts w:cs="Times New Roman"/>
                <w:bCs/>
                <w:szCs w:val="20"/>
              </w:rPr>
              <w:t>There is a regulatory system implemented by the government for consumer-oriented labelling on food packaging and menu boards in restaurants to enable consumers to easily make informed food choices and to prevent misleading claims</w:t>
            </w:r>
          </w:p>
        </w:tc>
      </w:tr>
      <w:tr w:rsidR="008A158E" w:rsidRPr="0091450A" w14:paraId="0DC93386" w14:textId="77777777" w:rsidTr="00090A17">
        <w:tc>
          <w:tcPr>
            <w:tcW w:w="9209" w:type="dxa"/>
          </w:tcPr>
          <w:p w14:paraId="48089F04" w14:textId="00B026CD" w:rsidR="008A158E" w:rsidRPr="0091450A" w:rsidRDefault="00B72DFC" w:rsidP="002D613F">
            <w:pPr>
              <w:spacing w:before="40" w:after="40"/>
              <w:rPr>
                <w:rFonts w:cs="Times New Roman"/>
                <w:b/>
                <w:color w:val="1F497D" w:themeColor="text2"/>
                <w:sz w:val="28"/>
                <w:szCs w:val="28"/>
              </w:rPr>
            </w:pPr>
            <w:bookmarkStart w:id="21" w:name="_Toc31623719"/>
            <w:r w:rsidRPr="0091450A">
              <w:rPr>
                <w:rStyle w:val="Heading3Char"/>
              </w:rPr>
              <w:lastRenderedPageBreak/>
              <w:t>L</w:t>
            </w:r>
            <w:r w:rsidR="009057C5" w:rsidRPr="0091450A">
              <w:rPr>
                <w:rStyle w:val="Heading3Char"/>
              </w:rPr>
              <w:t>ABEL3</w:t>
            </w:r>
            <w:bookmarkEnd w:id="21"/>
            <w:r w:rsidR="008A158E" w:rsidRPr="0091450A">
              <w:rPr>
                <w:rFonts w:cs="Times New Roman"/>
                <w:b/>
                <w:color w:val="1F497D" w:themeColor="text2"/>
                <w:sz w:val="28"/>
                <w:szCs w:val="28"/>
              </w:rPr>
              <w:t xml:space="preserve">: </w:t>
            </w:r>
            <w:r w:rsidR="00886786" w:rsidRPr="0091450A">
              <w:rPr>
                <w:rFonts w:cs="Times New Roman"/>
                <w:b/>
                <w:color w:val="000000"/>
                <w:szCs w:val="20"/>
                <w:lang w:eastAsia="en-NZ"/>
              </w:rPr>
              <w:t xml:space="preserve">A single, consistent, interpretive, evidence-informed front-of-pack supplementary nutrition information system, which readily allows consumers to assess a product’s healthiness, is applied to all </w:t>
            </w:r>
            <w:r w:rsidR="00D44244" w:rsidRPr="0091450A">
              <w:rPr>
                <w:rFonts w:cs="Times New Roman"/>
                <w:b/>
                <w:color w:val="000000"/>
                <w:szCs w:val="20"/>
                <w:lang w:eastAsia="en-NZ"/>
              </w:rPr>
              <w:t>packaged</w:t>
            </w:r>
            <w:r w:rsidR="00CB6A80" w:rsidRPr="0091450A">
              <w:rPr>
                <w:rFonts w:cs="Times New Roman"/>
                <w:b/>
                <w:color w:val="000000"/>
                <w:szCs w:val="20"/>
                <w:lang w:eastAsia="en-NZ"/>
              </w:rPr>
              <w:t xml:space="preserve"> foods</w:t>
            </w:r>
          </w:p>
        </w:tc>
      </w:tr>
      <w:tr w:rsidR="008A158E" w:rsidRPr="0091450A" w14:paraId="23D14463" w14:textId="77777777" w:rsidTr="00090A17">
        <w:tc>
          <w:tcPr>
            <w:tcW w:w="9209" w:type="dxa"/>
          </w:tcPr>
          <w:p w14:paraId="43CF229C" w14:textId="30EB3AB8"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 of im</w:t>
            </w:r>
            <w:r w:rsidR="00C04080" w:rsidRPr="0091450A">
              <w:rPr>
                <w:rFonts w:cs="Times New Roman"/>
                <w:b/>
                <w:color w:val="1F497D" w:themeColor="text2"/>
                <w:sz w:val="28"/>
                <w:szCs w:val="28"/>
              </w:rPr>
              <w:t>plementation</w:t>
            </w:r>
          </w:p>
          <w:p w14:paraId="5E873179" w14:textId="4789DEDA" w:rsidR="003C472F" w:rsidRPr="0091450A" w:rsidRDefault="008A0579" w:rsidP="002D613F">
            <w:pPr>
              <w:pStyle w:val="ListParagraph"/>
              <w:numPr>
                <w:ilvl w:val="0"/>
                <w:numId w:val="22"/>
              </w:numPr>
              <w:shd w:val="clear" w:color="auto" w:fill="FFFFFF" w:themeFill="background1"/>
              <w:spacing w:before="40" w:after="40"/>
              <w:ind w:left="284" w:hanging="284"/>
              <w:contextualSpacing w:val="0"/>
              <w:rPr>
                <w:lang w:eastAsia="en-NZ"/>
              </w:rPr>
            </w:pPr>
            <w:r w:rsidRPr="0091450A">
              <w:rPr>
                <w:rFonts w:cs="Times New Roman"/>
                <w:szCs w:val="20"/>
                <w:lang w:eastAsia="en-NZ"/>
              </w:rPr>
              <w:t>The Health Star Rating</w:t>
            </w:r>
            <w:r w:rsidR="007E45BA" w:rsidRPr="0091450A">
              <w:rPr>
                <w:rFonts w:cs="Times New Roman"/>
                <w:szCs w:val="20"/>
                <w:lang w:eastAsia="en-NZ"/>
              </w:rPr>
              <w:t xml:space="preserve"> (HSR)</w:t>
            </w:r>
            <w:r w:rsidRPr="0091450A">
              <w:rPr>
                <w:rFonts w:cs="Times New Roman"/>
                <w:szCs w:val="20"/>
                <w:lang w:eastAsia="en-NZ"/>
              </w:rPr>
              <w:t xml:space="preserve"> was introduced in 2014</w:t>
            </w:r>
            <w:r w:rsidR="00EB2CD8" w:rsidRPr="0091450A">
              <w:rPr>
                <w:rFonts w:cs="Times New Roman"/>
                <w:szCs w:val="20"/>
                <w:lang w:eastAsia="en-NZ"/>
              </w:rPr>
              <w:t xml:space="preserve"> </w:t>
            </w:r>
            <w:r w:rsidRPr="0091450A">
              <w:rPr>
                <w:rFonts w:cs="Times New Roman"/>
                <w:szCs w:val="20"/>
                <w:lang w:eastAsia="en-NZ"/>
              </w:rPr>
              <w:t>as a voluntary front of pack labelling system</w:t>
            </w:r>
            <w:r w:rsidR="00FC0E15">
              <w:rPr>
                <w:rFonts w:cs="Times New Roman"/>
                <w:szCs w:val="20"/>
                <w:lang w:eastAsia="en-NZ"/>
              </w:rPr>
              <w:t xml:space="preserve"> </w:t>
            </w:r>
            <w:r w:rsidR="00FC0E15">
              <w:rPr>
                <w:rFonts w:cs="Times New Roman"/>
                <w:szCs w:val="20"/>
                <w:lang w:eastAsia="en-NZ"/>
              </w:rPr>
              <w:fldChar w:fldCharType="begin" w:fldLock="1"/>
            </w:r>
            <w:r w:rsidR="00FC0E15">
              <w:rPr>
                <w:rFonts w:cs="Times New Roman"/>
                <w:szCs w:val="20"/>
                <w:lang w:eastAsia="en-NZ"/>
              </w:rPr>
              <w:instrText>ADDIN CSL_CITATION {"citationItems":[{"id":"ITEM-1","itemData":{"URL":"http://www.mpi.govt.nz/food-safety/whats-in-our-food/food-labelling/health-star-ratings/","author":[{"dropping-particle":"","family":"Ministry for Primary Industries","given":"","non-dropping-particle":"","parse-names":false,"suffix":""}],"id":"ITEM-1","issue":"13/3/2017","issued":{"date-parts":[["2016"]]},"title":"Health Star Ratings","type":"webpage"},"uris":["http://www.mendeley.com/documents/?uuid=e725d688-6ec8-37ac-a99a-ebcbcb36756e"]}],"mendeley":{"formattedCitation":"(44)","plainTextFormattedCitation":"(44)","previouslyFormattedCitation":"(44)"},"properties":{"noteIndex":0},"schema":"https://github.com/citation-style-language/schema/raw/master/csl-citation.json"}</w:instrText>
            </w:r>
            <w:r w:rsidR="00FC0E15">
              <w:rPr>
                <w:rFonts w:cs="Times New Roman"/>
                <w:szCs w:val="20"/>
                <w:lang w:eastAsia="en-NZ"/>
              </w:rPr>
              <w:fldChar w:fldCharType="separate"/>
            </w:r>
            <w:r w:rsidR="00FC0E15" w:rsidRPr="00FC0E15">
              <w:rPr>
                <w:rFonts w:cs="Times New Roman"/>
                <w:noProof/>
                <w:szCs w:val="20"/>
                <w:lang w:eastAsia="en-NZ"/>
              </w:rPr>
              <w:t>(44)</w:t>
            </w:r>
            <w:r w:rsidR="00FC0E15">
              <w:rPr>
                <w:rFonts w:cs="Times New Roman"/>
                <w:szCs w:val="20"/>
                <w:lang w:eastAsia="en-NZ"/>
              </w:rPr>
              <w:fldChar w:fldCharType="end"/>
            </w:r>
            <w:r w:rsidR="002E77E7" w:rsidRPr="0091450A">
              <w:rPr>
                <w:rFonts w:cs="Times New Roman"/>
                <w:szCs w:val="20"/>
                <w:lang w:eastAsia="en-NZ"/>
              </w:rPr>
              <w:t>.</w:t>
            </w:r>
            <w:r w:rsidRPr="0091450A">
              <w:rPr>
                <w:rFonts w:cs="Times New Roman"/>
                <w:szCs w:val="20"/>
                <w:lang w:eastAsia="en-NZ"/>
              </w:rPr>
              <w:t xml:space="preserve"> It is designed to help consumers choose between similar</w:t>
            </w:r>
            <w:r w:rsidR="00706F41">
              <w:rPr>
                <w:rFonts w:cs="Times New Roman"/>
                <w:szCs w:val="20"/>
                <w:lang w:eastAsia="en-NZ"/>
              </w:rPr>
              <w:t xml:space="preserve"> packaged</w:t>
            </w:r>
            <w:r w:rsidRPr="0091450A">
              <w:rPr>
                <w:rFonts w:cs="Times New Roman"/>
                <w:szCs w:val="20"/>
                <w:lang w:eastAsia="en-NZ"/>
              </w:rPr>
              <w:t xml:space="preserve"> foods at the point of purchase</w:t>
            </w:r>
            <w:r w:rsidR="00706F41">
              <w:rPr>
                <w:rFonts w:cs="Times New Roman"/>
                <w:szCs w:val="20"/>
                <w:lang w:eastAsia="en-NZ"/>
              </w:rPr>
              <w:t>, based on the overall nutritional value of those foods</w:t>
            </w:r>
            <w:r w:rsidR="00951AB0" w:rsidRPr="0091450A">
              <w:rPr>
                <w:rFonts w:cs="Times New Roman"/>
                <w:szCs w:val="20"/>
                <w:lang w:eastAsia="en-NZ"/>
              </w:rPr>
              <w:t xml:space="preserve">. It is a </w:t>
            </w:r>
            <w:r w:rsidR="00AE5F23" w:rsidRPr="0091450A">
              <w:rPr>
                <w:rFonts w:cs="Times New Roman"/>
                <w:szCs w:val="20"/>
                <w:lang w:eastAsia="en-NZ"/>
              </w:rPr>
              <w:t xml:space="preserve">Trans-Tasman system, implemented both in Australia and New Zealand </w:t>
            </w:r>
            <w:r w:rsidR="00B1136C" w:rsidRPr="0091450A">
              <w:rPr>
                <w:rFonts w:cs="Times New Roman"/>
                <w:szCs w:val="20"/>
                <w:lang w:eastAsia="en-NZ"/>
              </w:rPr>
              <w:fldChar w:fldCharType="begin" w:fldLock="1"/>
            </w:r>
            <w:r w:rsidR="002B6CB8">
              <w:rPr>
                <w:rFonts w:cs="Times New Roman"/>
                <w:szCs w:val="20"/>
                <w:lang w:eastAsia="en-NZ"/>
              </w:rPr>
              <w:instrText>ADDIN CSL_CITATION {"citationItems":[{"id":"ITEM-1","itemData":{"URL":"http://www.foodsafety.govt.nz/industry/general/labelling-composition/health-star-rating/governance.htm","author":[{"dropping-particle":"","family":"Ministry for Primary Industries","given":"","non-dropping-particle":"","parse-names":false,"suffix":""}],"id":"ITEM-1","issue":"1/12/2016","issued":{"date-parts":[["2016"]]},"title":"Health Star Rating system: Governance","type":"webpage"},"uris":["http://www.mendeley.com/documents/?uuid=ff6e879a-925a-31b4-8b39-56f8e6704632","http://www.mendeley.com/documents/?uuid=e2a58e09-6e95-42ed-9529-0a6d84ad5f4a"]}],"mendeley":{"formattedCitation":"(45)","plainTextFormattedCitation":"(45)","previouslyFormattedCitation":"(45)"},"properties":{"noteIndex":0},"schema":"https://github.com/citation-style-language/schema/raw/master/csl-citation.json"}</w:instrText>
            </w:r>
            <w:r w:rsidR="00B1136C" w:rsidRPr="0091450A">
              <w:rPr>
                <w:rFonts w:cs="Times New Roman"/>
                <w:szCs w:val="20"/>
                <w:lang w:eastAsia="en-NZ"/>
              </w:rPr>
              <w:fldChar w:fldCharType="separate"/>
            </w:r>
            <w:r w:rsidR="00A90C92" w:rsidRPr="00A90C92">
              <w:rPr>
                <w:rFonts w:cs="Times New Roman"/>
                <w:noProof/>
                <w:szCs w:val="20"/>
                <w:lang w:eastAsia="en-NZ"/>
              </w:rPr>
              <w:t>(45)</w:t>
            </w:r>
            <w:r w:rsidR="00B1136C" w:rsidRPr="0091450A">
              <w:rPr>
                <w:rFonts w:cs="Times New Roman"/>
                <w:szCs w:val="20"/>
                <w:lang w:eastAsia="en-NZ"/>
              </w:rPr>
              <w:fldChar w:fldCharType="end"/>
            </w:r>
            <w:r w:rsidR="00E34B76" w:rsidRPr="0091450A">
              <w:rPr>
                <w:rFonts w:cs="Times New Roman"/>
                <w:szCs w:val="20"/>
                <w:lang w:eastAsia="en-NZ"/>
              </w:rPr>
              <w:t>.</w:t>
            </w:r>
            <w:r w:rsidR="00951AB0" w:rsidRPr="0091450A">
              <w:rPr>
                <w:rFonts w:cs="Times New Roman"/>
                <w:szCs w:val="20"/>
                <w:lang w:eastAsia="en-NZ"/>
              </w:rPr>
              <w:t xml:space="preserve"> </w:t>
            </w:r>
            <w:r w:rsidR="00706F41">
              <w:rPr>
                <w:rFonts w:cs="Times New Roman"/>
                <w:szCs w:val="20"/>
                <w:lang w:eastAsia="en-NZ"/>
              </w:rPr>
              <w:t xml:space="preserve">The Ministry for Primary Industries administers the HSR system in NZ. </w:t>
            </w:r>
            <w:r w:rsidRPr="0091450A">
              <w:rPr>
                <w:rFonts w:cs="Times New Roman"/>
                <w:szCs w:val="20"/>
                <w:lang w:eastAsia="en-NZ"/>
              </w:rPr>
              <w:t xml:space="preserve">The nutrient </w:t>
            </w:r>
            <w:r w:rsidR="00BE5B01" w:rsidRPr="0091450A">
              <w:rPr>
                <w:rFonts w:cs="Times New Roman"/>
                <w:szCs w:val="20"/>
                <w:lang w:eastAsia="en-NZ"/>
              </w:rPr>
              <w:t>profiling</w:t>
            </w:r>
            <w:r w:rsidRPr="0091450A">
              <w:rPr>
                <w:rFonts w:cs="Times New Roman"/>
                <w:szCs w:val="20"/>
                <w:lang w:eastAsia="en-NZ"/>
              </w:rPr>
              <w:t xml:space="preserve"> system used in the HSR is aligned with the Australian and NZ </w:t>
            </w:r>
            <w:r w:rsidR="00D7179B" w:rsidRPr="0091450A">
              <w:rPr>
                <w:rFonts w:cs="Times New Roman"/>
                <w:szCs w:val="20"/>
                <w:lang w:eastAsia="en-NZ"/>
              </w:rPr>
              <w:t>dietary guidelines</w:t>
            </w:r>
            <w:r w:rsidRPr="0091450A">
              <w:rPr>
                <w:rFonts w:cs="Times New Roman"/>
                <w:szCs w:val="20"/>
                <w:lang w:eastAsia="en-NZ"/>
              </w:rPr>
              <w:t>.</w:t>
            </w:r>
            <w:r w:rsidR="00E34B76" w:rsidRPr="0091450A">
              <w:rPr>
                <w:rFonts w:cs="Times New Roman"/>
                <w:szCs w:val="20"/>
                <w:lang w:eastAsia="en-NZ"/>
              </w:rPr>
              <w:t xml:space="preserve"> The system allocates stars to foods based on their nutrition content (energy, risk nutrients: saturated fat, sodium, total sugars, </w:t>
            </w:r>
            <w:r w:rsidR="00846D3B" w:rsidRPr="0091450A">
              <w:rPr>
                <w:rFonts w:cs="Times New Roman"/>
                <w:szCs w:val="20"/>
                <w:lang w:eastAsia="en-NZ"/>
              </w:rPr>
              <w:t>and beneficial</w:t>
            </w:r>
            <w:r w:rsidR="00E34B76" w:rsidRPr="0091450A">
              <w:rPr>
                <w:rFonts w:cs="Times New Roman"/>
                <w:szCs w:val="20"/>
                <w:lang w:eastAsia="en-NZ"/>
              </w:rPr>
              <w:t xml:space="preserve"> components: dietary fibre, protein, fruits, vegetables, nuts, legumes). There are tools and </w:t>
            </w:r>
            <w:r w:rsidR="00E27091" w:rsidRPr="0091450A">
              <w:rPr>
                <w:rFonts w:cs="Times New Roman"/>
                <w:szCs w:val="20"/>
                <w:lang w:eastAsia="en-NZ"/>
              </w:rPr>
              <w:t>resources</w:t>
            </w:r>
            <w:r w:rsidR="00E34B76" w:rsidRPr="0091450A">
              <w:rPr>
                <w:rFonts w:cs="Times New Roman"/>
                <w:szCs w:val="20"/>
                <w:lang w:eastAsia="en-NZ"/>
              </w:rPr>
              <w:t xml:space="preserve"> including the HSR </w:t>
            </w:r>
            <w:r w:rsidR="00E27091" w:rsidRPr="0091450A">
              <w:rPr>
                <w:rFonts w:cs="Times New Roman"/>
                <w:szCs w:val="20"/>
                <w:lang w:eastAsia="en-NZ"/>
              </w:rPr>
              <w:t>calculator</w:t>
            </w:r>
            <w:r w:rsidR="00E34B76" w:rsidRPr="0091450A">
              <w:rPr>
                <w:rFonts w:cs="Times New Roman"/>
                <w:szCs w:val="20"/>
                <w:lang w:eastAsia="en-NZ"/>
              </w:rPr>
              <w:t xml:space="preserve"> to help industry adopt the HSR. There is a process to address anomalies and a dispute </w:t>
            </w:r>
            <w:r w:rsidR="00E27091" w:rsidRPr="0091450A">
              <w:rPr>
                <w:rFonts w:cs="Times New Roman"/>
                <w:szCs w:val="20"/>
                <w:lang w:eastAsia="en-NZ"/>
              </w:rPr>
              <w:t>resolution</w:t>
            </w:r>
            <w:r w:rsidR="00E34B76" w:rsidRPr="0091450A">
              <w:rPr>
                <w:rFonts w:cs="Times New Roman"/>
                <w:szCs w:val="20"/>
                <w:lang w:eastAsia="en-NZ"/>
              </w:rPr>
              <w:t xml:space="preserve"> process</w:t>
            </w:r>
            <w:r w:rsidR="00B1136C" w:rsidRPr="0091450A">
              <w:rPr>
                <w:rFonts w:cs="Times New Roman"/>
                <w:szCs w:val="20"/>
                <w:lang w:eastAsia="en-NZ"/>
              </w:rPr>
              <w:t xml:space="preserve"> </w:t>
            </w:r>
            <w:r w:rsidR="005A716C" w:rsidRPr="0091450A">
              <w:rPr>
                <w:rFonts w:cs="Times New Roman"/>
                <w:szCs w:val="20"/>
                <w:lang w:eastAsia="en-NZ"/>
              </w:rPr>
              <w:fldChar w:fldCharType="begin" w:fldLock="1"/>
            </w:r>
            <w:r w:rsidR="003C633E">
              <w:rPr>
                <w:rFonts w:cs="Times New Roman"/>
                <w:szCs w:val="20"/>
                <w:lang w:eastAsia="en-NZ"/>
              </w:rPr>
              <w:instrText>ADDIN CSL_CITATION {"citationItems":[{"id":"ITEM-1","itemData":{"abstract":"and the Front-of-Pack Labelling (FoPL) Project Committee's Objectives and Principles for the Development of a front of pack labelling system. These documents together with Forum policy decisions made during the development of the HSR system provide the basis for assessing potential anomalies.","author":[{"dropping-particle":"","family":"Australia and New Zealand Ministerial Forum on Food Regulation","given":"","non-dropping-particle":"","parse-names":false,"suffix":""}],"id":"ITEM-1","issued":{"date-parts":[["2016"]]},"number-of-pages":"1-3","title":"Health Star Rating System Policy Context-What is an anomaly?","type":"report"},"uris":["http://www.mendeley.com/documents/?uuid=54d196e4-2edc-3b02-a22c-8e5920b965bc"]}],"mendeley":{"formattedCitation":"(46)","plainTextFormattedCitation":"(46)","previouslyFormattedCitation":"(46)"},"properties":{"noteIndex":0},"schema":"https://github.com/citation-style-language/schema/raw/master/csl-citation.json"}</w:instrText>
            </w:r>
            <w:r w:rsidR="005A716C" w:rsidRPr="0091450A">
              <w:rPr>
                <w:rFonts w:cs="Times New Roman"/>
                <w:szCs w:val="20"/>
                <w:lang w:eastAsia="en-NZ"/>
              </w:rPr>
              <w:fldChar w:fldCharType="separate"/>
            </w:r>
            <w:r w:rsidR="00A90C92" w:rsidRPr="00A90C92">
              <w:rPr>
                <w:rFonts w:cs="Times New Roman"/>
                <w:noProof/>
                <w:szCs w:val="20"/>
                <w:lang w:eastAsia="en-NZ"/>
              </w:rPr>
              <w:t>(46)</w:t>
            </w:r>
            <w:r w:rsidR="005A716C" w:rsidRPr="0091450A">
              <w:rPr>
                <w:rFonts w:cs="Times New Roman"/>
                <w:szCs w:val="20"/>
                <w:lang w:eastAsia="en-NZ"/>
              </w:rPr>
              <w:fldChar w:fldCharType="end"/>
            </w:r>
            <w:r w:rsidR="00D7179B" w:rsidRPr="0091450A">
              <w:rPr>
                <w:rFonts w:cs="Times New Roman"/>
                <w:szCs w:val="20"/>
                <w:lang w:eastAsia="en-NZ"/>
              </w:rPr>
              <w:t xml:space="preserve"> </w:t>
            </w:r>
          </w:p>
          <w:p w14:paraId="11EAB98D" w14:textId="39F374D4" w:rsidR="003C472F" w:rsidRPr="0091450A" w:rsidRDefault="003070C0" w:rsidP="002D613F">
            <w:pPr>
              <w:pStyle w:val="ListParagraph"/>
              <w:numPr>
                <w:ilvl w:val="0"/>
                <w:numId w:val="22"/>
              </w:numPr>
              <w:shd w:val="clear" w:color="auto" w:fill="FFFFFF" w:themeFill="background1"/>
              <w:spacing w:before="40" w:after="40"/>
              <w:ind w:left="284" w:hanging="284"/>
              <w:contextualSpacing w:val="0"/>
              <w:rPr>
                <w:lang w:eastAsia="en-NZ"/>
              </w:rPr>
            </w:pPr>
            <w:r w:rsidRPr="0091450A">
              <w:rPr>
                <w:noProof/>
                <w:lang w:eastAsia="zh-CN"/>
              </w:rPr>
              <w:drawing>
                <wp:anchor distT="0" distB="0" distL="114300" distR="114300" simplePos="0" relativeHeight="251658244" behindDoc="0" locked="0" layoutInCell="1" allowOverlap="1" wp14:anchorId="6AE474DB" wp14:editId="54CCB243">
                  <wp:simplePos x="0" y="0"/>
                  <wp:positionH relativeFrom="column">
                    <wp:posOffset>1276350</wp:posOffset>
                  </wp:positionH>
                  <wp:positionV relativeFrom="paragraph">
                    <wp:posOffset>187325</wp:posOffset>
                  </wp:positionV>
                  <wp:extent cx="3038475" cy="1019175"/>
                  <wp:effectExtent l="0" t="0" r="0" b="0"/>
                  <wp:wrapSquare wrapText="bothSides"/>
                  <wp:docPr id="1465446383" name="Picture 2" descr="http://www.foodsafety.govt.nz/industry/general/labelling-composition/health-star-rating/health-star-rating-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rcRect r="1666"/>
                          <a:stretch>
                            <a:fillRect/>
                          </a:stretch>
                        </pic:blipFill>
                        <pic:spPr>
                          <a:xfrm>
                            <a:off x="0" y="0"/>
                            <a:ext cx="3038475" cy="1019175"/>
                          </a:xfrm>
                          <a:prstGeom prst="rect">
                            <a:avLst/>
                          </a:prstGeom>
                        </pic:spPr>
                      </pic:pic>
                    </a:graphicData>
                  </a:graphic>
                  <wp14:sizeRelH relativeFrom="page">
                    <wp14:pctWidth>0</wp14:pctWidth>
                  </wp14:sizeRelH>
                  <wp14:sizeRelV relativeFrom="page">
                    <wp14:pctHeight>0</wp14:pctHeight>
                  </wp14:sizeRelV>
                </wp:anchor>
              </w:drawing>
            </w:r>
            <w:r w:rsidR="003C472F" w:rsidRPr="0091450A">
              <w:t>An example of the health star rating label is printed below</w:t>
            </w:r>
            <w:r w:rsidR="003C472F" w:rsidRPr="0091450A">
              <w:rPr>
                <w:lang w:eastAsia="en-NZ"/>
              </w:rPr>
              <w:t>:</w:t>
            </w:r>
          </w:p>
          <w:p w14:paraId="74DD2113" w14:textId="4978CA3D" w:rsidR="003C472F" w:rsidRPr="0091450A" w:rsidRDefault="003C472F" w:rsidP="002D613F">
            <w:pPr>
              <w:pStyle w:val="ListParagraph"/>
              <w:shd w:val="clear" w:color="auto" w:fill="FFFFFF" w:themeFill="background1"/>
              <w:spacing w:before="40" w:after="40"/>
              <w:ind w:left="567"/>
              <w:contextualSpacing w:val="0"/>
            </w:pPr>
          </w:p>
          <w:p w14:paraId="6D84923A" w14:textId="25EA9E55" w:rsidR="003C472F" w:rsidRPr="0091450A" w:rsidRDefault="003C472F" w:rsidP="002D613F">
            <w:pPr>
              <w:pStyle w:val="ListParagraph"/>
              <w:shd w:val="clear" w:color="auto" w:fill="FFFFFF" w:themeFill="background1"/>
              <w:spacing w:before="40" w:after="40"/>
              <w:ind w:left="284"/>
              <w:contextualSpacing w:val="0"/>
              <w:rPr>
                <w:rFonts w:cs="Times New Roman"/>
                <w:szCs w:val="20"/>
                <w:lang w:eastAsia="en-NZ"/>
              </w:rPr>
            </w:pPr>
          </w:p>
          <w:p w14:paraId="27384AA0" w14:textId="49BB692B" w:rsidR="003070C0" w:rsidRPr="0091450A" w:rsidRDefault="003070C0" w:rsidP="002D613F">
            <w:pPr>
              <w:pStyle w:val="ListParagraph"/>
              <w:shd w:val="clear" w:color="auto" w:fill="FFFFFF" w:themeFill="background1"/>
              <w:spacing w:before="40" w:after="40"/>
              <w:ind w:left="284"/>
              <w:contextualSpacing w:val="0"/>
              <w:rPr>
                <w:rFonts w:cs="Times New Roman"/>
                <w:szCs w:val="20"/>
                <w:lang w:eastAsia="en-NZ"/>
              </w:rPr>
            </w:pPr>
          </w:p>
          <w:p w14:paraId="35BE618D" w14:textId="5706E75E" w:rsidR="003070C0" w:rsidRPr="0091450A" w:rsidRDefault="003070C0" w:rsidP="002D613F">
            <w:pPr>
              <w:pStyle w:val="ListParagraph"/>
              <w:shd w:val="clear" w:color="auto" w:fill="FFFFFF" w:themeFill="background1"/>
              <w:spacing w:before="40" w:after="40"/>
              <w:ind w:left="284"/>
              <w:contextualSpacing w:val="0"/>
              <w:rPr>
                <w:rFonts w:cs="Times New Roman"/>
                <w:szCs w:val="20"/>
                <w:lang w:eastAsia="en-NZ"/>
              </w:rPr>
            </w:pPr>
          </w:p>
          <w:p w14:paraId="3EE6DBF6" w14:textId="2B2B6F68" w:rsidR="003070C0" w:rsidRPr="0091450A" w:rsidRDefault="003070C0" w:rsidP="002D613F">
            <w:pPr>
              <w:pStyle w:val="ListParagraph"/>
              <w:shd w:val="clear" w:color="auto" w:fill="FFFFFF" w:themeFill="background1"/>
              <w:spacing w:before="40" w:after="40"/>
              <w:ind w:left="284"/>
              <w:contextualSpacing w:val="0"/>
              <w:rPr>
                <w:rFonts w:cs="Times New Roman"/>
                <w:szCs w:val="20"/>
                <w:lang w:eastAsia="en-NZ"/>
              </w:rPr>
            </w:pPr>
          </w:p>
          <w:p w14:paraId="3C5DBE33" w14:textId="77777777" w:rsidR="003070C0" w:rsidRPr="0091450A" w:rsidRDefault="003070C0" w:rsidP="002D613F">
            <w:pPr>
              <w:pStyle w:val="ListParagraph"/>
              <w:shd w:val="clear" w:color="auto" w:fill="FFFFFF" w:themeFill="background1"/>
              <w:spacing w:before="40" w:after="40"/>
              <w:ind w:left="284"/>
              <w:contextualSpacing w:val="0"/>
              <w:rPr>
                <w:rFonts w:cs="Times New Roman"/>
                <w:szCs w:val="20"/>
                <w:lang w:eastAsia="en-NZ"/>
              </w:rPr>
            </w:pPr>
          </w:p>
          <w:p w14:paraId="197CB84E" w14:textId="69D07FAA" w:rsidR="00BE0B9D" w:rsidRPr="0091450A" w:rsidRDefault="00E34B76" w:rsidP="002D613F">
            <w:pPr>
              <w:pStyle w:val="ListParagraph"/>
              <w:numPr>
                <w:ilvl w:val="0"/>
                <w:numId w:val="22"/>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t xml:space="preserve">The committees that guide implementation are </w:t>
            </w:r>
            <w:r w:rsidR="00846D3B" w:rsidRPr="0091450A">
              <w:rPr>
                <w:rFonts w:cs="Times New Roman"/>
                <w:szCs w:val="20"/>
                <w:lang w:eastAsia="en-NZ"/>
              </w:rPr>
              <w:t>A</w:t>
            </w:r>
            <w:r w:rsidR="00CB6A80" w:rsidRPr="0091450A">
              <w:rPr>
                <w:rFonts w:cs="Times New Roman"/>
                <w:szCs w:val="20"/>
                <w:lang w:eastAsia="en-NZ"/>
              </w:rPr>
              <w:t xml:space="preserve">) </w:t>
            </w:r>
            <w:r w:rsidRPr="0091450A">
              <w:rPr>
                <w:rFonts w:cs="Times New Roman"/>
                <w:szCs w:val="20"/>
                <w:lang w:eastAsia="en-NZ"/>
              </w:rPr>
              <w:t xml:space="preserve">The Australian and NZ Ministerial Forum on Food Regulation, this includes ministers responsible for food, including the NZ Minister for Food Safety; </w:t>
            </w:r>
            <w:r w:rsidR="00846D3B" w:rsidRPr="0091450A">
              <w:rPr>
                <w:rFonts w:cs="Times New Roman"/>
                <w:szCs w:val="20"/>
                <w:lang w:eastAsia="en-NZ"/>
              </w:rPr>
              <w:t>B</w:t>
            </w:r>
            <w:r w:rsidR="00CB6A80" w:rsidRPr="0091450A">
              <w:rPr>
                <w:rFonts w:cs="Times New Roman"/>
                <w:szCs w:val="20"/>
                <w:lang w:eastAsia="en-NZ"/>
              </w:rPr>
              <w:t>)</w:t>
            </w:r>
            <w:r w:rsidR="00846D3B" w:rsidRPr="0091450A">
              <w:rPr>
                <w:rFonts w:cs="Times New Roman"/>
                <w:szCs w:val="20"/>
                <w:lang w:eastAsia="en-NZ"/>
              </w:rPr>
              <w:t xml:space="preserve"> </w:t>
            </w:r>
            <w:r w:rsidRPr="0091450A">
              <w:rPr>
                <w:rFonts w:cs="Times New Roman"/>
                <w:szCs w:val="20"/>
                <w:lang w:eastAsia="en-NZ"/>
              </w:rPr>
              <w:t>Front-of-Pack labelling steering committee which was responsible for leading the pr</w:t>
            </w:r>
            <w:r w:rsidR="00CB6A80" w:rsidRPr="0091450A">
              <w:rPr>
                <w:rFonts w:cs="Times New Roman"/>
                <w:szCs w:val="20"/>
                <w:lang w:eastAsia="en-NZ"/>
              </w:rPr>
              <w:t>ocess for developing the system;</w:t>
            </w:r>
            <w:r w:rsidRPr="0091450A">
              <w:rPr>
                <w:rFonts w:cs="Times New Roman"/>
                <w:szCs w:val="20"/>
                <w:lang w:eastAsia="en-NZ"/>
              </w:rPr>
              <w:t xml:space="preserve"> C</w:t>
            </w:r>
            <w:r w:rsidR="00CB6A80" w:rsidRPr="0091450A">
              <w:rPr>
                <w:rFonts w:cs="Times New Roman"/>
                <w:szCs w:val="20"/>
                <w:lang w:eastAsia="en-NZ"/>
              </w:rPr>
              <w:t>)</w:t>
            </w:r>
            <w:r w:rsidRPr="0091450A">
              <w:rPr>
                <w:rFonts w:cs="Times New Roman"/>
                <w:szCs w:val="20"/>
                <w:lang w:eastAsia="en-NZ"/>
              </w:rPr>
              <w:t xml:space="preserve"> The trans-Tasman Health Star Rating Advisory Committee oversees implementation and evaluation of HSR including monitoring. NZ holds one of ten seats. It includes industry, government, consumer and public health </w:t>
            </w:r>
            <w:r w:rsidR="00E27091" w:rsidRPr="0091450A">
              <w:rPr>
                <w:rFonts w:cs="Times New Roman"/>
                <w:szCs w:val="20"/>
                <w:lang w:eastAsia="en-NZ"/>
              </w:rPr>
              <w:t>representatives</w:t>
            </w:r>
            <w:r w:rsidR="00CB6A80" w:rsidRPr="0091450A">
              <w:rPr>
                <w:rFonts w:cs="Times New Roman"/>
                <w:szCs w:val="20"/>
                <w:lang w:eastAsia="en-NZ"/>
              </w:rPr>
              <w:t>;</w:t>
            </w:r>
            <w:r w:rsidRPr="0091450A">
              <w:rPr>
                <w:rFonts w:cs="Times New Roman"/>
                <w:szCs w:val="20"/>
                <w:lang w:eastAsia="en-NZ"/>
              </w:rPr>
              <w:t xml:space="preserve"> </w:t>
            </w:r>
            <w:r w:rsidR="00846D3B" w:rsidRPr="0091450A">
              <w:rPr>
                <w:rFonts w:cs="Times New Roman"/>
                <w:szCs w:val="20"/>
                <w:lang w:eastAsia="en-NZ"/>
              </w:rPr>
              <w:t>D</w:t>
            </w:r>
            <w:r w:rsidR="00CB6A80" w:rsidRPr="0091450A">
              <w:rPr>
                <w:rFonts w:cs="Times New Roman"/>
                <w:szCs w:val="20"/>
                <w:lang w:eastAsia="en-NZ"/>
              </w:rPr>
              <w:t>)</w:t>
            </w:r>
            <w:r w:rsidRPr="0091450A">
              <w:rPr>
                <w:rFonts w:cs="Times New Roman"/>
                <w:szCs w:val="20"/>
                <w:lang w:eastAsia="en-NZ"/>
              </w:rPr>
              <w:t xml:space="preserve"> The NZ HSR </w:t>
            </w:r>
            <w:r w:rsidR="00E27091" w:rsidRPr="0091450A">
              <w:rPr>
                <w:rFonts w:cs="Times New Roman"/>
                <w:szCs w:val="20"/>
                <w:lang w:eastAsia="en-NZ"/>
              </w:rPr>
              <w:t>Advisory</w:t>
            </w:r>
            <w:r w:rsidRPr="0091450A">
              <w:rPr>
                <w:rFonts w:cs="Times New Roman"/>
                <w:szCs w:val="20"/>
                <w:lang w:eastAsia="en-NZ"/>
              </w:rPr>
              <w:t xml:space="preserve"> Group has members from food industry, academia, public health chaired by MPI to consider </w:t>
            </w:r>
            <w:r w:rsidR="004821F5">
              <w:rPr>
                <w:rFonts w:cs="Times New Roman"/>
                <w:szCs w:val="20"/>
                <w:lang w:eastAsia="en-NZ"/>
              </w:rPr>
              <w:t xml:space="preserve">the </w:t>
            </w:r>
            <w:r w:rsidRPr="0091450A">
              <w:rPr>
                <w:rFonts w:cs="Times New Roman"/>
                <w:szCs w:val="20"/>
                <w:lang w:eastAsia="en-NZ"/>
              </w:rPr>
              <w:t>latest evidence, global developments, identify areas of common ground shared by stakeholder groups, provide advice on evaluation</w:t>
            </w:r>
            <w:r w:rsidR="00B42934" w:rsidRPr="0091450A">
              <w:rPr>
                <w:rFonts w:cs="Times New Roman"/>
                <w:szCs w:val="20"/>
                <w:lang w:eastAsia="en-NZ"/>
              </w:rPr>
              <w:t xml:space="preserve"> </w:t>
            </w:r>
            <w:r w:rsidR="00B1136C" w:rsidRPr="0091450A">
              <w:rPr>
                <w:rFonts w:cs="Times New Roman"/>
                <w:szCs w:val="20"/>
                <w:lang w:eastAsia="en-NZ"/>
              </w:rPr>
              <w:fldChar w:fldCharType="begin" w:fldLock="1"/>
            </w:r>
            <w:r w:rsidR="002B6CB8">
              <w:rPr>
                <w:rFonts w:cs="Times New Roman"/>
                <w:szCs w:val="20"/>
                <w:lang w:eastAsia="en-NZ"/>
              </w:rPr>
              <w:instrText>ADDIN CSL_CITATION {"citationItems":[{"id":"ITEM-1","itemData":{"URL":"http://www.foodsafety.govt.nz/industry/general/labelling-composition/health-star-rating/governance.htm","author":[{"dropping-particle":"","family":"Ministry for Primary Industries","given":"","non-dropping-particle":"","parse-names":false,"suffix":""}],"id":"ITEM-1","issue":"1/12/2016","issued":{"date-parts":[["2016"]]},"title":"Health Star Rating system: Governance","type":"webpage"},"uris":["http://www.mendeley.com/documents/?uuid=e2a58e09-6e95-42ed-9529-0a6d84ad5f4a","http://www.mendeley.com/documents/?uuid=ff6e879a-925a-31b4-8b39-56f8e6704632"]}],"mendeley":{"formattedCitation":"(45)","plainTextFormattedCitation":"(45)","previouslyFormattedCitation":"(45)"},"properties":{"noteIndex":0},"schema":"https://github.com/citation-style-language/schema/raw/master/csl-citation.json"}</w:instrText>
            </w:r>
            <w:r w:rsidR="00B1136C" w:rsidRPr="0091450A">
              <w:rPr>
                <w:rFonts w:cs="Times New Roman"/>
                <w:szCs w:val="20"/>
                <w:lang w:eastAsia="en-NZ"/>
              </w:rPr>
              <w:fldChar w:fldCharType="separate"/>
            </w:r>
            <w:r w:rsidR="00A90C92" w:rsidRPr="00A90C92">
              <w:rPr>
                <w:rFonts w:cs="Times New Roman"/>
                <w:noProof/>
                <w:szCs w:val="20"/>
                <w:lang w:eastAsia="en-NZ"/>
              </w:rPr>
              <w:t>(45)</w:t>
            </w:r>
            <w:r w:rsidR="00B1136C" w:rsidRPr="0091450A">
              <w:rPr>
                <w:rFonts w:cs="Times New Roman"/>
                <w:szCs w:val="20"/>
                <w:lang w:eastAsia="en-NZ"/>
              </w:rPr>
              <w:fldChar w:fldCharType="end"/>
            </w:r>
            <w:r w:rsidR="00B1136C" w:rsidRPr="0091450A">
              <w:rPr>
                <w:rFonts w:cs="Times New Roman"/>
                <w:szCs w:val="20"/>
                <w:lang w:eastAsia="en-NZ"/>
              </w:rPr>
              <w:t>.</w:t>
            </w:r>
          </w:p>
          <w:p w14:paraId="648F0B81" w14:textId="0F371B61" w:rsidR="00761A17" w:rsidRDefault="00951156" w:rsidP="002D613F">
            <w:pPr>
              <w:pStyle w:val="ListParagraph"/>
              <w:numPr>
                <w:ilvl w:val="0"/>
                <w:numId w:val="22"/>
              </w:numPr>
              <w:spacing w:before="40" w:after="40"/>
              <w:ind w:left="284" w:hanging="284"/>
              <w:contextualSpacing w:val="0"/>
              <w:rPr>
                <w:rFonts w:cs="Times New Roman"/>
                <w:szCs w:val="20"/>
                <w:lang w:eastAsia="en-NZ"/>
              </w:rPr>
            </w:pPr>
            <w:r w:rsidRPr="00E44BFB">
              <w:rPr>
                <w:rFonts w:cs="Times New Roman"/>
                <w:szCs w:val="20"/>
                <w:lang w:eastAsia="en-NZ"/>
              </w:rPr>
              <w:t>By September 2019</w:t>
            </w:r>
            <w:r w:rsidR="00761A17" w:rsidRPr="00E44BFB">
              <w:rPr>
                <w:rFonts w:cs="Times New Roman"/>
                <w:szCs w:val="20"/>
                <w:lang w:eastAsia="en-NZ"/>
              </w:rPr>
              <w:t xml:space="preserve"> </w:t>
            </w:r>
            <w:r w:rsidR="00C156A1" w:rsidRPr="00E44BFB">
              <w:rPr>
                <w:rFonts w:cs="Times New Roman"/>
                <w:szCs w:val="20"/>
                <w:lang w:eastAsia="en-NZ"/>
              </w:rPr>
              <w:t xml:space="preserve">almost </w:t>
            </w:r>
            <w:r w:rsidRPr="00E44BFB">
              <w:rPr>
                <w:rFonts w:cs="Times New Roman"/>
                <w:szCs w:val="20"/>
                <w:lang w:eastAsia="en-NZ"/>
              </w:rPr>
              <w:t>5,150</w:t>
            </w:r>
            <w:r w:rsidR="00761A17" w:rsidRPr="00E44BFB">
              <w:rPr>
                <w:rFonts w:cs="Times New Roman"/>
                <w:szCs w:val="20"/>
                <w:lang w:eastAsia="en-NZ"/>
              </w:rPr>
              <w:t xml:space="preserve"> products </w:t>
            </w:r>
            <w:r w:rsidRPr="00E44BFB">
              <w:rPr>
                <w:rFonts w:cs="Times New Roman"/>
                <w:szCs w:val="20"/>
                <w:lang w:eastAsia="en-NZ"/>
              </w:rPr>
              <w:t>displayed the</w:t>
            </w:r>
            <w:r w:rsidR="00761A17" w:rsidRPr="00E44BFB">
              <w:rPr>
                <w:rFonts w:cs="Times New Roman"/>
                <w:szCs w:val="20"/>
                <w:lang w:eastAsia="en-NZ"/>
              </w:rPr>
              <w:t xml:space="preserve"> HSR</w:t>
            </w:r>
            <w:r w:rsidR="00C156A1" w:rsidRPr="00E44BFB">
              <w:rPr>
                <w:rFonts w:cs="Times New Roman"/>
                <w:szCs w:val="20"/>
                <w:lang w:eastAsia="en-NZ"/>
              </w:rPr>
              <w:t xml:space="preserve"> </w:t>
            </w:r>
            <w:r w:rsidRPr="00E44BFB">
              <w:rPr>
                <w:rFonts w:cs="Times New Roman"/>
                <w:szCs w:val="20"/>
                <w:lang w:eastAsia="en-NZ"/>
              </w:rPr>
              <w:t>(personal communication, MPI, 2020)</w:t>
            </w:r>
            <w:r w:rsidR="00761A17" w:rsidRPr="00E44BFB">
              <w:rPr>
                <w:rFonts w:cs="Times New Roman"/>
                <w:szCs w:val="20"/>
                <w:lang w:eastAsia="en-NZ"/>
              </w:rPr>
              <w:t xml:space="preserve">. </w:t>
            </w:r>
            <w:r w:rsidR="00130322" w:rsidRPr="00E44BFB">
              <w:rPr>
                <w:rFonts w:cs="Times New Roman"/>
                <w:szCs w:val="20"/>
                <w:lang w:eastAsia="en-NZ"/>
              </w:rPr>
              <w:t>M</w:t>
            </w:r>
            <w:r w:rsidR="00761A17" w:rsidRPr="00E44BFB">
              <w:rPr>
                <w:rFonts w:cs="Times New Roman"/>
                <w:szCs w:val="20"/>
              </w:rPr>
              <w:t xml:space="preserve">ajor supermarket retailers </w:t>
            </w:r>
            <w:r w:rsidR="00130322" w:rsidRPr="00E44BFB">
              <w:rPr>
                <w:rFonts w:cs="Times New Roman"/>
                <w:szCs w:val="20"/>
              </w:rPr>
              <w:t xml:space="preserve">Foodstuffs NZ </w:t>
            </w:r>
            <w:r w:rsidR="00AC3345" w:rsidRPr="00E44BFB">
              <w:rPr>
                <w:rFonts w:cs="Times New Roman"/>
                <w:szCs w:val="20"/>
              </w:rPr>
              <w:fldChar w:fldCharType="begin" w:fldLock="1"/>
            </w:r>
            <w:r w:rsidR="002B6CB8" w:rsidRPr="00E44BFB">
              <w:rPr>
                <w:rFonts w:cs="Times New Roman"/>
                <w:szCs w:val="20"/>
              </w:rPr>
              <w:instrText>ADDIN CSL_CITATION {"citationItems":[{"id":"ITEM-1","itemData":{"URL":"https://www.foodstuffs.co.nz/corporate-responsibility/foodstuffs’-pledge-to-promote-healthier-eating/health-star-ratings/","accessed":{"date-parts":[["2020","1","31"]]},"author":[{"dropping-particle":"","family":"Foodstuffs NZ","given":"","non-dropping-particle":"","parse-names":false,"suffix":""}],"id":"ITEM-1","issued":{"date-parts":[["2019"]]},"title":"Health Star Ratings | Foodstuffs","type":"webpage"},"uris":["http://www.mendeley.com/documents/?uuid=9d33af0f-e28c-387e-81bb-3a3b539b78bf"]}],"mendeley":{"formattedCitation":"(47)","plainTextFormattedCitation":"(47)","previouslyFormattedCitation":"(47)"},"properties":{"noteIndex":0},"schema":"https://github.com/citation-style-language/schema/raw/master/csl-citation.json"}</w:instrText>
            </w:r>
            <w:r w:rsidR="00AC3345" w:rsidRPr="00E44BFB">
              <w:rPr>
                <w:rFonts w:cs="Times New Roman"/>
                <w:szCs w:val="20"/>
              </w:rPr>
              <w:fldChar w:fldCharType="separate"/>
            </w:r>
            <w:r w:rsidR="00A90C92" w:rsidRPr="00E44BFB">
              <w:rPr>
                <w:rFonts w:cs="Times New Roman"/>
                <w:noProof/>
                <w:szCs w:val="20"/>
              </w:rPr>
              <w:t>(47)</w:t>
            </w:r>
            <w:r w:rsidR="00AC3345" w:rsidRPr="00E44BFB">
              <w:rPr>
                <w:rFonts w:cs="Times New Roman"/>
                <w:szCs w:val="20"/>
              </w:rPr>
              <w:fldChar w:fldCharType="end"/>
            </w:r>
            <w:r w:rsidR="00AC3345" w:rsidRPr="00E44BFB">
              <w:rPr>
                <w:rFonts w:cs="Times New Roman"/>
                <w:szCs w:val="20"/>
              </w:rPr>
              <w:t xml:space="preserve"> </w:t>
            </w:r>
            <w:r w:rsidR="00130322" w:rsidRPr="00E44BFB">
              <w:rPr>
                <w:rFonts w:cs="Times New Roman"/>
                <w:szCs w:val="20"/>
              </w:rPr>
              <w:t>and Countdown</w:t>
            </w:r>
            <w:r w:rsidR="00AC3345" w:rsidRPr="00E44BFB">
              <w:rPr>
                <w:rFonts w:cs="Times New Roman"/>
                <w:szCs w:val="20"/>
              </w:rPr>
              <w:t xml:space="preserve"> </w:t>
            </w:r>
            <w:r w:rsidR="00AC3345" w:rsidRPr="00E44BFB">
              <w:rPr>
                <w:rFonts w:cs="Times New Roman"/>
                <w:szCs w:val="20"/>
              </w:rPr>
              <w:fldChar w:fldCharType="begin" w:fldLock="1"/>
            </w:r>
            <w:r w:rsidR="002B6CB8" w:rsidRPr="00E44BFB">
              <w:rPr>
                <w:rFonts w:cs="Times New Roman"/>
                <w:szCs w:val="20"/>
              </w:rPr>
              <w:instrText>ADDIN CSL_CITATION {"citationItems":[{"id":"ITEM-1","itemData":{"URL":"https://www.countdown.co.nz/food-hub/healthy-hub/health-star-rating","accessed":{"date-parts":[["2020","1","31"]]},"author":[{"dropping-particle":"","family":"Countdown Supermarket","given":"","non-dropping-particle":"","parse-names":false,"suffix":""}],"id":"ITEM-1","issued":{"date-parts":[["2019"]]},"title":"Health Star Rating - Countdown","type":"webpage"},"uris":["http://www.mendeley.com/documents/?uuid=06afe5ff-b4b7-3ffd-88c1-c591f8383b93"]}],"mendeley":{"formattedCitation":"(48)","plainTextFormattedCitation":"(48)","previouslyFormattedCitation":"(48)"},"properties":{"noteIndex":0},"schema":"https://github.com/citation-style-language/schema/raw/master/csl-citation.json"}</w:instrText>
            </w:r>
            <w:r w:rsidR="00AC3345" w:rsidRPr="00E44BFB">
              <w:rPr>
                <w:rFonts w:cs="Times New Roman"/>
                <w:szCs w:val="20"/>
              </w:rPr>
              <w:fldChar w:fldCharType="separate"/>
            </w:r>
            <w:r w:rsidR="00A90C92" w:rsidRPr="00E44BFB">
              <w:rPr>
                <w:rFonts w:cs="Times New Roman"/>
                <w:noProof/>
                <w:szCs w:val="20"/>
              </w:rPr>
              <w:t>(48)</w:t>
            </w:r>
            <w:r w:rsidR="00AC3345" w:rsidRPr="00E44BFB">
              <w:rPr>
                <w:rFonts w:cs="Times New Roman"/>
                <w:szCs w:val="20"/>
              </w:rPr>
              <w:fldChar w:fldCharType="end"/>
            </w:r>
            <w:r w:rsidR="00130322" w:rsidRPr="0091450A">
              <w:rPr>
                <w:rFonts w:cs="Times New Roman"/>
                <w:szCs w:val="20"/>
              </w:rPr>
              <w:t xml:space="preserve"> have </w:t>
            </w:r>
            <w:r w:rsidR="00761A17" w:rsidRPr="0091450A">
              <w:rPr>
                <w:rFonts w:cs="Times New Roman"/>
                <w:szCs w:val="20"/>
              </w:rPr>
              <w:t xml:space="preserve">committed to having HSR on 100% of their private </w:t>
            </w:r>
            <w:r w:rsidR="00B42934" w:rsidRPr="0091450A">
              <w:rPr>
                <w:rFonts w:cs="Times New Roman"/>
                <w:szCs w:val="20"/>
              </w:rPr>
              <w:t>label products</w:t>
            </w:r>
            <w:r w:rsidR="00130322" w:rsidRPr="0091450A">
              <w:rPr>
                <w:rFonts w:cs="Times New Roman"/>
                <w:szCs w:val="20"/>
              </w:rPr>
              <w:t>.</w:t>
            </w:r>
          </w:p>
          <w:p w14:paraId="3D0571C7" w14:textId="77777777" w:rsidR="00706F41" w:rsidRDefault="00706F41" w:rsidP="00706F41">
            <w:pPr>
              <w:pStyle w:val="BodyText"/>
              <w:numPr>
                <w:ilvl w:val="0"/>
                <w:numId w:val="22"/>
              </w:numPr>
            </w:pPr>
            <w:r>
              <w:rPr>
                <w:rFonts w:cs="Times New Roman"/>
                <w:szCs w:val="20"/>
                <w:lang w:eastAsia="en-NZ"/>
              </w:rPr>
              <w:t xml:space="preserve">HPA commissioned </w:t>
            </w:r>
            <w:r w:rsidRPr="0091450A">
              <w:rPr>
                <w:rFonts w:cs="Times New Roman"/>
                <w:szCs w:val="20"/>
                <w:lang w:eastAsia="en-NZ"/>
              </w:rPr>
              <w:t xml:space="preserve">Colmar Brunton </w:t>
            </w:r>
            <w:r>
              <w:rPr>
                <w:rFonts w:cs="Times New Roman"/>
                <w:szCs w:val="20"/>
                <w:lang w:eastAsia="en-NZ"/>
              </w:rPr>
              <w:t>to conduct a baseline survey of</w:t>
            </w:r>
            <w:r w:rsidRPr="0091450A">
              <w:rPr>
                <w:rFonts w:cs="Times New Roman"/>
                <w:szCs w:val="20"/>
                <w:lang w:eastAsia="en-NZ"/>
              </w:rPr>
              <w:t xml:space="preserve"> grocery shoppers </w:t>
            </w:r>
            <w:r w:rsidRPr="00951156">
              <w:rPr>
                <w:rFonts w:cs="Times New Roman"/>
                <w:szCs w:val="20"/>
                <w:lang w:eastAsia="en-NZ"/>
              </w:rPr>
              <w:t>in 2015 to</w:t>
            </w:r>
            <w:r w:rsidRPr="0091450A">
              <w:rPr>
                <w:rFonts w:cs="Times New Roman"/>
                <w:szCs w:val="20"/>
                <w:lang w:eastAsia="en-NZ"/>
              </w:rPr>
              <w:t xml:space="preserve"> monitor awareness, recognition and correct use of HSR </w:t>
            </w:r>
            <w:r w:rsidRPr="0091450A">
              <w:rPr>
                <w:rFonts w:cs="Times New Roman"/>
                <w:szCs w:val="20"/>
                <w:lang w:eastAsia="en-NZ"/>
              </w:rPr>
              <w:fldChar w:fldCharType="begin" w:fldLock="1"/>
            </w:r>
            <w:r>
              <w:rPr>
                <w:rFonts w:cs="Times New Roman"/>
                <w:szCs w:val="20"/>
                <w:lang w:eastAsia="en-NZ"/>
              </w:rPr>
              <w:instrText>ADDIN CSL_CITATION {"citationItems":[{"id":"ITEM-1","itemData":{"URL":"http://www.hpa.org.nz/research-library/research-publications/health-star-rating-monitoring-and-evaluation","accessed":{"date-parts":[["2017","3","22"]]},"author":[{"dropping-particle":"","family":"Agency","given":"H.P","non-dropping-particle":"","parse-names":false,"suffix":""}],"id":"ITEM-1","issued":{"date-parts":[["2016"]]},"title":"Health Star Rating Monitoring and Evaluation","type":"webpage"},"uris":["http://www.mendeley.com/documents/?uuid=6da11bf4-6078-4686-9e7e-3831bdcd1be8","http://www.mendeley.com/documents/?uuid=3e8bf93e-4a82-48af-b098-38865b8e663a"]}],"mendeley":{"formattedCitation":"(49)","plainTextFormattedCitation":"(49)","previouslyFormattedCitation":"(49)"},"properties":{"noteIndex":0},"schema":"https://github.com/citation-style-language/schema/raw/master/csl-citation.json"}</w:instrText>
            </w:r>
            <w:r w:rsidRPr="0091450A">
              <w:rPr>
                <w:rFonts w:cs="Times New Roman"/>
                <w:szCs w:val="20"/>
                <w:lang w:eastAsia="en-NZ"/>
              </w:rPr>
              <w:fldChar w:fldCharType="separate"/>
            </w:r>
            <w:r w:rsidRPr="00A90C92">
              <w:rPr>
                <w:rFonts w:cs="Times New Roman"/>
                <w:noProof/>
                <w:szCs w:val="20"/>
                <w:lang w:eastAsia="en-NZ"/>
              </w:rPr>
              <w:t>(49)</w:t>
            </w:r>
            <w:r w:rsidRPr="0091450A">
              <w:rPr>
                <w:rFonts w:cs="Times New Roman"/>
                <w:szCs w:val="20"/>
                <w:lang w:eastAsia="en-NZ"/>
              </w:rPr>
              <w:fldChar w:fldCharType="end"/>
            </w:r>
            <w:r w:rsidRPr="0091450A">
              <w:rPr>
                <w:rFonts w:cs="Times New Roman"/>
                <w:szCs w:val="20"/>
                <w:lang w:eastAsia="en-NZ"/>
              </w:rPr>
              <w:t xml:space="preserve">. </w:t>
            </w:r>
          </w:p>
          <w:p w14:paraId="7F7D03A6" w14:textId="1FBE155D" w:rsidR="00706F41" w:rsidRDefault="00706F41" w:rsidP="00706F41">
            <w:pPr>
              <w:pStyle w:val="BodyText"/>
              <w:numPr>
                <w:ilvl w:val="0"/>
                <w:numId w:val="22"/>
              </w:numPr>
            </w:pPr>
            <w:r>
              <w:t>The Health Promotion Agency/</w:t>
            </w:r>
            <w:proofErr w:type="spellStart"/>
            <w:r>
              <w:t>Te</w:t>
            </w:r>
            <w:proofErr w:type="spellEnd"/>
            <w:r>
              <w:t xml:space="preserve"> </w:t>
            </w:r>
            <w:proofErr w:type="spellStart"/>
            <w:r>
              <w:t>Hiringa</w:t>
            </w:r>
            <w:proofErr w:type="spellEnd"/>
            <w:r>
              <w:t xml:space="preserve"> Hauora (HPA) worked with the Ministry for Primary Industries and the Ministry of Health to roll out a consumer awareness campaign, which began in March, 2016. The campaign ran until June 2018 and focused on raising consumer awareness, recognition and ease of HSR. It also included some messages to assist consumer understanding of HSR.  The campaign was part of a wider </w:t>
            </w:r>
            <w:proofErr w:type="spellStart"/>
            <w:r>
              <w:t>programme</w:t>
            </w:r>
            <w:proofErr w:type="spellEnd"/>
            <w:r>
              <w:t xml:space="preserve"> of work and communication to establish the HSR in New Zealand. Priority groups for the campaign were grocery shoppers in households with at least one child under the age of 14 years, with an emphasis on Māori, Pacific and </w:t>
            </w:r>
            <w:proofErr w:type="gramStart"/>
            <w:r>
              <w:t>low income</w:t>
            </w:r>
            <w:proofErr w:type="gramEnd"/>
            <w:r>
              <w:t xml:space="preserve"> families. (personal communication, HPA, 2020).</w:t>
            </w:r>
            <w:r w:rsidRPr="00706F41">
              <w:rPr>
                <w:rFonts w:cs="Times New Roman"/>
                <w:szCs w:val="20"/>
                <w:lang w:eastAsia="en-NZ"/>
              </w:rPr>
              <w:t xml:space="preserve"> HPA involvement in HSR ended in June 2018 following the publication of the monitoring and evaluation report</w:t>
            </w:r>
          </w:p>
          <w:p w14:paraId="6DE3D397" w14:textId="7C998270" w:rsidR="00761A17" w:rsidRPr="00706F41" w:rsidRDefault="00706F41" w:rsidP="00706F41">
            <w:pPr>
              <w:pStyle w:val="ListParagraph"/>
              <w:numPr>
                <w:ilvl w:val="0"/>
                <w:numId w:val="22"/>
              </w:numPr>
              <w:shd w:val="clear" w:color="auto" w:fill="FFFFFF" w:themeFill="background1"/>
              <w:spacing w:before="40" w:after="40"/>
              <w:ind w:left="284" w:hanging="284"/>
              <w:contextualSpacing w:val="0"/>
              <w:rPr>
                <w:rFonts w:cs="Times New Roman"/>
                <w:szCs w:val="20"/>
                <w:lang w:eastAsia="en-NZ"/>
              </w:rPr>
            </w:pPr>
            <w:r w:rsidRPr="00706F41">
              <w:rPr>
                <w:rFonts w:cs="Times New Roman"/>
                <w:szCs w:val="20"/>
                <w:lang w:eastAsia="en-NZ"/>
              </w:rPr>
              <w:t xml:space="preserve">Follow-up surveys occurred in 2017 and 2018. </w:t>
            </w:r>
            <w:r w:rsidR="00626D0C" w:rsidRPr="00706F41">
              <w:rPr>
                <w:rFonts w:cs="Times New Roman"/>
                <w:szCs w:val="20"/>
                <w:lang w:eastAsia="en-NZ"/>
              </w:rPr>
              <w:t xml:space="preserve">73% of shoppers </w:t>
            </w:r>
            <w:r>
              <w:rPr>
                <w:rFonts w:cs="Times New Roman"/>
                <w:szCs w:val="20"/>
                <w:lang w:eastAsia="en-NZ"/>
              </w:rPr>
              <w:t>considered</w:t>
            </w:r>
            <w:r w:rsidR="00626D0C" w:rsidRPr="00706F41">
              <w:rPr>
                <w:rFonts w:cs="Times New Roman"/>
                <w:szCs w:val="20"/>
                <w:lang w:eastAsia="en-NZ"/>
              </w:rPr>
              <w:t xml:space="preserve"> the advertisements were easy to </w:t>
            </w:r>
            <w:r w:rsidR="00C07725" w:rsidRPr="00706F41">
              <w:rPr>
                <w:rFonts w:cs="Times New Roman"/>
                <w:szCs w:val="20"/>
                <w:lang w:eastAsia="en-NZ"/>
              </w:rPr>
              <w:t xml:space="preserve">understand and </w:t>
            </w:r>
            <w:r w:rsidR="002F2F7B" w:rsidRPr="00706F41">
              <w:rPr>
                <w:rFonts w:cs="Times New Roman"/>
                <w:szCs w:val="20"/>
                <w:lang w:eastAsia="en-NZ"/>
              </w:rPr>
              <w:t xml:space="preserve">it was found that </w:t>
            </w:r>
            <w:r w:rsidR="00C07725" w:rsidRPr="00706F41">
              <w:rPr>
                <w:rFonts w:cs="Times New Roman"/>
                <w:szCs w:val="20"/>
                <w:lang w:eastAsia="en-NZ"/>
              </w:rPr>
              <w:t xml:space="preserve">the awareness of HSR </w:t>
            </w:r>
            <w:r w:rsidR="002F2F7B" w:rsidRPr="00706F41">
              <w:rPr>
                <w:rFonts w:cs="Times New Roman"/>
                <w:szCs w:val="20"/>
                <w:lang w:eastAsia="en-NZ"/>
              </w:rPr>
              <w:t xml:space="preserve">doubled </w:t>
            </w:r>
            <w:r w:rsidR="00C07725" w:rsidRPr="00706F41">
              <w:rPr>
                <w:rFonts w:cs="Times New Roman"/>
                <w:szCs w:val="20"/>
                <w:lang w:eastAsia="en-NZ"/>
              </w:rPr>
              <w:t>from 38% to 76%</w:t>
            </w:r>
            <w:r w:rsidR="00F04447" w:rsidRPr="00706F41">
              <w:rPr>
                <w:rFonts w:cs="Times New Roman"/>
                <w:szCs w:val="20"/>
                <w:lang w:eastAsia="en-NZ"/>
              </w:rPr>
              <w:t xml:space="preserve"> </w:t>
            </w:r>
            <w:r w:rsidR="002F2F7B" w:rsidRPr="00706F41">
              <w:rPr>
                <w:rFonts w:cs="Times New Roman"/>
                <w:szCs w:val="20"/>
                <w:lang w:eastAsia="en-NZ"/>
              </w:rPr>
              <w:fldChar w:fldCharType="begin" w:fldLock="1"/>
            </w:r>
            <w:r w:rsidR="002B6CB8" w:rsidRPr="00706F41">
              <w:rPr>
                <w:rFonts w:cs="Times New Roman"/>
                <w:szCs w:val="20"/>
                <w:lang w:eastAsia="en-NZ"/>
              </w:rPr>
              <w:instrText>ADDIN CSL_CITATION {"citationItems":[{"id":"ITEM-1","itemData":{"author":[{"dropping-particle":"","family":"Brunton","given":"Colmar","non-dropping-particle":"","parse-names":false,"suffix":""}],"id":"ITEM-1","issued":{"date-parts":[["2018"]]},"publisher-place":"Wellington","title":"2018 Health Star Rating monitoring and evaluation: Year 2 follow-up research report","type":"report"},"uris":["http://www.mendeley.com/documents/?uuid=16e2ff71-7e97-4e55-8952-69589621ab21","http://www.mendeley.com/documents/?uuid=22450115-2a71-4e09-9a7f-65a84ff85559"]}],"mendeley":{"formattedCitation":"(50)","plainTextFormattedCitation":"(50)","previouslyFormattedCitation":"(50)"},"properties":{"noteIndex":0},"schema":"https://github.com/citation-style-language/schema/raw/master/csl-citation.json"}</w:instrText>
            </w:r>
            <w:r w:rsidR="002F2F7B" w:rsidRPr="00706F41">
              <w:rPr>
                <w:rFonts w:cs="Times New Roman"/>
                <w:szCs w:val="20"/>
                <w:lang w:eastAsia="en-NZ"/>
              </w:rPr>
              <w:fldChar w:fldCharType="separate"/>
            </w:r>
            <w:r w:rsidR="00A90C92" w:rsidRPr="00706F41">
              <w:rPr>
                <w:rFonts w:cs="Times New Roman"/>
                <w:noProof/>
                <w:szCs w:val="20"/>
                <w:lang w:eastAsia="en-NZ"/>
              </w:rPr>
              <w:t>(50)</w:t>
            </w:r>
            <w:r w:rsidR="002F2F7B" w:rsidRPr="00706F41">
              <w:rPr>
                <w:rFonts w:cs="Times New Roman"/>
                <w:szCs w:val="20"/>
                <w:lang w:eastAsia="en-NZ"/>
              </w:rPr>
              <w:fldChar w:fldCharType="end"/>
            </w:r>
            <w:r w:rsidR="00761A17" w:rsidRPr="00706F41">
              <w:rPr>
                <w:rFonts w:cs="Times New Roman"/>
                <w:szCs w:val="20"/>
                <w:lang w:eastAsia="en-NZ"/>
              </w:rPr>
              <w:t>. HPA ha</w:t>
            </w:r>
            <w:r w:rsidR="004821F5" w:rsidRPr="00706F41">
              <w:rPr>
                <w:rFonts w:cs="Times New Roman"/>
                <w:szCs w:val="20"/>
                <w:lang w:eastAsia="en-NZ"/>
              </w:rPr>
              <w:t>s</w:t>
            </w:r>
            <w:r w:rsidR="00761A17" w:rsidRPr="00706F41">
              <w:rPr>
                <w:rFonts w:cs="Times New Roman"/>
                <w:szCs w:val="20"/>
                <w:lang w:eastAsia="en-NZ"/>
              </w:rPr>
              <w:t xml:space="preserve"> worked with </w:t>
            </w:r>
            <w:r w:rsidR="004821F5" w:rsidRPr="00706F41">
              <w:rPr>
                <w:rFonts w:cs="Times New Roman"/>
                <w:szCs w:val="20"/>
                <w:lang w:eastAsia="en-NZ"/>
              </w:rPr>
              <w:t xml:space="preserve">the </w:t>
            </w:r>
            <w:r w:rsidR="00761A17" w:rsidRPr="00706F41">
              <w:rPr>
                <w:rFonts w:cs="Times New Roman"/>
                <w:szCs w:val="20"/>
                <w:lang w:eastAsia="en-NZ"/>
              </w:rPr>
              <w:t xml:space="preserve">food industry and relevant </w:t>
            </w:r>
            <w:r w:rsidR="00B42934" w:rsidRPr="00706F41">
              <w:rPr>
                <w:rFonts w:cs="Times New Roman"/>
                <w:szCs w:val="20"/>
                <w:lang w:eastAsia="en-NZ"/>
              </w:rPr>
              <w:t xml:space="preserve">government agencies on </w:t>
            </w:r>
            <w:r w:rsidR="004821F5" w:rsidRPr="00706F41">
              <w:rPr>
                <w:rFonts w:cs="Times New Roman"/>
                <w:szCs w:val="20"/>
                <w:lang w:eastAsia="en-NZ"/>
              </w:rPr>
              <w:t xml:space="preserve">the </w:t>
            </w:r>
            <w:r w:rsidR="00B42934" w:rsidRPr="00706F41">
              <w:rPr>
                <w:rFonts w:cs="Times New Roman"/>
                <w:szCs w:val="20"/>
                <w:lang w:eastAsia="en-NZ"/>
              </w:rPr>
              <w:t>campaign</w:t>
            </w:r>
            <w:r w:rsidR="00761A17" w:rsidRPr="00706F41">
              <w:rPr>
                <w:rFonts w:cs="Times New Roman"/>
                <w:szCs w:val="20"/>
                <w:lang w:eastAsia="en-NZ"/>
              </w:rPr>
              <w:t xml:space="preserve"> </w:t>
            </w:r>
            <w:r w:rsidR="00B1136C" w:rsidRPr="00706F41">
              <w:rPr>
                <w:rFonts w:cs="Times New Roman"/>
                <w:szCs w:val="20"/>
                <w:lang w:eastAsia="en-NZ"/>
              </w:rPr>
              <w:fldChar w:fldCharType="begin" w:fldLock="1"/>
            </w:r>
            <w:r w:rsidR="002B6CB8" w:rsidRPr="00706F41">
              <w:rPr>
                <w:rFonts w:cs="Times New Roman"/>
                <w:szCs w:val="20"/>
                <w:lang w:eastAsia="en-NZ"/>
              </w:rPr>
              <w:instrText>ADDIN CSL_CITATION {"citationItems":[{"id":"ITEM-1","itemData":{"author":[{"dropping-particle":"","family":"Health Promotion Agency","given":"","non-dropping-particle":"","parse-names":false,"suffix":""}],"id":"ITEM-1","issued":{"date-parts":[["2016"]]},"publisher":"Health Promotion Agency","publisher-place":"Wellington","title":"2015/2016 Annual Report","type":"report"},"uris":["http://www.mendeley.com/documents/?uuid=1f19b474-c18a-336e-b785-dc46c066514c","http://www.mendeley.com/documents/?uuid=1c7dc6a1-2075-4c9c-9c93-aa11b90b57bf"]}],"mendeley":{"formattedCitation":"(51)","plainTextFormattedCitation":"(51)","previouslyFormattedCitation":"(51)"},"properties":{"noteIndex":0},"schema":"https://github.com/citation-style-language/schema/raw/master/csl-citation.json"}</w:instrText>
            </w:r>
            <w:r w:rsidR="00B1136C" w:rsidRPr="00706F41">
              <w:rPr>
                <w:rFonts w:cs="Times New Roman"/>
                <w:szCs w:val="20"/>
                <w:lang w:eastAsia="en-NZ"/>
              </w:rPr>
              <w:fldChar w:fldCharType="separate"/>
            </w:r>
            <w:r w:rsidR="00A90C92" w:rsidRPr="00706F41">
              <w:rPr>
                <w:rFonts w:cs="Times New Roman"/>
                <w:noProof/>
                <w:szCs w:val="20"/>
                <w:lang w:eastAsia="en-NZ"/>
              </w:rPr>
              <w:t>(51)</w:t>
            </w:r>
            <w:r w:rsidR="00B1136C" w:rsidRPr="00706F41">
              <w:rPr>
                <w:rFonts w:cs="Times New Roman"/>
                <w:szCs w:val="20"/>
                <w:lang w:eastAsia="en-NZ"/>
              </w:rPr>
              <w:fldChar w:fldCharType="end"/>
            </w:r>
            <w:r w:rsidR="00B1136C" w:rsidRPr="00706F41">
              <w:rPr>
                <w:rFonts w:cs="Times New Roman"/>
                <w:szCs w:val="20"/>
                <w:lang w:eastAsia="en-NZ"/>
              </w:rPr>
              <w:t>.</w:t>
            </w:r>
            <w:r w:rsidRPr="00706F41">
              <w:rPr>
                <w:rFonts w:cs="Times New Roman"/>
                <w:szCs w:val="20"/>
                <w:lang w:eastAsia="en-NZ"/>
              </w:rPr>
              <w:t xml:space="preserve"> </w:t>
            </w:r>
          </w:p>
          <w:p w14:paraId="0A76D4DD" w14:textId="68B34855" w:rsidR="00BE50EF" w:rsidRPr="00E44BFB" w:rsidRDefault="006650A4" w:rsidP="002D613F">
            <w:pPr>
              <w:pStyle w:val="ListParagraph"/>
              <w:numPr>
                <w:ilvl w:val="0"/>
                <w:numId w:val="22"/>
              </w:numPr>
              <w:spacing w:before="40" w:after="40"/>
              <w:ind w:left="284" w:hanging="284"/>
              <w:contextualSpacing w:val="0"/>
              <w:rPr>
                <w:rFonts w:cstheme="minorHAnsi"/>
                <w:color w:val="222222"/>
                <w:szCs w:val="20"/>
              </w:rPr>
            </w:pPr>
            <w:r w:rsidRPr="00E44BFB">
              <w:rPr>
                <w:rFonts w:cs="Times New Roman"/>
                <w:szCs w:val="20"/>
                <w:lang w:eastAsia="en-NZ"/>
              </w:rPr>
              <w:t xml:space="preserve">A two-year progress report on implementation was considered by the forum in 2017 (personal communication, FSANZ, 2020). </w:t>
            </w:r>
          </w:p>
          <w:p w14:paraId="108EEA26" w14:textId="02339324" w:rsidR="00D077ED" w:rsidRPr="0091450A" w:rsidRDefault="00BE50EF" w:rsidP="002D613F">
            <w:pPr>
              <w:pStyle w:val="ListParagraph"/>
              <w:numPr>
                <w:ilvl w:val="0"/>
                <w:numId w:val="22"/>
              </w:numPr>
              <w:spacing w:before="40" w:after="40"/>
              <w:ind w:left="284" w:hanging="284"/>
              <w:contextualSpacing w:val="0"/>
              <w:rPr>
                <w:rFonts w:cstheme="minorHAnsi"/>
                <w:color w:val="222222"/>
                <w:szCs w:val="20"/>
              </w:rPr>
            </w:pPr>
            <w:r>
              <w:rPr>
                <w:rFonts w:cs="Times New Roman"/>
                <w:szCs w:val="20"/>
                <w:lang w:eastAsia="en-NZ"/>
              </w:rPr>
              <w:t>A</w:t>
            </w:r>
            <w:r w:rsidR="00D077ED" w:rsidRPr="0091450A">
              <w:rPr>
                <w:rFonts w:cstheme="minorHAnsi"/>
                <w:szCs w:val="20"/>
              </w:rPr>
              <w:t xml:space="preserve"> five-year review </w:t>
            </w:r>
            <w:r>
              <w:rPr>
                <w:rFonts w:cstheme="minorHAnsi"/>
                <w:szCs w:val="20"/>
              </w:rPr>
              <w:t xml:space="preserve">was undertaken with public consultation in 2019. The </w:t>
            </w:r>
            <w:r w:rsidR="00D077ED" w:rsidRPr="0091450A">
              <w:rPr>
                <w:rFonts w:cstheme="minorHAnsi"/>
                <w:szCs w:val="20"/>
              </w:rPr>
              <w:t>report had ten recommendations for enhancing the HSR system</w:t>
            </w:r>
            <w:r w:rsidR="00332144">
              <w:rPr>
                <w:rFonts w:cstheme="minorHAnsi"/>
                <w:szCs w:val="20"/>
              </w:rPr>
              <w:t xml:space="preserve"> </w:t>
            </w:r>
            <w:r w:rsidR="00111C5D">
              <w:rPr>
                <w:rFonts w:cstheme="minorHAnsi"/>
                <w:szCs w:val="20"/>
              </w:rPr>
              <w:fldChar w:fldCharType="begin" w:fldLock="1"/>
            </w:r>
            <w:r w:rsidR="002B6CB8">
              <w:rPr>
                <w:rFonts w:cstheme="minorHAnsi"/>
                <w:szCs w:val="20"/>
              </w:rPr>
              <w:instrText>ADDIN CSL_CITATION {"citationItems":[{"id":"ITEM-1","itemData":{"author":[{"dropping-particle":"","family":"Regulation Standing Committee","given":"Food","non-dropping-particle":"","parse-names":false,"suffix":""}],"id":"ITEM-1","issued":{"date-parts":[["2019"]]},"title":"The Australia and New Zealand Ministerial Forum on Food Regulation response to the Health Star Rating System five year review","type":"report"},"uris":["http://www.mendeley.com/documents/?uuid=5814e7d4-799e-384e-a105-e37649cb3600"]}],"mendeley":{"formattedCitation":"(52)","plainTextFormattedCitation":"(52)","previouslyFormattedCitation":"(52)"},"properties":{"noteIndex":0},"schema":"https://github.com/citation-style-language/schema/raw/master/csl-citation.json"}</w:instrText>
            </w:r>
            <w:r w:rsidR="00111C5D">
              <w:rPr>
                <w:rFonts w:cstheme="minorHAnsi"/>
                <w:szCs w:val="20"/>
              </w:rPr>
              <w:fldChar w:fldCharType="separate"/>
            </w:r>
            <w:r w:rsidR="00A90C92" w:rsidRPr="00A90C92">
              <w:rPr>
                <w:rFonts w:cstheme="minorHAnsi"/>
                <w:noProof/>
                <w:szCs w:val="20"/>
              </w:rPr>
              <w:t>(52)</w:t>
            </w:r>
            <w:r w:rsidR="00111C5D">
              <w:rPr>
                <w:rFonts w:cstheme="minorHAnsi"/>
                <w:szCs w:val="20"/>
              </w:rPr>
              <w:fldChar w:fldCharType="end"/>
            </w:r>
            <w:r w:rsidR="00D077ED" w:rsidRPr="0091450A">
              <w:rPr>
                <w:rFonts w:cstheme="minorHAnsi"/>
                <w:szCs w:val="20"/>
              </w:rPr>
              <w:t xml:space="preserve">. The Forum Ministers agreed it should continue with some amendments. </w:t>
            </w:r>
            <w:r w:rsidR="00D077ED" w:rsidRPr="0091450A">
              <w:rPr>
                <w:rFonts w:cstheme="minorHAnsi"/>
                <w:color w:val="222222"/>
                <w:szCs w:val="20"/>
                <w:shd w:val="clear" w:color="auto" w:fill="FFFFFF"/>
              </w:rPr>
              <w:t xml:space="preserve">Forum ministers supported </w:t>
            </w:r>
            <w:r w:rsidR="00D71191" w:rsidRPr="0091450A">
              <w:rPr>
                <w:rFonts w:cstheme="minorHAnsi"/>
                <w:color w:val="222222"/>
                <w:szCs w:val="20"/>
                <w:shd w:val="clear" w:color="auto" w:fill="FFFFFF"/>
              </w:rPr>
              <w:t>many of</w:t>
            </w:r>
            <w:r w:rsidR="00D077ED" w:rsidRPr="0091450A">
              <w:rPr>
                <w:rFonts w:cstheme="minorHAnsi"/>
                <w:color w:val="222222"/>
                <w:szCs w:val="20"/>
                <w:shd w:val="clear" w:color="auto" w:fill="FFFFFF"/>
              </w:rPr>
              <w:t xml:space="preserve"> the recommendations, noting that some require funding support and will need to be considered further in the context of an implementation plan. </w:t>
            </w:r>
            <w:r w:rsidR="00D077ED" w:rsidRPr="0091450A">
              <w:rPr>
                <w:rFonts w:cstheme="minorHAnsi"/>
                <w:color w:val="222222"/>
                <w:szCs w:val="20"/>
              </w:rPr>
              <w:t>Forum Ministers noted that the intent of the system is for processed, packaged multi</w:t>
            </w:r>
            <w:r w:rsidR="004821F5">
              <w:rPr>
                <w:rFonts w:cstheme="minorHAnsi"/>
                <w:color w:val="222222"/>
                <w:szCs w:val="20"/>
              </w:rPr>
              <w:t>-</w:t>
            </w:r>
            <w:r w:rsidR="00D077ED" w:rsidRPr="0091450A">
              <w:rPr>
                <w:rFonts w:cstheme="minorHAnsi"/>
                <w:color w:val="222222"/>
                <w:szCs w:val="20"/>
              </w:rPr>
              <w:t xml:space="preserve">ingredient foods and discussed the role of the system in relation to fresh fruit and vegetables. It was noted and agreed that for some minimally processed foods such as canned and frozen fruits and vegetables having a </w:t>
            </w:r>
            <w:r w:rsidR="00D71191" w:rsidRPr="0091450A">
              <w:rPr>
                <w:rFonts w:cstheme="minorHAnsi"/>
                <w:color w:val="222222"/>
                <w:szCs w:val="20"/>
              </w:rPr>
              <w:t>5-star</w:t>
            </w:r>
            <w:r w:rsidR="00D077ED" w:rsidRPr="0091450A">
              <w:rPr>
                <w:rFonts w:cstheme="minorHAnsi"/>
                <w:color w:val="222222"/>
                <w:szCs w:val="20"/>
              </w:rPr>
              <w:t xml:space="preserve"> rating </w:t>
            </w:r>
            <w:r w:rsidR="00D077ED" w:rsidRPr="0091450A">
              <w:rPr>
                <w:rFonts w:cstheme="minorHAnsi"/>
                <w:color w:val="222222"/>
                <w:szCs w:val="20"/>
              </w:rPr>
              <w:lastRenderedPageBreak/>
              <w:t xml:space="preserve">may be beneficial to consumers. The Food Regulation Standing Committee (FRSC) will provide advice on the implementation of this recommendation including definitions for minimally processed fruits and </w:t>
            </w:r>
            <w:r w:rsidR="00D71191" w:rsidRPr="0091450A">
              <w:rPr>
                <w:rFonts w:cstheme="minorHAnsi"/>
                <w:color w:val="222222"/>
                <w:szCs w:val="20"/>
              </w:rPr>
              <w:t>vegetables. Forum</w:t>
            </w:r>
            <w:r w:rsidR="00D077ED" w:rsidRPr="0091450A">
              <w:rPr>
                <w:rFonts w:cstheme="minorHAnsi"/>
                <w:color w:val="222222"/>
                <w:szCs w:val="20"/>
              </w:rPr>
              <w:t xml:space="preserve"> Ministers support changes to the algorithm identified in recommendation 4b, c, and d subject to a peer review of the modelling of these changes by FSANZ and further advice from FRSC on sugars and sodium levels in the calculator.</w:t>
            </w:r>
            <w:r w:rsidR="00120F48" w:rsidRPr="0091450A">
              <w:rPr>
                <w:rFonts w:cs="Times New Roman"/>
                <w:szCs w:val="20"/>
                <w:lang w:eastAsia="en-NZ"/>
              </w:rPr>
              <w:t xml:space="preserve"> </w:t>
            </w:r>
            <w:r w:rsidR="00D7179B" w:rsidRPr="0091450A">
              <w:rPr>
                <w:rFonts w:cs="Times New Roman"/>
                <w:szCs w:val="20"/>
                <w:lang w:eastAsia="en-NZ"/>
              </w:rPr>
              <w:t xml:space="preserve">The review recommended that the HSR system continues as a voluntary system but with clear update targets set. If the HSR is not displayed on 70% of target products within five years, the HSR system should be mandated. The Ministerial Forum on Food Regulation agreed with this recommendation in principle. </w:t>
            </w:r>
            <w:r w:rsidR="00D7179B" w:rsidRPr="0091450A">
              <w:t xml:space="preserve"> </w:t>
            </w:r>
            <w:r w:rsidR="00F4474C" w:rsidRPr="0091450A">
              <w:rPr>
                <w:rFonts w:cstheme="minorHAnsi"/>
                <w:color w:val="222222"/>
                <w:szCs w:val="20"/>
              </w:rPr>
              <w:t>They also</w:t>
            </w:r>
            <w:r w:rsidR="00D077ED" w:rsidRPr="0091450A">
              <w:rPr>
                <w:rFonts w:cstheme="minorHAnsi"/>
                <w:color w:val="222222"/>
                <w:szCs w:val="20"/>
              </w:rPr>
              <w:t xml:space="preserve"> requested that FRSC consider the way edible oils are treated under the Health Star Rating system and provide technical advice on oils to the Forum in early 2020.</w:t>
            </w:r>
            <w:r w:rsidR="00D71191" w:rsidRPr="0091450A">
              <w:rPr>
                <w:rFonts w:cstheme="minorHAnsi"/>
                <w:color w:val="222222"/>
                <w:szCs w:val="20"/>
              </w:rPr>
              <w:t xml:space="preserve"> </w:t>
            </w:r>
            <w:r w:rsidR="00D077ED" w:rsidRPr="0091450A">
              <w:rPr>
                <w:rFonts w:cstheme="minorHAnsi"/>
                <w:color w:val="222222"/>
                <w:szCs w:val="20"/>
              </w:rPr>
              <w:t>Consideration of outstanding issues and an implementation plan for agreed changes to the Health Star Rating system will be considered by the Forum in early 2020</w:t>
            </w:r>
            <w:r w:rsidR="005A784A" w:rsidRPr="0091450A">
              <w:rPr>
                <w:rFonts w:cstheme="minorHAnsi"/>
                <w:color w:val="222222"/>
                <w:szCs w:val="20"/>
              </w:rPr>
              <w:t xml:space="preserve"> </w:t>
            </w:r>
            <w:r w:rsidR="00C66AC7" w:rsidRPr="0091450A">
              <w:rPr>
                <w:rFonts w:cstheme="minorHAnsi"/>
                <w:color w:val="222222"/>
                <w:szCs w:val="20"/>
              </w:rPr>
              <w:fldChar w:fldCharType="begin" w:fldLock="1"/>
            </w:r>
            <w:r w:rsidR="003F00FD">
              <w:rPr>
                <w:rFonts w:cstheme="minorHAnsi"/>
                <w:color w:val="222222"/>
                <w:szCs w:val="20"/>
              </w:rPr>
              <w:instrText>ADDIN CSL_CITATION {"citationItems":[{"id":"ITEM-1","itemData":{"author":[{"dropping-particle":"","family":"Australia and New Zealand Ministerial Forum on Food Regulation","given":"","non-dropping-particle":"","parse-names":false,"suffix":""}],"id":"ITEM-1","issued":{"date-parts":[["2019"]]},"publisher-place":"Christchurch","title":"Australia and New Zealand Ministerial Forum on Food Regulation Communique","type":"report"},"uris":["http://www.mendeley.com/documents/?uuid=015334a1-ff33-3488-92a6-1395c2948b76","http://www.mendeley.com/documents/?uuid=bff275db-5100-4a3d-8a7b-6edede67422b"]}],"mendeley":{"formattedCitation":"(53)","plainTextFormattedCitation":"(53)","previouslyFormattedCitation":"(53)"},"properties":{"noteIndex":0},"schema":"https://github.com/citation-style-language/schema/raw/master/csl-citation.json"}</w:instrText>
            </w:r>
            <w:r w:rsidR="00C66AC7" w:rsidRPr="0091450A">
              <w:rPr>
                <w:rFonts w:cstheme="minorHAnsi"/>
                <w:color w:val="222222"/>
                <w:szCs w:val="20"/>
              </w:rPr>
              <w:fldChar w:fldCharType="separate"/>
            </w:r>
            <w:r w:rsidR="00A90C92" w:rsidRPr="00A90C92">
              <w:rPr>
                <w:rFonts w:cstheme="minorHAnsi"/>
                <w:noProof/>
                <w:color w:val="222222"/>
                <w:szCs w:val="20"/>
              </w:rPr>
              <w:t>(53)</w:t>
            </w:r>
            <w:r w:rsidR="00C66AC7" w:rsidRPr="0091450A">
              <w:rPr>
                <w:rFonts w:cstheme="minorHAnsi"/>
                <w:color w:val="222222"/>
                <w:szCs w:val="20"/>
              </w:rPr>
              <w:fldChar w:fldCharType="end"/>
            </w:r>
            <w:r w:rsidR="00D077ED" w:rsidRPr="0091450A">
              <w:rPr>
                <w:rFonts w:cstheme="minorHAnsi"/>
                <w:color w:val="222222"/>
                <w:szCs w:val="20"/>
              </w:rPr>
              <w:t>.</w:t>
            </w:r>
          </w:p>
          <w:p w14:paraId="3BC05FE1" w14:textId="032C78C5" w:rsidR="003D43E4" w:rsidRPr="00E44BFB" w:rsidRDefault="003D43E4" w:rsidP="002D613F">
            <w:pPr>
              <w:pStyle w:val="ListParagraph"/>
              <w:numPr>
                <w:ilvl w:val="0"/>
                <w:numId w:val="22"/>
              </w:numPr>
              <w:spacing w:before="40" w:after="40"/>
              <w:ind w:left="284" w:hanging="284"/>
              <w:contextualSpacing w:val="0"/>
              <w:rPr>
                <w:rFonts w:cstheme="minorHAnsi"/>
                <w:color w:val="222222"/>
                <w:szCs w:val="20"/>
              </w:rPr>
            </w:pPr>
            <w:r w:rsidRPr="00E44BFB">
              <w:rPr>
                <w:rFonts w:eastAsia="Times New Roman" w:cs="Times New Roman"/>
                <w:szCs w:val="20"/>
                <w:lang w:eastAsia="en-NZ"/>
              </w:rPr>
              <w:t>The Government response to the Food Industry Taskforce on addressing factors contributing to obesity prioritised the recommendation for the food industry to encourage adoption of the outcomes of the Australia NZ Ministerial Forum on Food Regulation</w:t>
            </w:r>
            <w:r w:rsidR="00111C5D" w:rsidRPr="00E44BFB">
              <w:rPr>
                <w:rFonts w:eastAsia="Times New Roman" w:cs="Times New Roman"/>
                <w:szCs w:val="20"/>
                <w:lang w:eastAsia="en-NZ"/>
              </w:rPr>
              <w:t xml:space="preserve"> </w:t>
            </w:r>
            <w:r w:rsidR="00111C5D" w:rsidRPr="00E44BFB">
              <w:rPr>
                <w:rFonts w:eastAsia="Times New Roman" w:cs="Times New Roman"/>
                <w:szCs w:val="20"/>
                <w:lang w:eastAsia="en-NZ"/>
              </w:rPr>
              <w:fldChar w:fldCharType="begin" w:fldLock="1"/>
            </w:r>
            <w:r w:rsidR="002B6CB8" w:rsidRPr="00E44BFB">
              <w:rPr>
                <w:rFonts w:eastAsia="Times New Roman" w:cs="Times New Roman"/>
                <w:szCs w:val="20"/>
                <w:lang w:eastAsia="en-NZ"/>
              </w:rPr>
              <w:instrText>ADDIN CSL_CITATION {"citationItems":[{"id":"ITEM-1","itemData":{"author":[{"dropping-particle":"","family":"Clark","given":"David Hon Dr.","non-dropping-particle":"","parse-names":false,"suffix":""},{"dropping-particle":"","family":"O'Connor","given":"Damien Hon Dr.","non-dropping-particle":"","parse-names":false,"suffix":""}],"id":"ITEM-1","issued":{"date-parts":[["2018"]]},"publisher-place":"Wellington","title":"Government response to the Food Industry Taskforce's Report ","type":"report"},"uris":["http://www.mendeley.com/documents/?uuid=9b109c6f-0d98-3e1b-8d64-988917887f1f"]}],"mendeley":{"formattedCitation":"(28)","plainTextFormattedCitation":"(28)","previouslyFormattedCitation":"(28)"},"properties":{"noteIndex":0},"schema":"https://github.com/citation-style-language/schema/raw/master/csl-citation.json"}</w:instrText>
            </w:r>
            <w:r w:rsidR="00111C5D" w:rsidRPr="00E44BFB">
              <w:rPr>
                <w:rFonts w:eastAsia="Times New Roman" w:cs="Times New Roman"/>
                <w:szCs w:val="20"/>
                <w:lang w:eastAsia="en-NZ"/>
              </w:rPr>
              <w:fldChar w:fldCharType="separate"/>
            </w:r>
            <w:r w:rsidR="00A90C92" w:rsidRPr="00E44BFB">
              <w:rPr>
                <w:rFonts w:eastAsia="Times New Roman" w:cs="Times New Roman"/>
                <w:noProof/>
                <w:szCs w:val="20"/>
                <w:lang w:eastAsia="en-NZ"/>
              </w:rPr>
              <w:t>(28)</w:t>
            </w:r>
            <w:r w:rsidR="00111C5D" w:rsidRPr="00E44BFB">
              <w:rPr>
                <w:rFonts w:eastAsia="Times New Roman" w:cs="Times New Roman"/>
                <w:szCs w:val="20"/>
                <w:lang w:eastAsia="en-NZ"/>
              </w:rPr>
              <w:fldChar w:fldCharType="end"/>
            </w:r>
            <w:r w:rsidRPr="00E44BFB">
              <w:rPr>
                <w:rFonts w:eastAsia="Times New Roman" w:cs="Times New Roman"/>
                <w:szCs w:val="20"/>
                <w:lang w:eastAsia="en-NZ"/>
              </w:rPr>
              <w:t>.</w:t>
            </w:r>
          </w:p>
          <w:p w14:paraId="51D51B2C" w14:textId="77777777" w:rsidR="008A158E" w:rsidRPr="0091450A" w:rsidRDefault="008A158E" w:rsidP="002D613F">
            <w:pPr>
              <w:shd w:val="clear" w:color="auto" w:fill="FFFFFF" w:themeFill="background1"/>
              <w:spacing w:before="40" w:after="40"/>
              <w:jc w:val="both"/>
            </w:pPr>
          </w:p>
          <w:p w14:paraId="6F2C9D91" w14:textId="382D5C51"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5FB03B70" w14:textId="4A2528B8" w:rsidR="00012F98" w:rsidRPr="0091450A" w:rsidRDefault="00012F98" w:rsidP="002D613F">
            <w:pPr>
              <w:pStyle w:val="ListParagraph"/>
              <w:keepNext/>
              <w:numPr>
                <w:ilvl w:val="0"/>
                <w:numId w:val="54"/>
              </w:numPr>
              <w:spacing w:before="40" w:after="40"/>
              <w:ind w:left="284" w:hanging="284"/>
              <w:contextualSpacing w:val="0"/>
              <w:rPr>
                <w:rFonts w:eastAsia="Times New Roman" w:cs="Times New Roman"/>
                <w:lang w:eastAsia="en-NZ"/>
              </w:rPr>
            </w:pPr>
            <w:r w:rsidRPr="0091450A">
              <w:rPr>
                <w:rFonts w:eastAsia="Times New Roman" w:cs="Times New Roman"/>
                <w:b/>
                <w:lang w:eastAsia="en-NZ"/>
              </w:rPr>
              <w:t>Australia/New Zealand</w:t>
            </w:r>
            <w:r w:rsidRPr="0091450A">
              <w:rPr>
                <w:rFonts w:eastAsia="Times New Roman" w:cs="Times New Roman"/>
                <w:lang w:eastAsia="en-NZ"/>
              </w:rPr>
              <w:t xml:space="preserve">:  The government approved a 'Health Star Rating' (HSR) system as a voluntary scheme for industry adoption. The system </w:t>
            </w:r>
            <w:r w:rsidR="008B77AD" w:rsidRPr="0091450A">
              <w:rPr>
                <w:rFonts w:eastAsia="Times New Roman" w:cs="Times New Roman"/>
                <w:lang w:eastAsia="en-NZ"/>
              </w:rPr>
              <w:t>considers</w:t>
            </w:r>
            <w:r w:rsidRPr="0091450A">
              <w:rPr>
                <w:rFonts w:eastAsia="Times New Roman" w:cs="Times New Roman"/>
                <w:lang w:eastAsia="en-NZ"/>
              </w:rPr>
              <w:t xml:space="preserve"> four aspects of food associated with increas</w:t>
            </w:r>
            <w:r w:rsidR="004821F5">
              <w:rPr>
                <w:rFonts w:eastAsia="Times New Roman" w:cs="Times New Roman"/>
                <w:lang w:eastAsia="en-NZ"/>
              </w:rPr>
              <w:t>ed</w:t>
            </w:r>
            <w:r w:rsidRPr="0091450A">
              <w:rPr>
                <w:rFonts w:eastAsia="Times New Roman" w:cs="Times New Roman"/>
                <w:lang w:eastAsia="en-NZ"/>
              </w:rPr>
              <w:t xml:space="preserve"> risk for chronic diseases; energy, saturated fat, sodium and total sugars content along with certain 'positive' aspects of food such as fruit and vegetable content, and in some instances, dietary fibre and protein content. Star ratings range from ½ star (least healthy) to 5 stars (most healthy). Implementation of the HSR system began in June 2014 and is overseen by the Australia and New Zealand Ministerial Forum on Food Regulation, the Front-of-Pack Labelling Steering Committee, the Trans-Tasman Health Star Rating Advisory Committee, the New Zealand Health Star Rating Advisory Group and a </w:t>
            </w:r>
            <w:r w:rsidR="4A6AD59F" w:rsidRPr="0091450A">
              <w:rPr>
                <w:rFonts w:eastAsia="Times New Roman" w:cs="Times New Roman"/>
                <w:lang w:eastAsia="en-NZ"/>
              </w:rPr>
              <w:t>Technical Advisory Group</w:t>
            </w:r>
            <w:r w:rsidRPr="0091450A">
              <w:rPr>
                <w:rFonts w:eastAsia="Times New Roman" w:cs="Times New Roman"/>
                <w:lang w:eastAsia="en-NZ"/>
              </w:rPr>
              <w:t xml:space="preserve"> </w:t>
            </w:r>
            <w:r w:rsidR="00DC28B0" w:rsidRPr="0091450A">
              <w:rPr>
                <w:rFonts w:eastAsia="Times New Roman" w:cs="Times New Roman"/>
                <w:lang w:eastAsia="en-NZ"/>
              </w:rPr>
              <w:fldChar w:fldCharType="begin" w:fldLock="1"/>
            </w:r>
            <w:r w:rsidR="002B6CB8">
              <w:rPr>
                <w:rFonts w:eastAsia="Times New Roman" w:cs="Times New Roman"/>
                <w:szCs w:val="20"/>
                <w:lang w:eastAsia="en-NZ"/>
              </w:rPr>
              <w:instrText>ADDIN CSL_CITATION {"citationItems":[{"id":"ITEM-1","itemData":{"URL":"http://healthstarrating.gov.au/internet/healthstarrating/publishing.nsf/content/home","author":[{"dropping-particle":"","family":"Commonwealth of Australia","given":"","non-dropping-particle":"","parse-names":false,"suffix":""}],"id":"ITEM-1","issue":"22/02/2016","issued":{"date-parts":[["2016"]]},"title":"Health Star Rating System","type":"webpage"},"uris":["http://www.mendeley.com/documents/?uuid=3e5e90c5-78b1-397b-bfc1-b258ab6705ba","http://www.mendeley.com/documents/?uuid=a063fcf6-256a-4800-9e66-39229ae5a11d"]}],"mendeley":{"formattedCitation":"(54)","plainTextFormattedCitation":"(54)","previouslyFormattedCitation":"(54)"},"properties":{"noteIndex":0},"schema":"https://github.com/citation-style-language/schema/raw/master/csl-citation.json"}</w:instrText>
            </w:r>
            <w:r w:rsidR="00DC28B0" w:rsidRPr="0091450A">
              <w:rPr>
                <w:rFonts w:eastAsia="Times New Roman" w:cs="Times New Roman"/>
                <w:lang w:eastAsia="en-NZ"/>
              </w:rPr>
              <w:fldChar w:fldCharType="separate"/>
            </w:r>
            <w:r w:rsidR="00A90C92" w:rsidRPr="00A90C92">
              <w:rPr>
                <w:rFonts w:eastAsia="Times New Roman" w:cs="Times New Roman"/>
                <w:noProof/>
                <w:szCs w:val="20"/>
                <w:lang w:eastAsia="en-NZ"/>
              </w:rPr>
              <w:t>(54)</w:t>
            </w:r>
            <w:r w:rsidR="00DC28B0" w:rsidRPr="0091450A">
              <w:rPr>
                <w:rFonts w:eastAsia="Times New Roman" w:cs="Times New Roman"/>
                <w:lang w:eastAsia="en-NZ"/>
              </w:rPr>
              <w:fldChar w:fldCharType="end"/>
            </w:r>
            <w:r w:rsidR="00DC28B0" w:rsidRPr="0091450A">
              <w:rPr>
                <w:rFonts w:eastAsia="Times New Roman" w:cs="Times New Roman"/>
                <w:lang w:eastAsia="en-NZ"/>
              </w:rPr>
              <w:t>.</w:t>
            </w:r>
          </w:p>
          <w:p w14:paraId="2303C52A" w14:textId="654CD49E" w:rsidR="00516FCD" w:rsidRDefault="00C537E8" w:rsidP="002D613F">
            <w:pPr>
              <w:pStyle w:val="ListParagraph"/>
              <w:numPr>
                <w:ilvl w:val="0"/>
                <w:numId w:val="54"/>
              </w:numPr>
              <w:jc w:val="both"/>
              <w:rPr>
                <w:color w:val="000000" w:themeColor="text1"/>
              </w:rPr>
            </w:pPr>
            <w:r w:rsidRPr="007159FF">
              <w:rPr>
                <w:rFonts w:cstheme="minorHAnsi"/>
                <w:b/>
              </w:rPr>
              <w:t xml:space="preserve">France/ Belgium/Germany/Spain: </w:t>
            </w:r>
            <w:r w:rsidRPr="007159FF">
              <w:rPr>
                <w:rFonts w:cstheme="minorHAnsi"/>
              </w:rPr>
              <w:t xml:space="preserve">Since October 2017, the five-colour </w:t>
            </w:r>
            <w:proofErr w:type="spellStart"/>
            <w:r w:rsidRPr="007159FF">
              <w:rPr>
                <w:rFonts w:cstheme="minorHAnsi"/>
              </w:rPr>
              <w:t>NutriScore</w:t>
            </w:r>
            <w:proofErr w:type="spellEnd"/>
            <w:r w:rsidRPr="007159FF">
              <w:rPr>
                <w:rFonts w:cstheme="minorHAnsi"/>
              </w:rPr>
              <w:t>, the official voluntary label for France has been implemented as the official, voluntary FOP scheme in four European countries. It aims to limit the consumption of foods high in energy, saturated fats, sugar or salt, in the context of an overall improvement in the nutritional quality of diets.</w:t>
            </w:r>
            <w:r w:rsidRPr="007159FF">
              <w:rPr>
                <w:rFonts w:cstheme="minorHAnsi"/>
                <w:color w:val="000000" w:themeColor="text1"/>
              </w:rPr>
              <w:t xml:space="preserve"> </w:t>
            </w:r>
            <w:r w:rsidRPr="007159FF">
              <w:rPr>
                <w:color w:val="000000" w:themeColor="text1"/>
              </w:rPr>
              <w:t xml:space="preserve">Based on a scientific algorithm, each product is given a score based on the content of the nutrients of concern (energy value and the </w:t>
            </w:r>
            <w:r w:rsidR="00363671">
              <w:rPr>
                <w:color w:val="000000" w:themeColor="text1"/>
              </w:rPr>
              <w:t>number</w:t>
            </w:r>
            <w:r w:rsidRPr="007159FF">
              <w:rPr>
                <w:color w:val="000000" w:themeColor="text1"/>
              </w:rPr>
              <w:t xml:space="preserve"> of sugars, saturated fats and salt) and positive ones (the amount of fibre, protein, fruit, vegetables and nuts</w:t>
            </w:r>
            <w:r w:rsidR="00CF4D1E" w:rsidRPr="0091450A">
              <w:rPr>
                <w:color w:val="000000" w:themeColor="text1"/>
              </w:rPr>
              <w:t xml:space="preserve">) </w:t>
            </w:r>
            <w:r w:rsidR="00CF4D1E" w:rsidRPr="0091450A">
              <w:rPr>
                <w:color w:val="000000" w:themeColor="text1"/>
              </w:rPr>
              <w:fldChar w:fldCharType="begin" w:fldLock="1"/>
            </w:r>
            <w:r w:rsidR="002B6CB8">
              <w:rPr>
                <w:color w:val="000000" w:themeColor="text1"/>
              </w:rPr>
              <w:instrText>ADDIN CSL_CITATION {"citationItems":[{"id":"ITEM-1","itemData":{"author":[{"dropping-particle":"","family":"World Health Organization","given":"","non-dropping-particle":"","parse-names":false,"suffix":""}],"id":"ITEM-1","issued":{"date-parts":[["2017"]]},"title":"France becomes one of the first countries in Region to recommend colour-coded front-of-pack nutrition labelling system.","type":"report"},"uris":["http://www.mendeley.com/documents/?uuid=40ce7b47-c1a0-4139-9727-35f45d6cac4d"]},{"id":"ITEM-2","itemData":{"author":[{"dropping-particle":"","family":"Colruyt Group","given":"","non-dropping-particle":"","parse-names":false,"suffix":""}],"id":"ITEM-2","issued":{"date-parts":[["2018"]]},"title":"What is the Nutri-Score? [online]","type":"article-journal"},"uris":["http://www.mendeley.com/documents/?uuid=ca9d8cfd-0997-4bef-b0ca-a735d9a68912"]},{"id":"ITEM-3","itemData":{"author":[{"dropping-particle":"","family":"Chantal","given":"Julia","non-dropping-particle":"","parse-names":false,"suffix":""}],"id":"ITEM-3","issued":{"date-parts":[["2017"]]},"title":"Development of a new front-of-pack nutrition label in France: the five colour Nutri-Score","type":"article-journal"},"uris":["http://www.mendeley.com/documents/?uuid=8087b369-45de-4b2c-9d7a-f76506b3f3d5"]}],"mendeley":{"formattedCitation":"(55–57)","plainTextFormattedCitation":"(55–57)","previouslyFormattedCitation":"(55–57)"},"properties":{"noteIndex":0},"schema":"https://github.com/citation-style-language/schema/raw/master/csl-citation.json"}</w:instrText>
            </w:r>
            <w:r w:rsidR="00CF4D1E" w:rsidRPr="0091450A">
              <w:rPr>
                <w:color w:val="000000" w:themeColor="text1"/>
              </w:rPr>
              <w:fldChar w:fldCharType="separate"/>
            </w:r>
            <w:r w:rsidR="00A90C92" w:rsidRPr="00A90C92">
              <w:rPr>
                <w:noProof/>
                <w:color w:val="000000" w:themeColor="text1"/>
              </w:rPr>
              <w:t>(55–57)</w:t>
            </w:r>
            <w:r w:rsidR="00CF4D1E" w:rsidRPr="0091450A">
              <w:rPr>
                <w:color w:val="000000" w:themeColor="text1"/>
              </w:rPr>
              <w:fldChar w:fldCharType="end"/>
            </w:r>
            <w:r w:rsidRPr="007159FF">
              <w:rPr>
                <w:color w:val="000000" w:themeColor="text1"/>
              </w:rPr>
              <w:t xml:space="preserve">.  The system was developed by the Nutritional Epidemiology </w:t>
            </w:r>
            <w:r w:rsidR="00363671">
              <w:rPr>
                <w:color w:val="000000" w:themeColor="text1"/>
              </w:rPr>
              <w:t>R</w:t>
            </w:r>
            <w:r w:rsidRPr="007159FF">
              <w:rPr>
                <w:color w:val="000000" w:themeColor="text1"/>
              </w:rPr>
              <w:t>esearch Team at the University of Paris</w:t>
            </w:r>
            <w:r w:rsidR="00CC091D" w:rsidRPr="007159FF">
              <w:rPr>
                <w:color w:val="000000" w:themeColor="text1"/>
              </w:rPr>
              <w:t xml:space="preserve"> as shown below:</w:t>
            </w:r>
            <w:r w:rsidR="00516FCD">
              <w:rPr>
                <w:color w:val="000000" w:themeColor="text1"/>
              </w:rPr>
              <w:t xml:space="preserve"> </w:t>
            </w:r>
          </w:p>
          <w:p w14:paraId="13BE6A19" w14:textId="0E98082B" w:rsidR="00516FCD" w:rsidRDefault="00C537E8" w:rsidP="002D613F">
            <w:pPr>
              <w:pStyle w:val="ListParagraph"/>
              <w:ind w:left="360"/>
              <w:jc w:val="both"/>
              <w:rPr>
                <w:b/>
                <w:color w:val="000000" w:themeColor="text1"/>
                <w:u w:val="single"/>
              </w:rPr>
            </w:pPr>
            <w:r w:rsidRPr="007159FF">
              <w:rPr>
                <w:b/>
                <w:color w:val="000000" w:themeColor="text1"/>
                <w:u w:val="single"/>
              </w:rPr>
              <w:t>Table</w:t>
            </w:r>
            <w:r w:rsidR="00FC0F86" w:rsidRPr="007159FF">
              <w:rPr>
                <w:b/>
                <w:color w:val="000000" w:themeColor="text1"/>
                <w:u w:val="single"/>
              </w:rPr>
              <w:t xml:space="preserve"> </w:t>
            </w:r>
            <w:r w:rsidRPr="007159FF">
              <w:rPr>
                <w:b/>
                <w:color w:val="000000" w:themeColor="text1"/>
                <w:u w:val="single"/>
              </w:rPr>
              <w:t xml:space="preserve">1: The Nutri-Score </w:t>
            </w:r>
            <w:r w:rsidR="00447027" w:rsidRPr="007159FF">
              <w:rPr>
                <w:b/>
                <w:color w:val="000000" w:themeColor="text1"/>
                <w:u w:val="single"/>
              </w:rPr>
              <w:fldChar w:fldCharType="begin" w:fldLock="1"/>
            </w:r>
            <w:r w:rsidR="002B6CB8">
              <w:rPr>
                <w:b/>
                <w:color w:val="000000" w:themeColor="text1"/>
                <w:u w:val="single"/>
              </w:rPr>
              <w:instrText>ADDIN CSL_CITATION {"citationItems":[{"id":"ITEM-1","itemData":{"author":[{"dropping-particle":"","family":"Colruyt Group","given":"","non-dropping-particle":"","parse-names":false,"suffix":""}],"id":"ITEM-1","issued":{"date-parts":[["2018"]]},"title":"What is the Nutri-Score? [online]","type":"article-journal"},"uris":["http://www.mendeley.com/documents/?uuid=ca9d8cfd-0997-4bef-b0ca-a735d9a68912"]}],"mendeley":{"formattedCitation":"(56)","plainTextFormattedCitation":"(56)","previouslyFormattedCitation":"(56)"},"properties":{"noteIndex":0},"schema":"https://github.com/citation-style-language/schema/raw/master/csl-citation.json"}</w:instrText>
            </w:r>
            <w:r w:rsidR="00447027" w:rsidRPr="007159FF">
              <w:rPr>
                <w:b/>
                <w:color w:val="000000" w:themeColor="text1"/>
                <w:u w:val="single"/>
              </w:rPr>
              <w:fldChar w:fldCharType="separate"/>
            </w:r>
            <w:r w:rsidR="00A90C92" w:rsidRPr="00A90C92">
              <w:rPr>
                <w:noProof/>
                <w:color w:val="000000" w:themeColor="text1"/>
              </w:rPr>
              <w:t>(56)</w:t>
            </w:r>
            <w:r w:rsidR="00447027" w:rsidRPr="007159FF">
              <w:rPr>
                <w:b/>
                <w:color w:val="000000" w:themeColor="text1"/>
                <w:u w:val="single"/>
              </w:rPr>
              <w:fldChar w:fldCharType="end"/>
            </w:r>
          </w:p>
          <w:p w14:paraId="044D1C7E" w14:textId="77777777" w:rsidR="00516FCD" w:rsidRPr="00516FCD" w:rsidRDefault="00516FCD" w:rsidP="002D613F">
            <w:pPr>
              <w:pStyle w:val="ListParagraph"/>
              <w:ind w:left="360"/>
              <w:jc w:val="both"/>
              <w:rPr>
                <w:color w:val="000000" w:themeColor="text1"/>
              </w:rPr>
            </w:pPr>
          </w:p>
          <w:p w14:paraId="65B38830" w14:textId="1D4ABB08" w:rsidR="00516FCD" w:rsidRDefault="00516FCD" w:rsidP="002D613F">
            <w:pPr>
              <w:jc w:val="center"/>
              <w:rPr>
                <w:color w:val="000000" w:themeColor="text1"/>
              </w:rPr>
            </w:pPr>
            <w:r w:rsidRPr="0091450A">
              <w:rPr>
                <w:noProof/>
                <w:lang w:eastAsia="zh-CN"/>
              </w:rPr>
              <w:drawing>
                <wp:inline distT="0" distB="0" distL="0" distR="0" wp14:anchorId="0363DF94" wp14:editId="09634C3B">
                  <wp:extent cx="3905250" cy="1400175"/>
                  <wp:effectExtent l="0" t="0" r="0" b="9525"/>
                  <wp:docPr id="18662327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905250" cy="1400175"/>
                          </a:xfrm>
                          <a:prstGeom prst="rect">
                            <a:avLst/>
                          </a:prstGeom>
                        </pic:spPr>
                      </pic:pic>
                    </a:graphicData>
                  </a:graphic>
                </wp:inline>
              </w:drawing>
            </w:r>
          </w:p>
          <w:p w14:paraId="56F5F0A8" w14:textId="77777777" w:rsidR="00516FCD" w:rsidRPr="00516FCD" w:rsidRDefault="00516FCD" w:rsidP="002D613F">
            <w:pPr>
              <w:jc w:val="center"/>
              <w:rPr>
                <w:color w:val="000000" w:themeColor="text1"/>
                <w:sz w:val="12"/>
              </w:rPr>
            </w:pPr>
          </w:p>
          <w:p w14:paraId="233E3057" w14:textId="55E5013C" w:rsidR="00F8421C" w:rsidRPr="00516FCD" w:rsidRDefault="00516FCD" w:rsidP="002D613F">
            <w:pPr>
              <w:pStyle w:val="ListParagraph"/>
              <w:numPr>
                <w:ilvl w:val="0"/>
                <w:numId w:val="54"/>
              </w:numPr>
              <w:jc w:val="both"/>
              <w:rPr>
                <w:color w:val="000000" w:themeColor="text1"/>
              </w:rPr>
            </w:pPr>
            <w:r>
              <w:rPr>
                <w:b/>
                <w:bCs/>
                <w:lang w:eastAsia="en-NZ"/>
              </w:rPr>
              <w:t>C</w:t>
            </w:r>
            <w:r w:rsidR="5AC0CDEF" w:rsidRPr="007159FF">
              <w:rPr>
                <w:b/>
                <w:bCs/>
                <w:lang w:eastAsia="en-NZ"/>
              </w:rPr>
              <w:t>hile:</w:t>
            </w:r>
            <w:r w:rsidR="5AC0CDEF" w:rsidRPr="007159FF">
              <w:rPr>
                <w:lang w:eastAsia="en-NZ"/>
              </w:rPr>
              <w:t xml:space="preserve"> In 2012, the Chilean Government approved a Law of Nutritional Composition of Food and Advertising (Ley 20, 606) </w:t>
            </w:r>
            <w:r w:rsidR="00F8421C" w:rsidRPr="007159FF">
              <w:rPr>
                <w:lang w:eastAsia="en-NZ"/>
              </w:rPr>
              <w:fldChar w:fldCharType="begin" w:fldLock="1"/>
            </w:r>
            <w:r w:rsidR="002B6CB8">
              <w:rPr>
                <w:lang w:eastAsia="en-NZ"/>
              </w:rPr>
              <w:instrText>ADDIN CSL_CITATION {"citationItems":[{"id":"ITEM-1","itemData":{"URL":"http://www.dinta.cl/wp-dintacl/wp-content/uploads/Decreto-13_Ley-super8_do-20150626.pdf","author":[{"dropping-particle":"","family":"Diario Oficial de La Republica de Chile","given":"","non-dropping-particle":"","parse-names":false,"suffix":""}],"id":"ITEM-1","issue":"16/06/2016","issued":{"date-parts":[["2015"]]},"title":"Decreto 13 – Reglamento Ley 20.606 sobre Composición Nutricional de los Alimentos y su Publicidad","type":"webpage"},"uris":["http://www.mendeley.com/documents/?uuid=44d2b51e-ccc7-306c-8606-03160c5d05b6","http://www.mendeley.com/documents/?uuid=4f5f4f84-9b1c-4e62-876f-2bf1ac0eb255"]}],"mendeley":{"formattedCitation":"(58)","plainTextFormattedCitation":"(58)","previouslyFormattedCitation":"(58)"},"properties":{"noteIndex":0},"schema":"https://github.com/citation-style-language/schema/raw/master/csl-citation.json"}</w:instrText>
            </w:r>
            <w:r w:rsidR="00F8421C" w:rsidRPr="007159FF">
              <w:rPr>
                <w:lang w:eastAsia="en-NZ"/>
              </w:rPr>
              <w:fldChar w:fldCharType="separate"/>
            </w:r>
            <w:r w:rsidR="00A90C92" w:rsidRPr="00A90C92">
              <w:rPr>
                <w:noProof/>
                <w:lang w:eastAsia="en-NZ"/>
              </w:rPr>
              <w:t>(58)</w:t>
            </w:r>
            <w:r w:rsidR="00F8421C" w:rsidRPr="007159FF">
              <w:rPr>
                <w:lang w:eastAsia="en-NZ"/>
              </w:rPr>
              <w:fldChar w:fldCharType="end"/>
            </w:r>
            <w:r w:rsidR="5AC0CDEF" w:rsidRPr="007159FF">
              <w:rPr>
                <w:lang w:eastAsia="en-NZ"/>
              </w:rPr>
              <w:t>. In June 2015, the Chilean authority approved the regulatory norms required for the law’s implementation (</w:t>
            </w:r>
            <w:proofErr w:type="spellStart"/>
            <w:r w:rsidR="5AC0CDEF" w:rsidRPr="007159FF">
              <w:rPr>
                <w:lang w:eastAsia="en-NZ"/>
              </w:rPr>
              <w:t>Diario</w:t>
            </w:r>
            <w:proofErr w:type="spellEnd"/>
            <w:r w:rsidR="5AC0CDEF" w:rsidRPr="007159FF">
              <w:rPr>
                <w:lang w:eastAsia="en-NZ"/>
              </w:rPr>
              <w:t xml:space="preserve"> Official No 41.193). The regulatory norms define limits for calories (275 calories/100g or 70 calories/100mL), saturated fat (4g/100g or 3g/100mL), sugar (10g/100g or 5g/100mL) and sodium (400mg/100g or 100mg/100mL) content considered ‘high’ in foods and beverages. All foods that exceed these limits need to have a front-of-package black and white warning message inside a stop sign that reads ‘HIGH IN’ followed by CALORIES, SATURATED FAT, SUGAR or SODIUM. A warning message needs to be added to products per nutrient of concern exceeding the limit (e.g. a product high in fat and sugar will have 2 stop signs). The regulatory norms provide specifications for the size, font, and placement of the warning message on products. The limits for calories, saturated fat, sugar and sodium are being implemented using an incremental approach, reaching the defined limits by 1 July 2018 </w:t>
            </w:r>
            <w:r w:rsidR="00F8421C" w:rsidRPr="007159FF">
              <w:rPr>
                <w:lang w:eastAsia="en-NZ"/>
              </w:rPr>
              <w:fldChar w:fldCharType="begin" w:fldLock="1"/>
            </w:r>
            <w:r w:rsidR="002B6CB8">
              <w:rPr>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5013a327-5fee-469a-8a81-a00c331ce75a","http://www.mendeley.com/documents/?uuid=dc0c9c63-9874-3402-98e3-22b1e2608142"]}],"mendeley":{"formattedCitation":"(31)","plainTextFormattedCitation":"(31)","previouslyFormattedCitation":"(31)"},"properties":{"noteIndex":0},"schema":"https://github.com/citation-style-language/schema/raw/master/csl-citation.json"}</w:instrText>
            </w:r>
            <w:r w:rsidR="00F8421C" w:rsidRPr="007159FF">
              <w:rPr>
                <w:lang w:eastAsia="en-NZ"/>
              </w:rPr>
              <w:fldChar w:fldCharType="separate"/>
            </w:r>
            <w:r w:rsidR="00A90C92" w:rsidRPr="00A90C92">
              <w:rPr>
                <w:noProof/>
                <w:lang w:eastAsia="en-NZ"/>
              </w:rPr>
              <w:t>(31)</w:t>
            </w:r>
            <w:r w:rsidR="00F8421C" w:rsidRPr="007159FF">
              <w:rPr>
                <w:lang w:eastAsia="en-NZ"/>
              </w:rPr>
              <w:fldChar w:fldCharType="end"/>
            </w:r>
            <w:r w:rsidR="5AC0CDEF" w:rsidRPr="007159FF">
              <w:rPr>
                <w:lang w:eastAsia="en-NZ"/>
              </w:rPr>
              <w:t>.</w:t>
            </w:r>
            <w:r w:rsidR="5AC0CDEF" w:rsidRPr="0091450A">
              <w:rPr>
                <w:lang w:eastAsia="en-NZ"/>
              </w:rPr>
              <w:t xml:space="preserve"> </w:t>
            </w:r>
          </w:p>
        </w:tc>
      </w:tr>
    </w:tbl>
    <w:p w14:paraId="2E394815" w14:textId="4489522D" w:rsidR="0087187B" w:rsidRDefault="0087187B" w:rsidP="002D613F">
      <w:pPr>
        <w:spacing w:after="0" w:line="240" w:lineRule="auto"/>
      </w:pPr>
    </w:p>
    <w:p w14:paraId="632256DF" w14:textId="376B90A3" w:rsidR="00E44BFB" w:rsidRDefault="00E44BFB" w:rsidP="002D613F">
      <w:pPr>
        <w:spacing w:after="0" w:line="240" w:lineRule="auto"/>
      </w:pPr>
    </w:p>
    <w:p w14:paraId="34989F12" w14:textId="77777777" w:rsidR="00E44BFB" w:rsidRPr="0091450A" w:rsidRDefault="00E44BFB" w:rsidP="002D613F">
      <w:pPr>
        <w:spacing w:after="0" w:line="240" w:lineRule="auto"/>
      </w:pPr>
    </w:p>
    <w:tbl>
      <w:tblPr>
        <w:tblStyle w:val="TableGrid"/>
        <w:tblW w:w="9209" w:type="dxa"/>
        <w:tblLook w:val="04A0" w:firstRow="1" w:lastRow="0" w:firstColumn="1" w:lastColumn="0" w:noHBand="0" w:noVBand="1"/>
      </w:tblPr>
      <w:tblGrid>
        <w:gridCol w:w="9209"/>
      </w:tblGrid>
      <w:tr w:rsidR="002E08DF" w:rsidRPr="0091450A" w14:paraId="1A7FF413" w14:textId="77777777" w:rsidTr="00090A17">
        <w:tc>
          <w:tcPr>
            <w:tcW w:w="9209" w:type="dxa"/>
          </w:tcPr>
          <w:p w14:paraId="668F175B" w14:textId="79019859" w:rsidR="002E08DF" w:rsidRPr="0091450A" w:rsidRDefault="008C0F53"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2 </w:t>
            </w:r>
            <w:r w:rsidR="002E08DF" w:rsidRPr="0091450A">
              <w:rPr>
                <w:rFonts w:cs="Times New Roman"/>
                <w:b/>
                <w:color w:val="1F497D" w:themeColor="text2"/>
                <w:sz w:val="28"/>
                <w:szCs w:val="28"/>
              </w:rPr>
              <w:t xml:space="preserve">FOOD LABELLING: </w:t>
            </w:r>
            <w:r w:rsidR="00E56D63" w:rsidRPr="0091450A">
              <w:rPr>
                <w:rFonts w:cs="Times New Roman"/>
                <w:bCs/>
                <w:szCs w:val="20"/>
              </w:rPr>
              <w:t>There is a regulatory system implemented by the government for consumer-oriented labelling on food packaging and menu boards in restaurants to enable consumers to easily make informed food choices and to prevent misleading claims</w:t>
            </w:r>
          </w:p>
        </w:tc>
      </w:tr>
      <w:tr w:rsidR="002E08DF" w:rsidRPr="0091450A" w14:paraId="109F655A" w14:textId="77777777" w:rsidTr="00090A17">
        <w:tc>
          <w:tcPr>
            <w:tcW w:w="9209" w:type="dxa"/>
          </w:tcPr>
          <w:p w14:paraId="39C3339A" w14:textId="4F5A9E34" w:rsidR="002E08DF" w:rsidRPr="0091450A" w:rsidRDefault="00BF5FDA" w:rsidP="002D613F">
            <w:pPr>
              <w:spacing w:before="40" w:after="40"/>
              <w:rPr>
                <w:rFonts w:cs="Times New Roman"/>
                <w:b/>
                <w:color w:val="1F497D" w:themeColor="text2"/>
                <w:sz w:val="28"/>
                <w:szCs w:val="28"/>
              </w:rPr>
            </w:pPr>
            <w:bookmarkStart w:id="22" w:name="_Toc31623720"/>
            <w:r w:rsidRPr="0091450A">
              <w:rPr>
                <w:rStyle w:val="Heading3Char"/>
              </w:rPr>
              <w:t>LABEL4</w:t>
            </w:r>
            <w:bookmarkEnd w:id="22"/>
            <w:r w:rsidR="002E08DF" w:rsidRPr="0091450A">
              <w:rPr>
                <w:rFonts w:cs="Times New Roman"/>
                <w:b/>
                <w:color w:val="1F497D" w:themeColor="text2"/>
                <w:sz w:val="28"/>
                <w:szCs w:val="28"/>
              </w:rPr>
              <w:t xml:space="preserve">: </w:t>
            </w:r>
            <w:r w:rsidR="00886786" w:rsidRPr="0091450A">
              <w:rPr>
                <w:rFonts w:cs="Times New Roman"/>
                <w:b/>
                <w:color w:val="000000"/>
                <w:lang w:eastAsia="en-NZ"/>
              </w:rPr>
              <w:t xml:space="preserve">A consistent, single, simple, </w:t>
            </w:r>
            <w:r w:rsidR="006F0860" w:rsidRPr="0091450A">
              <w:rPr>
                <w:rFonts w:cs="Times New Roman"/>
                <w:b/>
                <w:color w:val="000000"/>
                <w:lang w:eastAsia="en-NZ"/>
              </w:rPr>
              <w:t>clearly visible</w:t>
            </w:r>
            <w:r w:rsidR="00886786" w:rsidRPr="0091450A">
              <w:rPr>
                <w:rFonts w:cs="Times New Roman"/>
                <w:b/>
                <w:color w:val="000000"/>
                <w:lang w:eastAsia="en-NZ"/>
              </w:rPr>
              <w:t xml:space="preserve"> system of labelling the menu boards of all quick</w:t>
            </w:r>
            <w:r w:rsidR="00363671">
              <w:rPr>
                <w:rFonts w:cs="Times New Roman"/>
                <w:b/>
                <w:color w:val="000000"/>
                <w:lang w:eastAsia="en-NZ"/>
              </w:rPr>
              <w:t>-</w:t>
            </w:r>
            <w:r w:rsidR="00886786" w:rsidRPr="0091450A">
              <w:rPr>
                <w:rFonts w:cs="Times New Roman"/>
                <w:b/>
                <w:color w:val="000000"/>
                <w:lang w:eastAsia="en-NZ"/>
              </w:rPr>
              <w:t>service restaurants (i.e. fast food chains) is applied by the government, which allows consumers to interpret the nutrient quality and energy content of foods and meals on sale</w:t>
            </w:r>
          </w:p>
        </w:tc>
      </w:tr>
      <w:tr w:rsidR="002E08DF" w:rsidRPr="0091450A" w14:paraId="2BBD6878" w14:textId="77777777" w:rsidTr="00090A17">
        <w:tc>
          <w:tcPr>
            <w:tcW w:w="9209" w:type="dxa"/>
          </w:tcPr>
          <w:p w14:paraId="6E60A8A5" w14:textId="67A41BA3"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22ECEB15" w14:textId="3A3419E4" w:rsidR="005522A4" w:rsidRPr="0091450A" w:rsidRDefault="005522A4" w:rsidP="002D613F">
            <w:pPr>
              <w:pStyle w:val="ListParagraph"/>
              <w:numPr>
                <w:ilvl w:val="0"/>
                <w:numId w:val="4"/>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t>There is no government-initiated mandatory or voluntary labelling of foods and meals in any restaurants or outlets across New Zealand. In some chains</w:t>
            </w:r>
            <w:r w:rsidR="00E44004" w:rsidRPr="0091450A">
              <w:rPr>
                <w:rFonts w:cs="Times New Roman"/>
                <w:szCs w:val="20"/>
                <w:lang w:eastAsia="en-NZ"/>
              </w:rPr>
              <w:t>,</w:t>
            </w:r>
            <w:r w:rsidRPr="0091450A">
              <w:rPr>
                <w:rFonts w:cs="Times New Roman"/>
                <w:szCs w:val="20"/>
                <w:lang w:eastAsia="en-NZ"/>
              </w:rPr>
              <w:t xml:space="preserve"> voluntary information is available</w:t>
            </w:r>
            <w:r w:rsidR="004745E3" w:rsidRPr="0091450A">
              <w:rPr>
                <w:rFonts w:cs="Times New Roman"/>
                <w:szCs w:val="20"/>
                <w:lang w:eastAsia="en-NZ"/>
              </w:rPr>
              <w:t>.</w:t>
            </w:r>
            <w:r w:rsidRPr="0091450A">
              <w:rPr>
                <w:rFonts w:cs="Times New Roman"/>
                <w:color w:val="000000"/>
                <w:szCs w:val="20"/>
                <w:lang w:eastAsia="en-NZ"/>
              </w:rPr>
              <w:t xml:space="preserve"> </w:t>
            </w:r>
          </w:p>
          <w:p w14:paraId="42CA01C2" w14:textId="67188147" w:rsidR="00F223F3" w:rsidRPr="0091450A" w:rsidRDefault="00455D22" w:rsidP="002D613F">
            <w:pPr>
              <w:pStyle w:val="ListParagraph"/>
              <w:numPr>
                <w:ilvl w:val="0"/>
                <w:numId w:val="4"/>
              </w:numPr>
              <w:shd w:val="clear" w:color="auto" w:fill="FFFFFF" w:themeFill="background1"/>
              <w:spacing w:before="40" w:after="40"/>
              <w:ind w:left="284" w:hanging="284"/>
              <w:contextualSpacing w:val="0"/>
              <w:rPr>
                <w:rFonts w:cs="Times New Roman"/>
                <w:szCs w:val="20"/>
                <w:lang w:eastAsia="en-NZ"/>
              </w:rPr>
            </w:pPr>
            <w:r w:rsidRPr="00516FCD">
              <w:rPr>
                <w:rFonts w:cs="Times New Roman"/>
                <w:color w:val="000000"/>
                <w:szCs w:val="20"/>
                <w:lang w:eastAsia="en-NZ"/>
              </w:rPr>
              <w:t>Relevant recommendations from the</w:t>
            </w:r>
            <w:r w:rsidR="002E08DF" w:rsidRPr="00516FCD">
              <w:rPr>
                <w:rFonts w:cs="Times New Roman"/>
                <w:color w:val="000000"/>
                <w:szCs w:val="20"/>
                <w:lang w:eastAsia="en-NZ"/>
              </w:rPr>
              <w:t xml:space="preserve"> Labelling logic report</w:t>
            </w:r>
            <w:r w:rsidR="009C7FCA" w:rsidRPr="0091450A">
              <w:rPr>
                <w:rFonts w:cs="Times New Roman"/>
                <w:color w:val="000000"/>
                <w:szCs w:val="20"/>
                <w:lang w:eastAsia="en-NZ"/>
              </w:rPr>
              <w:t xml:space="preserve"> </w:t>
            </w:r>
            <w:r w:rsidR="00F8480C" w:rsidRPr="0091450A">
              <w:rPr>
                <w:rFonts w:cs="Times New Roman"/>
                <w:color w:val="000000"/>
                <w:szCs w:val="20"/>
                <w:lang w:eastAsia="en-NZ"/>
              </w:rPr>
              <w:fldChar w:fldCharType="begin" w:fldLock="1"/>
            </w:r>
            <w:r w:rsidR="002B6CB8">
              <w:rPr>
                <w:rFonts w:cs="Times New Roman"/>
                <w:color w:val="000000"/>
                <w:szCs w:val="20"/>
                <w:lang w:eastAsia="en-NZ"/>
              </w:rPr>
              <w:instrText>ADDIN CSL_CITATION {"citationItems":[{"id":"ITEM-1","itemData":{"URL":"http://foodregulation.gov.au/internet/fr/publishing.nsf/Content/Review-of-food-labelling","author":[{"dropping-particle":"","family":"Australia and New Zealand Food Regulation Ministerial Council","given":"","non-dropping-particle":"","parse-names":false,"suffix":""}],"id":"ITEM-1","issued":{"date-parts":[["2011"]]},"title":"Labelling Logic - the Final Report of the Review of Food Labelling Law and Policy","type":"webpage"},"uris":["http://www.mendeley.com/documents/?uuid=9cd85429-b806-4768-a917-ab34bbed9003","http://www.mendeley.com/documents/?uuid=882c0d5d-ded0-3eb7-b4d9-f4c7d6147a77"]}],"mendeley":{"formattedCitation":"(24)","plainTextFormattedCitation":"(24)","previouslyFormattedCitation":"(24)"},"properties":{"noteIndex":0},"schema":"https://github.com/citation-style-language/schema/raw/master/csl-citation.json"}</w:instrText>
            </w:r>
            <w:r w:rsidR="00F8480C" w:rsidRPr="0091450A">
              <w:rPr>
                <w:rFonts w:cs="Times New Roman"/>
                <w:color w:val="000000"/>
                <w:szCs w:val="20"/>
                <w:lang w:eastAsia="en-NZ"/>
              </w:rPr>
              <w:fldChar w:fldCharType="separate"/>
            </w:r>
            <w:r w:rsidR="00A90C92" w:rsidRPr="00A90C92">
              <w:rPr>
                <w:rFonts w:cs="Times New Roman"/>
                <w:noProof/>
                <w:color w:val="000000"/>
                <w:szCs w:val="20"/>
                <w:lang w:eastAsia="en-NZ"/>
              </w:rPr>
              <w:t>(24)</w:t>
            </w:r>
            <w:r w:rsidR="00F8480C" w:rsidRPr="0091450A">
              <w:rPr>
                <w:rFonts w:cs="Times New Roman"/>
                <w:color w:val="000000"/>
                <w:szCs w:val="20"/>
                <w:lang w:eastAsia="en-NZ"/>
              </w:rPr>
              <w:fldChar w:fldCharType="end"/>
            </w:r>
            <w:r w:rsidR="00F8480C" w:rsidRPr="0091450A">
              <w:rPr>
                <w:rFonts w:cs="Times New Roman"/>
                <w:color w:val="000000"/>
                <w:szCs w:val="20"/>
                <w:lang w:eastAsia="en-NZ"/>
              </w:rPr>
              <w:t>,</w:t>
            </w:r>
            <w:r w:rsidR="003970BC" w:rsidRPr="0091450A">
              <w:rPr>
                <w:rFonts w:cs="Times New Roman"/>
                <w:color w:val="000000"/>
                <w:szCs w:val="20"/>
                <w:lang w:eastAsia="en-NZ"/>
              </w:rPr>
              <w:t xml:space="preserve"> commissioned by Australian food </w:t>
            </w:r>
            <w:r w:rsidR="00EB2CD8" w:rsidRPr="0091450A">
              <w:rPr>
                <w:rFonts w:cs="Times New Roman"/>
                <w:color w:val="000000"/>
                <w:szCs w:val="20"/>
                <w:lang w:eastAsia="en-NZ"/>
              </w:rPr>
              <w:t>minister</w:t>
            </w:r>
            <w:r w:rsidRPr="0091450A">
              <w:rPr>
                <w:rFonts w:cs="Times New Roman"/>
                <w:color w:val="000000"/>
                <w:szCs w:val="20"/>
                <w:lang w:eastAsia="en-NZ"/>
              </w:rPr>
              <w:t xml:space="preserve"> are 18:</w:t>
            </w:r>
            <w:r w:rsidR="002E08DF" w:rsidRPr="0091450A">
              <w:rPr>
                <w:rFonts w:cs="Times New Roman"/>
                <w:color w:val="000000"/>
                <w:szCs w:val="20"/>
                <w:lang w:eastAsia="en-NZ"/>
              </w:rPr>
              <w:t xml:space="preserve"> </w:t>
            </w:r>
            <w:r w:rsidRPr="0091450A">
              <w:rPr>
                <w:rFonts w:cs="Times New Roman"/>
                <w:i/>
                <w:color w:val="000000"/>
                <w:szCs w:val="20"/>
                <w:lang w:eastAsia="en-NZ"/>
              </w:rPr>
              <w:t>‘</w:t>
            </w:r>
            <w:r w:rsidR="00876115" w:rsidRPr="0091450A">
              <w:rPr>
                <w:rFonts w:cs="Times New Roman"/>
                <w:i/>
                <w:color w:val="000000"/>
                <w:szCs w:val="20"/>
                <w:lang w:eastAsia="en-NZ"/>
              </w:rPr>
              <w:t>T</w:t>
            </w:r>
            <w:r w:rsidR="002E08DF" w:rsidRPr="0091450A">
              <w:rPr>
                <w:rFonts w:cs="Times New Roman"/>
                <w:i/>
                <w:color w:val="000000"/>
                <w:szCs w:val="20"/>
                <w:lang w:eastAsia="en-NZ"/>
              </w:rPr>
              <w:t xml:space="preserve">hat </w:t>
            </w:r>
            <w:r w:rsidRPr="0091450A">
              <w:rPr>
                <w:rFonts w:cs="Times New Roman"/>
                <w:i/>
                <w:color w:val="000000"/>
                <w:szCs w:val="20"/>
                <w:lang w:eastAsia="en-NZ"/>
              </w:rPr>
              <w:t xml:space="preserve">the </w:t>
            </w:r>
            <w:r w:rsidR="002E08DF" w:rsidRPr="0091450A">
              <w:rPr>
                <w:rFonts w:cs="Times New Roman"/>
                <w:i/>
                <w:color w:val="000000"/>
                <w:szCs w:val="20"/>
                <w:lang w:eastAsia="en-NZ"/>
              </w:rPr>
              <w:t xml:space="preserve">declaration of energy content of standardised food items on the menu/menu boards or in close proximity to the food display or menu should be mandatory in chain food service outlets and on vending machines. Further, information equivalent to that provided by the </w:t>
            </w:r>
            <w:r w:rsidR="003258C4" w:rsidRPr="0091450A">
              <w:rPr>
                <w:rFonts w:cs="Times New Roman"/>
                <w:i/>
                <w:color w:val="000000"/>
                <w:szCs w:val="20"/>
                <w:lang w:eastAsia="en-NZ"/>
              </w:rPr>
              <w:t>Nutrition Information Panel</w:t>
            </w:r>
            <w:r w:rsidR="002E08DF" w:rsidRPr="0091450A">
              <w:rPr>
                <w:rFonts w:cs="Times New Roman"/>
                <w:i/>
                <w:color w:val="000000"/>
                <w:szCs w:val="20"/>
                <w:lang w:eastAsia="en-NZ"/>
              </w:rPr>
              <w:t xml:space="preserve"> </w:t>
            </w:r>
            <w:r w:rsidR="00795984" w:rsidRPr="0091450A">
              <w:rPr>
                <w:rFonts w:cs="Times New Roman"/>
                <w:i/>
                <w:color w:val="000000"/>
                <w:szCs w:val="20"/>
                <w:lang w:eastAsia="en-NZ"/>
              </w:rPr>
              <w:t xml:space="preserve">(NIP) </w:t>
            </w:r>
            <w:r w:rsidR="002E08DF" w:rsidRPr="0091450A">
              <w:rPr>
                <w:rFonts w:cs="Times New Roman"/>
                <w:i/>
                <w:color w:val="000000"/>
                <w:szCs w:val="20"/>
                <w:lang w:eastAsia="en-NZ"/>
              </w:rPr>
              <w:t xml:space="preserve">should be available in a readily accessible </w:t>
            </w:r>
            <w:r w:rsidR="009C7FCA" w:rsidRPr="0091450A">
              <w:rPr>
                <w:rFonts w:cs="Times New Roman"/>
                <w:i/>
                <w:color w:val="000000"/>
                <w:szCs w:val="20"/>
                <w:lang w:eastAsia="en-NZ"/>
              </w:rPr>
              <w:t>form in chain food service outlets</w:t>
            </w:r>
            <w:r w:rsidRPr="0091450A">
              <w:rPr>
                <w:rFonts w:cs="Times New Roman"/>
                <w:color w:val="000000"/>
                <w:szCs w:val="20"/>
                <w:lang w:eastAsia="en-NZ"/>
              </w:rPr>
              <w:t>’</w:t>
            </w:r>
            <w:r w:rsidR="0035131E" w:rsidRPr="0091450A">
              <w:rPr>
                <w:rFonts w:cs="Times New Roman"/>
                <w:szCs w:val="20"/>
                <w:lang w:eastAsia="en-NZ"/>
              </w:rPr>
              <w:t>.</w:t>
            </w:r>
            <w:r w:rsidR="0035131E" w:rsidRPr="0091450A">
              <w:rPr>
                <w:rFonts w:cs="Times New Roman"/>
                <w:szCs w:val="20"/>
              </w:rPr>
              <w:t xml:space="preserve"> </w:t>
            </w:r>
            <w:r w:rsidR="0035131E" w:rsidRPr="0091450A">
              <w:t>The Forum agreed that no further action is required on this recommendation</w:t>
            </w:r>
            <w:r w:rsidRPr="0091450A">
              <w:t>.</w:t>
            </w:r>
            <w:r w:rsidR="0035131E" w:rsidRPr="0091450A">
              <w:t xml:space="preserve"> </w:t>
            </w:r>
            <w:r w:rsidR="00CB2E0D" w:rsidRPr="0091450A">
              <w:t xml:space="preserve">The Australia and New Zealand Food Regulation Ministerial Council </w:t>
            </w:r>
            <w:r w:rsidR="0035131E" w:rsidRPr="0091450A">
              <w:t xml:space="preserve">has agreed that jurisdictions that have implemented point of sale nutrition schemes should work together informally to aggregate their data. </w:t>
            </w:r>
            <w:r w:rsidRPr="0091450A">
              <w:t>54:</w:t>
            </w:r>
            <w:r w:rsidR="00876115" w:rsidRPr="0091450A">
              <w:t xml:space="preserve"> ‘</w:t>
            </w:r>
            <w:r w:rsidRPr="0091450A">
              <w:rPr>
                <w:i/>
              </w:rPr>
              <w:t>That c</w:t>
            </w:r>
            <w:r w:rsidR="0035131E" w:rsidRPr="0091450A">
              <w:rPr>
                <w:i/>
              </w:rPr>
              <w:t xml:space="preserve">hain food service outlets </w:t>
            </w:r>
            <w:r w:rsidR="002E08DF" w:rsidRPr="0091450A">
              <w:rPr>
                <w:rFonts w:cs="Times New Roman"/>
                <w:i/>
                <w:szCs w:val="20"/>
                <w:lang w:eastAsia="en-NZ"/>
              </w:rPr>
              <w:t xml:space="preserve">across Australia and New Zealand should be encouraged to display the multiple traffic lights system on menus/menu boards. Such a system should be mandatory where general or </w:t>
            </w:r>
            <w:r w:rsidR="006F0860" w:rsidRPr="0091450A">
              <w:rPr>
                <w:rFonts w:cs="Times New Roman"/>
                <w:i/>
                <w:szCs w:val="20"/>
                <w:lang w:eastAsia="en-NZ"/>
              </w:rPr>
              <w:t>high-level</w:t>
            </w:r>
            <w:r w:rsidR="002E08DF" w:rsidRPr="0091450A">
              <w:rPr>
                <w:rFonts w:cs="Times New Roman"/>
                <w:i/>
                <w:szCs w:val="20"/>
                <w:lang w:eastAsia="en-NZ"/>
              </w:rPr>
              <w:t xml:space="preserve"> health claims are </w:t>
            </w:r>
            <w:r w:rsidR="00F67453" w:rsidRPr="0091450A">
              <w:rPr>
                <w:rFonts w:cs="Times New Roman"/>
                <w:i/>
                <w:szCs w:val="20"/>
                <w:lang w:eastAsia="en-NZ"/>
              </w:rPr>
              <w:t>made,</w:t>
            </w:r>
            <w:r w:rsidR="002E08DF" w:rsidRPr="0091450A">
              <w:rPr>
                <w:rFonts w:cs="Times New Roman"/>
                <w:i/>
                <w:szCs w:val="20"/>
                <w:lang w:eastAsia="en-NZ"/>
              </w:rPr>
              <w:t xml:space="preserve"> or equivalent endorsements/trade names/marks are used</w:t>
            </w:r>
            <w:r w:rsidR="00876115" w:rsidRPr="0091450A">
              <w:rPr>
                <w:rFonts w:cs="Times New Roman"/>
                <w:szCs w:val="20"/>
                <w:lang w:eastAsia="en-NZ"/>
              </w:rPr>
              <w:t>’</w:t>
            </w:r>
            <w:r w:rsidR="002E08DF" w:rsidRPr="0091450A">
              <w:rPr>
                <w:rFonts w:cs="Times New Roman"/>
                <w:szCs w:val="20"/>
                <w:lang w:eastAsia="en-NZ"/>
              </w:rPr>
              <w:t>.</w:t>
            </w:r>
            <w:r w:rsidR="00956909" w:rsidRPr="0091450A">
              <w:rPr>
                <w:rFonts w:cs="Times New Roman"/>
                <w:szCs w:val="20"/>
                <w:lang w:eastAsia="en-NZ"/>
              </w:rPr>
              <w:t xml:space="preserve"> </w:t>
            </w:r>
            <w:r w:rsidR="004B40CE" w:rsidRPr="0091450A">
              <w:t>The Forum agreed that no further action is required on this recommendation</w:t>
            </w:r>
            <w:r w:rsidR="00876115" w:rsidRPr="0091450A">
              <w:t xml:space="preserve"> recognizing that progress has bee</w:t>
            </w:r>
            <w:r w:rsidR="00BE5B01" w:rsidRPr="0091450A">
              <w:t>n made on point-of-sale nutrition</w:t>
            </w:r>
            <w:r w:rsidR="00876115" w:rsidRPr="0091450A">
              <w:t xml:space="preserve"> schemes</w:t>
            </w:r>
            <w:r w:rsidR="0035131E" w:rsidRPr="0091450A">
              <w:t xml:space="preserve"> </w:t>
            </w:r>
            <w:r w:rsidR="007D1FB1" w:rsidRPr="0091450A">
              <w:rPr>
                <w:rFonts w:cs="Times New Roman"/>
                <w:szCs w:val="20"/>
              </w:rPr>
              <w:fldChar w:fldCharType="begin" w:fldLock="1"/>
            </w:r>
            <w:r w:rsidR="002B6CB8">
              <w:rPr>
                <w:rFonts w:cs="Times New Roman"/>
                <w:szCs w:val="20"/>
              </w:rPr>
              <w:instrText>ADDIN CSL_CITATION {"citationItems":[{"id":"ITEM-1","itemData":{"URL":"http://www.foodlabellingreview.gov.au/internet/foodlabelling/publishing.nsf/content/Progress_report_December_2014","author":[{"dropping-particle":"","family":"Labelling Review Response","given":"","non-dropping-particle":"","parse-names":false,"suffix":""}],"id":"ITEM-1","issue":"14/2/2017","issued":{"date-parts":[["2016"]]},"title":"Progress report on the implementation of the Government response to the Labelling Logic Recommendations","type":"webpage"},"uris":["http://www.mendeley.com/documents/?uuid=8e13bb9e-6a0d-4e81-acba-4e9c0292fe2b","http://www.mendeley.com/documents/?uuid=86086e85-5426-3b7a-ab30-d9ad352ca31c"]}],"mendeley":{"formattedCitation":"(59)","plainTextFormattedCitation":"(59)","previouslyFormattedCitation":"(59)"},"properties":{"noteIndex":0},"schema":"https://github.com/citation-style-language/schema/raw/master/csl-citation.json"}</w:instrText>
            </w:r>
            <w:r w:rsidR="007D1FB1" w:rsidRPr="0091450A">
              <w:rPr>
                <w:rFonts w:cs="Times New Roman"/>
                <w:szCs w:val="20"/>
              </w:rPr>
              <w:fldChar w:fldCharType="separate"/>
            </w:r>
            <w:r w:rsidR="00A90C92" w:rsidRPr="00A90C92">
              <w:rPr>
                <w:rFonts w:cs="Times New Roman"/>
                <w:noProof/>
                <w:szCs w:val="20"/>
              </w:rPr>
              <w:t>(59)</w:t>
            </w:r>
            <w:r w:rsidR="007D1FB1" w:rsidRPr="0091450A">
              <w:rPr>
                <w:rFonts w:cs="Times New Roman"/>
                <w:szCs w:val="20"/>
              </w:rPr>
              <w:fldChar w:fldCharType="end"/>
            </w:r>
            <w:r w:rsidR="007D1FB1" w:rsidRPr="0091450A">
              <w:rPr>
                <w:rFonts w:cs="Times New Roman"/>
                <w:szCs w:val="20"/>
              </w:rPr>
              <w:t>.</w:t>
            </w:r>
            <w:r w:rsidR="004B40CE" w:rsidRPr="0091450A">
              <w:t xml:space="preserve"> </w:t>
            </w:r>
          </w:p>
          <w:p w14:paraId="740F5591" w14:textId="144D8BE7" w:rsidR="008C7E28" w:rsidRPr="0091450A" w:rsidRDefault="008C7E28" w:rsidP="002D613F">
            <w:pPr>
              <w:pStyle w:val="ListParagraph"/>
              <w:numPr>
                <w:ilvl w:val="0"/>
                <w:numId w:val="4"/>
              </w:numPr>
              <w:shd w:val="clear" w:color="auto" w:fill="FFFFFF"/>
              <w:spacing w:before="40" w:after="40"/>
              <w:ind w:left="284" w:hanging="284"/>
              <w:contextualSpacing w:val="0"/>
              <w:rPr>
                <w:rFonts w:cs="Times New Roman"/>
                <w:szCs w:val="20"/>
              </w:rPr>
            </w:pPr>
            <w:r w:rsidRPr="00E44BFB">
              <w:rPr>
                <w:rFonts w:eastAsia="Times New Roman" w:cs="Times New Roman"/>
                <w:szCs w:val="20"/>
                <w:lang w:eastAsia="en-NZ"/>
              </w:rPr>
              <w:t>The Government response to the Food Industry Taskforce on addressing factors contributing to obesity prioritised the recommendation for the food industry on</w:t>
            </w:r>
            <w:r w:rsidRPr="0091450A">
              <w:rPr>
                <w:rFonts w:eastAsia="Times New Roman" w:cs="Times New Roman"/>
                <w:szCs w:val="20"/>
                <w:lang w:eastAsia="en-NZ"/>
              </w:rPr>
              <w:t xml:space="preserve"> voluntary menu labelling </w:t>
            </w:r>
            <w:r w:rsidR="006F4145" w:rsidRPr="0091450A">
              <w:rPr>
                <w:rFonts w:eastAsia="Times New Roman" w:cs="Times New Roman"/>
                <w:szCs w:val="20"/>
                <w:lang w:eastAsia="en-NZ"/>
              </w:rPr>
              <w:t>in fast food outlets</w:t>
            </w:r>
            <w:r w:rsidR="00516FCD">
              <w:rPr>
                <w:rFonts w:eastAsia="Times New Roman" w:cs="Times New Roman"/>
                <w:szCs w:val="20"/>
                <w:lang w:eastAsia="en-NZ"/>
              </w:rPr>
              <w:t xml:space="preserve"> </w:t>
            </w:r>
            <w:r w:rsidR="00516FCD">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{"citationItems":[{"id":"ITEM-1","itemData":{"author":[{"dropping-particle":"","family":"Clark","given":"David Hon Dr.","non-dropping-particle":"","parse-names":false,"suffix":""},{"dropping-particle":"","family":"O'Connor","given":"Damien Hon Dr.","non-dropping-particle":"","parse-names":false,"suffix":""}],"id":"ITEM-1","issued":{"date-parts":[["2018"]]},"publisher-place":"Wellington","title":"Government response to the Food Industry Taskforce's Report ","type":"report"},"uris":["http://www.mendeley.com/documents/?uuid=9b109c6f-0d98-3e1b-8d64-988917887f1f"]}],"mendeley":{"formattedCitation":"(28)","plainTextFormattedCitation":"(28)","previouslyFormattedCitation":"(28)"},"properties":{"noteIndex":0},"schema":"https://github.com/citation-style-language/schema/raw/master/csl-citation.json"}</w:instrText>
            </w:r>
            <w:r w:rsidR="00516FCD">
              <w:rPr>
                <w:rFonts w:eastAsia="Times New Roman" w:cs="Times New Roman"/>
                <w:szCs w:val="20"/>
                <w:lang w:eastAsia="en-NZ"/>
              </w:rPr>
              <w:fldChar w:fldCharType="separate"/>
            </w:r>
            <w:r w:rsidR="00A90C92" w:rsidRPr="00A90C92">
              <w:rPr>
                <w:rFonts w:eastAsia="Times New Roman" w:cs="Times New Roman"/>
                <w:noProof/>
                <w:szCs w:val="20"/>
                <w:lang w:eastAsia="en-NZ"/>
              </w:rPr>
              <w:t>(28)</w:t>
            </w:r>
            <w:r w:rsidR="00516FCD">
              <w:rPr>
                <w:rFonts w:eastAsia="Times New Roman" w:cs="Times New Roman"/>
                <w:szCs w:val="20"/>
                <w:lang w:eastAsia="en-NZ"/>
              </w:rPr>
              <w:fldChar w:fldCharType="end"/>
            </w:r>
            <w:r w:rsidR="006F4145" w:rsidRPr="0091450A">
              <w:rPr>
                <w:rFonts w:eastAsia="Times New Roman" w:cs="Times New Roman"/>
                <w:szCs w:val="20"/>
                <w:lang w:eastAsia="en-NZ"/>
              </w:rPr>
              <w:t>.</w:t>
            </w:r>
          </w:p>
          <w:p w14:paraId="40569E93" w14:textId="77777777" w:rsidR="006E24F0" w:rsidRPr="0091450A" w:rsidRDefault="006E24F0" w:rsidP="002D613F">
            <w:pPr>
              <w:pStyle w:val="ListParagraph"/>
              <w:shd w:val="clear" w:color="auto" w:fill="FFFFFF"/>
              <w:ind w:left="357"/>
              <w:contextualSpacing w:val="0"/>
              <w:rPr>
                <w:rFonts w:cs="Times New Roman"/>
                <w:szCs w:val="20"/>
              </w:rPr>
            </w:pPr>
          </w:p>
          <w:p w14:paraId="1DA5B0B3" w14:textId="20CD9C6E"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4B3618D0" w14:textId="4587C357" w:rsidR="00DD1DDF" w:rsidRPr="0091450A" w:rsidRDefault="00DD1DDF" w:rsidP="002D613F">
            <w:pPr>
              <w:pStyle w:val="ListParagraph"/>
              <w:keepNext/>
              <w:numPr>
                <w:ilvl w:val="0"/>
                <w:numId w:val="55"/>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Legislation in Australian Capital Territory (Food Regulation 2002) and the States of New South Wales (Food Regulation 2010) and South Australia (Food Regulation 2002) requires restaurant chains (</w:t>
            </w:r>
            <w:r w:rsidR="00BE5B01" w:rsidRPr="0091450A">
              <w:rPr>
                <w:rFonts w:eastAsia="Times New Roman" w:cs="Times New Roman"/>
                <w:szCs w:val="20"/>
                <w:lang w:eastAsia="en-NZ"/>
              </w:rPr>
              <w:t>e.g.</w:t>
            </w:r>
            <w:r w:rsidRPr="0091450A">
              <w:rPr>
                <w:rFonts w:eastAsia="Times New Roman" w:cs="Times New Roman"/>
                <w:szCs w:val="20"/>
                <w:lang w:eastAsia="en-NZ"/>
              </w:rPr>
              <w:t xml:space="preserve"> fast</w:t>
            </w:r>
            <w:r w:rsidR="00363671">
              <w:rPr>
                <w:rFonts w:eastAsia="Times New Roman" w:cs="Times New Roman"/>
                <w:szCs w:val="20"/>
                <w:lang w:eastAsia="en-NZ"/>
              </w:rPr>
              <w:t>-</w:t>
            </w:r>
            <w:r w:rsidRPr="0091450A">
              <w:rPr>
                <w:rFonts w:eastAsia="Times New Roman" w:cs="Times New Roman"/>
                <w:szCs w:val="20"/>
                <w:lang w:eastAsia="en-NZ"/>
              </w:rPr>
              <w:t>food chains, ice cream bars) with ≥20 outlets in the state (or seven in the case of ACT), or 50 or more across Australia, to display the k</w:t>
            </w:r>
            <w:r w:rsidR="00E44004" w:rsidRPr="0091450A">
              <w:rPr>
                <w:rFonts w:eastAsia="Times New Roman" w:cs="Times New Roman"/>
                <w:szCs w:val="20"/>
                <w:lang w:eastAsia="en-NZ"/>
              </w:rPr>
              <w:t>J</w:t>
            </w:r>
            <w:r w:rsidRPr="0091450A">
              <w:rPr>
                <w:rFonts w:eastAsia="Times New Roman" w:cs="Times New Roman"/>
                <w:szCs w:val="20"/>
                <w:lang w:eastAsia="en-NZ"/>
              </w:rPr>
              <w:t xml:space="preserve"> content of food products on their menu boards. Average adult daily energy intake of 8700</w:t>
            </w:r>
            <w:r w:rsidR="00E44004" w:rsidRPr="0091450A">
              <w:rPr>
                <w:rFonts w:eastAsia="Times New Roman" w:cs="Times New Roman"/>
                <w:szCs w:val="20"/>
                <w:lang w:eastAsia="en-NZ"/>
              </w:rPr>
              <w:t xml:space="preserve"> </w:t>
            </w:r>
            <w:r w:rsidRPr="0091450A">
              <w:rPr>
                <w:rFonts w:eastAsia="Times New Roman" w:cs="Times New Roman"/>
                <w:szCs w:val="20"/>
                <w:lang w:eastAsia="en-NZ"/>
              </w:rPr>
              <w:t xml:space="preserve">kJ must also be prominently featured. Other chains/food outlets are allowed to provide this information on a voluntary basis but must follow the provisions of the legislation </w:t>
            </w:r>
            <w:r w:rsidR="00EB6CE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5013a327-5fee-469a-8a81-a00c331ce75a","http://www.mendeley.com/documents/?uuid=dc0c9c63-9874-3402-98e3-22b1e2608142"]}],"mendeley":{"formattedCitation":"(31)","plainTextFormattedCitation":"(31)","previouslyFormattedCitation":"(31)"},"properties":{"noteIndex":0},"schema":"https://github.com/citation-style-language/schema/raw/master/csl-citation.json"}</w:instrText>
            </w:r>
            <w:r w:rsidR="00EB6CE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EB6CEB" w:rsidRPr="0091450A">
              <w:rPr>
                <w:rFonts w:eastAsia="Times New Roman" w:cs="Times New Roman"/>
                <w:szCs w:val="20"/>
                <w:lang w:eastAsia="en-NZ"/>
              </w:rPr>
              <w:fldChar w:fldCharType="end"/>
            </w:r>
            <w:r w:rsidR="00EB6CEB" w:rsidRPr="0091450A">
              <w:rPr>
                <w:rFonts w:eastAsia="Times New Roman" w:cs="Times New Roman"/>
                <w:szCs w:val="20"/>
                <w:lang w:eastAsia="en-NZ"/>
              </w:rPr>
              <w:t>.</w:t>
            </w:r>
          </w:p>
          <w:p w14:paraId="458A4CDC" w14:textId="0AABA924" w:rsidR="00375746" w:rsidRDefault="00952B3C" w:rsidP="002D613F">
            <w:pPr>
              <w:pStyle w:val="ListParagraph"/>
              <w:keepNext/>
              <w:numPr>
                <w:ilvl w:val="0"/>
                <w:numId w:val="55"/>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South Korea</w:t>
            </w:r>
            <w:r w:rsidRPr="0091450A">
              <w:rPr>
                <w:rFonts w:eastAsia="Times New Roman" w:cs="Times New Roman"/>
                <w:szCs w:val="20"/>
                <w:lang w:eastAsia="en-NZ"/>
              </w:rPr>
              <w:t xml:space="preserve">: Since 2010, the Special Act on Safety Control of Children’s Dietary Life has required all chain restaurants with 100 or more establishments to display nutrient information on menus including energy, total sugars, protein, saturated fat and sodium </w:t>
            </w:r>
            <w:r w:rsidR="00EB6CE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5013a327-5fee-469a-8a81-a00c331ce75a","http://www.mendeley.com/documents/?uuid=dc0c9c63-9874-3402-98e3-22b1e2608142"]}],"mendeley":{"formattedCitation":"(31)","plainTextFormattedCitation":"(31)","previouslyFormattedCitation":"(31)"},"properties":{"noteIndex":0},"schema":"https://github.com/citation-style-language/schema/raw/master/csl-citation.json"}</w:instrText>
            </w:r>
            <w:r w:rsidR="00EB6CE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EB6CEB" w:rsidRPr="0091450A">
              <w:rPr>
                <w:rFonts w:eastAsia="Times New Roman" w:cs="Times New Roman"/>
                <w:szCs w:val="20"/>
                <w:lang w:eastAsia="en-NZ"/>
              </w:rPr>
              <w:fldChar w:fldCharType="end"/>
            </w:r>
            <w:r w:rsidR="00EB6CEB" w:rsidRPr="0091450A">
              <w:rPr>
                <w:rFonts w:eastAsia="Times New Roman" w:cs="Times New Roman"/>
                <w:szCs w:val="20"/>
                <w:lang w:eastAsia="en-NZ"/>
              </w:rPr>
              <w:t>.</w:t>
            </w:r>
          </w:p>
          <w:p w14:paraId="555DBD5F" w14:textId="36C8A2AF" w:rsidR="00375746" w:rsidRPr="00375746" w:rsidRDefault="00A01E17" w:rsidP="002D613F">
            <w:pPr>
              <w:pStyle w:val="ListParagraph"/>
              <w:keepNext/>
              <w:numPr>
                <w:ilvl w:val="0"/>
                <w:numId w:val="55"/>
              </w:numPr>
              <w:spacing w:before="40" w:after="40"/>
              <w:ind w:left="284" w:hanging="284"/>
              <w:contextualSpacing w:val="0"/>
              <w:rPr>
                <w:rFonts w:eastAsia="Times New Roman" w:cs="Times New Roman"/>
                <w:color w:val="292929"/>
                <w:lang w:eastAsia="en-GB"/>
              </w:rPr>
            </w:pPr>
            <w:r w:rsidRPr="00375746">
              <w:rPr>
                <w:rFonts w:cstheme="majorHAnsi"/>
                <w:b/>
              </w:rPr>
              <w:t>Canada:</w:t>
            </w:r>
            <w:r w:rsidRPr="00375746">
              <w:rPr>
                <w:rFonts w:cstheme="majorHAnsi"/>
              </w:rPr>
              <w:t xml:space="preserve"> In effect since 1 January 2017, Ontario’s Healthy Menu Choices Act 2015, requires food service premises that are part of a chain of 20 or more food service premises in Ontario (as well as certain cafeteria-style food service premises) to display calories for “standard food items” on menus, labels and display tags. The Act’s regulations specify where caloric information is to be displayed on the menus, as well as the size, format and prominence of the display</w:t>
            </w:r>
            <w:r w:rsidR="00F26E03" w:rsidRPr="00375746">
              <w:rPr>
                <w:rFonts w:cstheme="majorHAnsi"/>
              </w:rPr>
              <w:t xml:space="preserve"> </w:t>
            </w:r>
            <w:r w:rsidR="00F26E03" w:rsidRPr="00375746">
              <w:rPr>
                <w:rFonts w:cstheme="majorHAnsi"/>
              </w:rPr>
              <w:fldChar w:fldCharType="begin" w:fldLock="1"/>
            </w:r>
            <w:r w:rsidR="002B6CB8">
              <w:rPr>
                <w:rFonts w:cstheme="majorHAnsi"/>
              </w:rPr>
              <w:instrText>ADDIN CSL_CITATION {"citationItems":[{"id":"ITEM-1","itemData":{"author":[{"dropping-particle":"","family":"Nutrition Resource Centre","given":"","non-dropping-particle":"","parse-names":false,"suffix":""}],"id":"ITEM-1","issued":{"date-parts":[["2017"]]},"title":"Ontario’s Healthy Menu Choices Act In Effect.","type":"report"},"uris":["http://www.mendeley.com/documents/?uuid=8490ec8b-b247-4c03-bdbf-c91b0e9b7559"]}],"mendeley":{"formattedCitation":"(60)","plainTextFormattedCitation":"(60)","previouslyFormattedCitation":"(60)"},"properties":{"noteIndex":0},"schema":"https://github.com/citation-style-language/schema/raw/master/csl-citation.json"}</w:instrText>
            </w:r>
            <w:r w:rsidR="00F26E03" w:rsidRPr="00375746">
              <w:rPr>
                <w:rFonts w:cstheme="majorHAnsi"/>
              </w:rPr>
              <w:fldChar w:fldCharType="separate"/>
            </w:r>
            <w:r w:rsidR="00A90C92" w:rsidRPr="00A90C92">
              <w:rPr>
                <w:rFonts w:cstheme="majorHAnsi"/>
                <w:noProof/>
              </w:rPr>
              <w:t>(60)</w:t>
            </w:r>
            <w:r w:rsidR="00F26E03" w:rsidRPr="00375746">
              <w:rPr>
                <w:rFonts w:cstheme="majorHAnsi"/>
              </w:rPr>
              <w:fldChar w:fldCharType="end"/>
            </w:r>
            <w:r w:rsidRPr="00375746">
              <w:rPr>
                <w:rFonts w:cstheme="majorHAnsi"/>
              </w:rPr>
              <w:t>. Food service premises must also display information on daily caloric requirements: “</w:t>
            </w:r>
            <w:r w:rsidRPr="00375746">
              <w:rPr>
                <w:rFonts w:cstheme="majorHAnsi"/>
                <w:i/>
              </w:rPr>
              <w:t xml:space="preserve">Adults and youth (ages 13 and older) need an average of 2,000 calories a day, and children (ages 4 to 12) need an average of 1,500 calories a day. However, individual needs vary.” </w:t>
            </w:r>
            <w:r w:rsidRPr="00375746">
              <w:rPr>
                <w:rFonts w:cstheme="majorHAnsi"/>
              </w:rPr>
              <w:t xml:space="preserve">Ontario’s 36 public health units are responsible for </w:t>
            </w:r>
            <w:r w:rsidR="00363671">
              <w:rPr>
                <w:rFonts w:cstheme="majorHAnsi"/>
              </w:rPr>
              <w:t xml:space="preserve">the </w:t>
            </w:r>
            <w:r w:rsidRPr="00375746">
              <w:rPr>
                <w:rFonts w:cstheme="majorHAnsi"/>
              </w:rPr>
              <w:t>implementation of the Act</w:t>
            </w:r>
            <w:r w:rsidR="00DE6548" w:rsidRPr="00375746">
              <w:rPr>
                <w:rFonts w:cstheme="majorHAnsi"/>
              </w:rPr>
              <w:t xml:space="preserve"> </w:t>
            </w:r>
            <w:r w:rsidR="00DE6548" w:rsidRPr="00375746">
              <w:rPr>
                <w:rFonts w:cstheme="majorHAnsi"/>
              </w:rPr>
              <w:fldChar w:fldCharType="begin" w:fldLock="1"/>
            </w:r>
            <w:r w:rsidR="002B6CB8">
              <w:rPr>
                <w:rFonts w:cstheme="majorHAnsi"/>
              </w:rPr>
              <w:instrText>ADDIN CSL_CITATION {"citationItems":[{"id":"ITEM-1","itemData":{"author":[{"dropping-particle":"","family":"Nutrition Resource Centre","given":"","non-dropping-particle":"","parse-names":false,"suffix":""}],"id":"ITEM-1","issued":{"date-parts":[["2017"]]},"title":"Ontario’s Healthy Menu Choices Act In Effect.","type":"report"},"uris":["http://www.mendeley.com/documents/?uuid=8490ec8b-b247-4c03-bdbf-c91b0e9b7559"]}],"mendeley":{"formattedCitation":"(60)","plainTextFormattedCitation":"(60)","previouslyFormattedCitation":"(60)"},"properties":{"noteIndex":0},"schema":"https://github.com/citation-style-language/schema/raw/master/csl-citation.json"}</w:instrText>
            </w:r>
            <w:r w:rsidR="00DE6548" w:rsidRPr="00375746">
              <w:rPr>
                <w:rFonts w:cstheme="majorHAnsi"/>
              </w:rPr>
              <w:fldChar w:fldCharType="separate"/>
            </w:r>
            <w:r w:rsidR="00A90C92" w:rsidRPr="00A90C92">
              <w:rPr>
                <w:rFonts w:cstheme="majorHAnsi"/>
                <w:noProof/>
              </w:rPr>
              <w:t>(60)</w:t>
            </w:r>
            <w:r w:rsidR="00DE6548" w:rsidRPr="00375746">
              <w:rPr>
                <w:rFonts w:cstheme="majorHAnsi"/>
              </w:rPr>
              <w:fldChar w:fldCharType="end"/>
            </w:r>
            <w:r w:rsidR="00DE6548" w:rsidRPr="00375746">
              <w:rPr>
                <w:rFonts w:cstheme="majorHAnsi"/>
              </w:rPr>
              <w:t xml:space="preserve">. </w:t>
            </w:r>
            <w:r w:rsidR="00040116" w:rsidRPr="00375746">
              <w:rPr>
                <w:rFonts w:cstheme="majorHAnsi"/>
              </w:rPr>
              <w:t xml:space="preserve"> </w:t>
            </w:r>
          </w:p>
          <w:p w14:paraId="0F14CB06" w14:textId="12759BB9" w:rsidR="00A01E17" w:rsidRPr="0091450A" w:rsidRDefault="00A01E17" w:rsidP="002D613F">
            <w:pPr>
              <w:pStyle w:val="ListParagraph"/>
              <w:keepNext/>
              <w:numPr>
                <w:ilvl w:val="0"/>
                <w:numId w:val="55"/>
              </w:numPr>
              <w:spacing w:before="40" w:after="40"/>
              <w:ind w:left="284" w:hanging="284"/>
              <w:contextualSpacing w:val="0"/>
              <w:rPr>
                <w:rFonts w:eastAsia="Times New Roman" w:cs="Times New Roman"/>
                <w:color w:val="292929"/>
                <w:lang w:eastAsia="en-GB"/>
              </w:rPr>
            </w:pPr>
            <w:r w:rsidRPr="0091450A">
              <w:rPr>
                <w:rFonts w:eastAsia="Times New Roman" w:cs="Times New Roman"/>
                <w:b/>
                <w:color w:val="292929"/>
                <w:lang w:eastAsia="en-GB"/>
              </w:rPr>
              <w:t>Saudi Arabia</w:t>
            </w:r>
            <w:r w:rsidRPr="0091450A">
              <w:rPr>
                <w:rFonts w:eastAsia="Times New Roman" w:cs="Times New Roman"/>
                <w:color w:val="292929"/>
                <w:lang w:eastAsia="en-GB"/>
              </w:rPr>
              <w:t>: In 2018, the Saudi Food and Drug Authority (SFDA) introduced mandatory measures on calorie labels on menus. These measures apply to all food facilities including restaurants, ice cream parlours, juice and fresh fruit vendors, bakeries, sweets shops, cafeterias, supermarkets, recreation facilities, colleges, universities and government agencies. Calories will be displayed at cashier desks, menu boards, table menus, drive-through menus, phone and web applications</w:t>
            </w:r>
            <w:r w:rsidR="006D0B9C" w:rsidRPr="0091450A">
              <w:rPr>
                <w:rFonts w:eastAsia="Times New Roman" w:cs="Times New Roman"/>
                <w:color w:val="292929"/>
                <w:lang w:eastAsia="en-GB"/>
              </w:rPr>
              <w:t xml:space="preserve"> </w:t>
            </w:r>
            <w:r w:rsidR="006D0B9C" w:rsidRPr="0091450A">
              <w:rPr>
                <w:rFonts w:eastAsia="Times New Roman" w:cs="Times New Roman"/>
                <w:color w:val="292929"/>
                <w:lang w:eastAsia="en-GB"/>
              </w:rPr>
              <w:fldChar w:fldCharType="begin" w:fldLock="1"/>
            </w:r>
            <w:r w:rsidR="002B6CB8">
              <w:rPr>
                <w:rFonts w:eastAsia="Times New Roman" w:cs="Times New Roman"/>
                <w:color w:val="292929"/>
                <w:lang w:eastAsia="en-GB"/>
              </w:rPr>
              <w:instrText>ADDIN CSL_CITATION {"citationItems":[{"id":"ITEM-1","itemData":{"URL":"https://www.sfda.gov.sa/en/food/news/Pages/f11-9-2018a1.aspx","author":[{"dropping-particle":"","family":"SFDA","given":"","non-dropping-particle":"","parse-names":false,"suffix":""}],"container-title":"Sfda","id":"ITEM-1","issued":{"date-parts":[["2018"]]},"title":"SFDA launches Healthy Food Regulation Strategy tomorrow","type":"webpage"},"uris":["http://www.mendeley.com/documents/?uuid=51db56df-2b13-4af5-815a-96cb17f74237"]}],"mendeley":{"formattedCitation":"(61)","plainTextFormattedCitation":"(61)","previouslyFormattedCitation":"(61)"},"properties":{"noteIndex":0},"schema":"https://github.com/citation-style-language/schema/raw/master/csl-citation.json"}</w:instrText>
            </w:r>
            <w:r w:rsidR="006D0B9C" w:rsidRPr="0091450A">
              <w:rPr>
                <w:rFonts w:eastAsia="Times New Roman" w:cs="Times New Roman"/>
                <w:color w:val="292929"/>
                <w:lang w:eastAsia="en-GB"/>
              </w:rPr>
              <w:fldChar w:fldCharType="separate"/>
            </w:r>
            <w:r w:rsidR="00A90C92" w:rsidRPr="00A90C92">
              <w:rPr>
                <w:rFonts w:eastAsia="Times New Roman" w:cs="Times New Roman"/>
                <w:noProof/>
                <w:color w:val="292929"/>
                <w:lang w:eastAsia="en-GB"/>
              </w:rPr>
              <w:t>(61)</w:t>
            </w:r>
            <w:r w:rsidR="006D0B9C" w:rsidRPr="0091450A">
              <w:rPr>
                <w:rFonts w:eastAsia="Times New Roman" w:cs="Times New Roman"/>
                <w:color w:val="292929"/>
                <w:lang w:eastAsia="en-GB"/>
              </w:rPr>
              <w:fldChar w:fldCharType="end"/>
            </w:r>
            <w:r w:rsidR="00040116" w:rsidRPr="0091450A">
              <w:rPr>
                <w:rFonts w:eastAsia="Times New Roman" w:cs="Times New Roman"/>
                <w:color w:val="292929"/>
                <w:lang w:eastAsia="en-GB"/>
              </w:rPr>
              <w:t xml:space="preserve">. </w:t>
            </w:r>
          </w:p>
        </w:tc>
      </w:tr>
    </w:tbl>
    <w:p w14:paraId="147104F0" w14:textId="5E1B57EB" w:rsidR="0035131E" w:rsidRDefault="0035131E" w:rsidP="002D613F">
      <w:pPr>
        <w:spacing w:line="240" w:lineRule="auto"/>
        <w:rPr>
          <w:b/>
        </w:rPr>
      </w:pPr>
    </w:p>
    <w:p w14:paraId="5A08BF2A" w14:textId="77777777" w:rsidR="00E44BFB" w:rsidRPr="0091450A" w:rsidRDefault="00E44BFB" w:rsidP="002D613F">
      <w:pPr>
        <w:spacing w:line="240" w:lineRule="auto"/>
        <w:rPr>
          <w:b/>
        </w:rPr>
      </w:pPr>
    </w:p>
    <w:tbl>
      <w:tblPr>
        <w:tblStyle w:val="TableGrid"/>
        <w:tblW w:w="9209" w:type="dxa"/>
        <w:tblLook w:val="04A0" w:firstRow="1" w:lastRow="0" w:firstColumn="1" w:lastColumn="0" w:noHBand="0" w:noVBand="1"/>
      </w:tblPr>
      <w:tblGrid>
        <w:gridCol w:w="9209"/>
      </w:tblGrid>
      <w:tr w:rsidR="002E08DF" w:rsidRPr="0091450A" w14:paraId="2ABB913E" w14:textId="77777777" w:rsidTr="00090A17">
        <w:tc>
          <w:tcPr>
            <w:tcW w:w="9209" w:type="dxa"/>
          </w:tcPr>
          <w:p w14:paraId="7F3B8DCB" w14:textId="2E707DFD" w:rsidR="002E08DF" w:rsidRPr="0091450A" w:rsidRDefault="008C0F53" w:rsidP="002D613F">
            <w:pPr>
              <w:shd w:val="clear" w:color="auto" w:fill="FFFFFF" w:themeFill="background1"/>
              <w:spacing w:before="40" w:after="40"/>
              <w:jc w:val="both"/>
              <w:rPr>
                <w:rFonts w:cs="Times New Roman"/>
                <w:bCs/>
                <w:szCs w:val="20"/>
              </w:rPr>
            </w:pPr>
            <w:bookmarkStart w:id="23" w:name="_Toc31623721"/>
            <w:r w:rsidRPr="0091450A">
              <w:rPr>
                <w:rStyle w:val="Heading2Char"/>
              </w:rPr>
              <w:t xml:space="preserve">3 </w:t>
            </w:r>
            <w:r w:rsidR="002E08DF" w:rsidRPr="0091450A">
              <w:rPr>
                <w:rStyle w:val="Heading2Char"/>
              </w:rPr>
              <w:t>FOOD PROMOTION</w:t>
            </w:r>
            <w:bookmarkEnd w:id="23"/>
            <w:r w:rsidR="002E08DF" w:rsidRPr="0091450A">
              <w:rPr>
                <w:rFonts w:cs="Times New Roman"/>
                <w:b/>
                <w:color w:val="1F497D" w:themeColor="text2"/>
                <w:sz w:val="28"/>
                <w:szCs w:val="28"/>
              </w:rPr>
              <w:t xml:space="preserve">: </w:t>
            </w:r>
            <w:r w:rsidR="00BC0290" w:rsidRPr="0091450A">
              <w:rPr>
                <w:rFonts w:cs="Times New Roman"/>
                <w:bCs/>
                <w:szCs w:val="20"/>
              </w:rPr>
              <w:t xml:space="preserve">There is a comprehensive policy implemented by the government to reduce the impact (exposure and power) of </w:t>
            </w:r>
            <w:r w:rsidR="00363671">
              <w:rPr>
                <w:rFonts w:cs="Times New Roman"/>
                <w:bCs/>
                <w:szCs w:val="20"/>
              </w:rPr>
              <w:t xml:space="preserve">the </w:t>
            </w:r>
            <w:r w:rsidR="00BC0290" w:rsidRPr="0091450A">
              <w:rPr>
                <w:rFonts w:cs="Times New Roman"/>
                <w:bCs/>
                <w:szCs w:val="20"/>
              </w:rPr>
              <w:t>promotion of unhealthy foods to children (&lt;16years) across all media</w:t>
            </w:r>
          </w:p>
        </w:tc>
      </w:tr>
      <w:tr w:rsidR="002E08DF" w:rsidRPr="0091450A" w14:paraId="71E6AD6B" w14:textId="77777777" w:rsidTr="00090A17">
        <w:tc>
          <w:tcPr>
            <w:tcW w:w="9209" w:type="dxa"/>
          </w:tcPr>
          <w:p w14:paraId="78BFD1F5" w14:textId="43FB4E2A" w:rsidR="002E08DF" w:rsidRPr="0091450A" w:rsidRDefault="00F86A73" w:rsidP="002D613F">
            <w:pPr>
              <w:spacing w:before="40" w:after="40"/>
              <w:rPr>
                <w:rFonts w:cs="Times New Roman"/>
                <w:b/>
                <w:color w:val="1F497D" w:themeColor="text2"/>
                <w:sz w:val="28"/>
                <w:szCs w:val="28"/>
              </w:rPr>
            </w:pPr>
            <w:bookmarkStart w:id="24" w:name="_Toc31623722"/>
            <w:r w:rsidRPr="0091450A">
              <w:rPr>
                <w:rStyle w:val="Heading3Char"/>
              </w:rPr>
              <w:t>PROMO1</w:t>
            </w:r>
            <w:bookmarkEnd w:id="24"/>
            <w:r w:rsidR="002E08DF" w:rsidRPr="0091450A">
              <w:rPr>
                <w:rStyle w:val="Heading2Char"/>
              </w:rPr>
              <w:t>:</w:t>
            </w:r>
            <w:r w:rsidR="002E08DF" w:rsidRPr="0091450A">
              <w:rPr>
                <w:rFonts w:cs="Times New Roman"/>
                <w:b/>
                <w:color w:val="1F497D" w:themeColor="text2"/>
                <w:sz w:val="28"/>
                <w:szCs w:val="28"/>
              </w:rPr>
              <w:t xml:space="preserve"> </w:t>
            </w:r>
            <w:r w:rsidR="00037B71" w:rsidRPr="0091450A">
              <w:rPr>
                <w:rFonts w:cs="Times New Roman"/>
                <w:b/>
                <w:color w:val="000000"/>
                <w:lang w:eastAsia="en-NZ"/>
              </w:rPr>
              <w:t xml:space="preserve">Effective policies are implemented by the government to restrict exposure and power of promotion of unhealthy foods to children through broadcast </w:t>
            </w:r>
            <w:r w:rsidR="00EC3517" w:rsidRPr="0091450A">
              <w:rPr>
                <w:rFonts w:cs="Times New Roman"/>
                <w:b/>
                <w:color w:val="000000"/>
                <w:lang w:eastAsia="en-NZ"/>
              </w:rPr>
              <w:t xml:space="preserve">media </w:t>
            </w:r>
            <w:r w:rsidR="00037B71" w:rsidRPr="0091450A">
              <w:rPr>
                <w:rFonts w:cs="Times New Roman"/>
                <w:b/>
                <w:color w:val="000000"/>
                <w:lang w:eastAsia="en-NZ"/>
              </w:rPr>
              <w:t>(TV, radio</w:t>
            </w:r>
            <w:r w:rsidR="00CB6A80" w:rsidRPr="0091450A">
              <w:rPr>
                <w:rFonts w:cs="Times New Roman"/>
                <w:b/>
                <w:color w:val="000000"/>
                <w:lang w:eastAsia="en-NZ"/>
              </w:rPr>
              <w:t>)</w:t>
            </w:r>
          </w:p>
        </w:tc>
      </w:tr>
      <w:tr w:rsidR="002E08DF" w:rsidRPr="0091450A" w14:paraId="7D6D633A" w14:textId="77777777" w:rsidTr="00090A17">
        <w:trPr>
          <w:trHeight w:val="1125"/>
        </w:trPr>
        <w:tc>
          <w:tcPr>
            <w:tcW w:w="9209" w:type="dxa"/>
          </w:tcPr>
          <w:p w14:paraId="0D32B542" w14:textId="063B9D2F"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9A0168E" w14:textId="265F1D53" w:rsidR="00D96346" w:rsidRPr="009C187F" w:rsidRDefault="00D96346" w:rsidP="002D613F">
            <w:pPr>
              <w:pStyle w:val="ListParagraph"/>
              <w:numPr>
                <w:ilvl w:val="0"/>
                <w:numId w:val="139"/>
              </w:numPr>
              <w:spacing w:before="40" w:after="40"/>
              <w:rPr>
                <w:rFonts w:cs="Times New Roman"/>
                <w:szCs w:val="20"/>
                <w:lang w:eastAsia="en-NZ"/>
              </w:rPr>
            </w:pPr>
            <w:r w:rsidRPr="009C187F">
              <w:rPr>
                <w:rFonts w:cs="Times New Roman"/>
                <w:szCs w:val="20"/>
                <w:lang w:eastAsia="en-NZ"/>
              </w:rPr>
              <w:t>There are no government regulations in place to restrict unhealthy food mark</w:t>
            </w:r>
            <w:r w:rsidR="007707BA" w:rsidRPr="009C187F">
              <w:rPr>
                <w:rFonts w:cs="Times New Roman"/>
                <w:szCs w:val="20"/>
                <w:lang w:eastAsia="en-NZ"/>
              </w:rPr>
              <w:t>eting to children through broad</w:t>
            </w:r>
            <w:r w:rsidRPr="009C187F">
              <w:rPr>
                <w:rFonts w:cs="Times New Roman"/>
                <w:szCs w:val="20"/>
                <w:lang w:eastAsia="en-NZ"/>
              </w:rPr>
              <w:t>cast media</w:t>
            </w:r>
            <w:r w:rsidR="004745E3" w:rsidRPr="009C187F">
              <w:rPr>
                <w:rFonts w:cs="Times New Roman"/>
                <w:szCs w:val="20"/>
                <w:lang w:eastAsia="en-NZ"/>
              </w:rPr>
              <w:t>.</w:t>
            </w:r>
          </w:p>
          <w:p w14:paraId="526C3E98" w14:textId="188CE5B2" w:rsidR="00D7562D" w:rsidRDefault="008D53FA" w:rsidP="00D7562D">
            <w:pPr>
              <w:pStyle w:val="ListParagraph"/>
              <w:numPr>
                <w:ilvl w:val="0"/>
                <w:numId w:val="139"/>
              </w:numPr>
              <w:shd w:val="clear" w:color="auto" w:fill="FFFFFF" w:themeFill="background1"/>
              <w:spacing w:before="40" w:after="40"/>
              <w:rPr>
                <w:rFonts w:cs="Times New Roman"/>
                <w:szCs w:val="20"/>
                <w:lang w:eastAsia="en-NZ"/>
              </w:rPr>
            </w:pPr>
            <w:r w:rsidRPr="00D7562D">
              <w:rPr>
                <w:rFonts w:cs="Times New Roman"/>
                <w:szCs w:val="20"/>
                <w:lang w:eastAsia="en-NZ"/>
              </w:rPr>
              <w:t xml:space="preserve">The ASA </w:t>
            </w:r>
            <w:r w:rsidR="00441D91" w:rsidRPr="00D7562D">
              <w:rPr>
                <w:rFonts w:cs="Times New Roman"/>
                <w:szCs w:val="20"/>
                <w:lang w:eastAsia="en-NZ"/>
              </w:rPr>
              <w:t xml:space="preserve">(Advertising Standards Authority) </w:t>
            </w:r>
            <w:r w:rsidR="00805609">
              <w:rPr>
                <w:rFonts w:cs="Times New Roman"/>
                <w:szCs w:val="20"/>
                <w:lang w:eastAsia="en-NZ"/>
              </w:rPr>
              <w:t>governs</w:t>
            </w:r>
            <w:r w:rsidR="00F559C2" w:rsidRPr="00D7562D">
              <w:rPr>
                <w:rFonts w:cs="Times New Roman"/>
                <w:szCs w:val="20"/>
                <w:lang w:eastAsia="en-NZ"/>
              </w:rPr>
              <w:t xml:space="preserve"> the </w:t>
            </w:r>
            <w:r w:rsidR="00954041" w:rsidRPr="00D7562D">
              <w:rPr>
                <w:rFonts w:cs="Times New Roman"/>
                <w:szCs w:val="20"/>
                <w:lang w:eastAsia="en-NZ"/>
              </w:rPr>
              <w:t xml:space="preserve">Children and Young Peoples </w:t>
            </w:r>
            <w:r w:rsidR="00805609">
              <w:rPr>
                <w:rFonts w:cs="Times New Roman"/>
                <w:szCs w:val="20"/>
                <w:lang w:eastAsia="en-NZ"/>
              </w:rPr>
              <w:t>A</w:t>
            </w:r>
            <w:r w:rsidR="00E54FDD" w:rsidRPr="00D7562D">
              <w:rPr>
                <w:rFonts w:cs="Times New Roman"/>
                <w:szCs w:val="20"/>
                <w:lang w:eastAsia="en-NZ"/>
              </w:rPr>
              <w:t>dvertising</w:t>
            </w:r>
            <w:r w:rsidR="00954041" w:rsidRPr="00D7562D">
              <w:rPr>
                <w:rFonts w:cs="Times New Roman"/>
                <w:szCs w:val="20"/>
                <w:lang w:eastAsia="en-NZ"/>
              </w:rPr>
              <w:t xml:space="preserve"> </w:t>
            </w:r>
            <w:r w:rsidR="00805609">
              <w:rPr>
                <w:rFonts w:cs="Times New Roman"/>
                <w:szCs w:val="20"/>
                <w:lang w:eastAsia="en-NZ"/>
              </w:rPr>
              <w:t>Code</w:t>
            </w:r>
            <w:r w:rsidR="006920EB">
              <w:rPr>
                <w:rFonts w:cs="Times New Roman"/>
                <w:szCs w:val="20"/>
                <w:lang w:eastAsia="en-NZ"/>
              </w:rPr>
              <w:t>,</w:t>
            </w:r>
            <w:r w:rsidR="00954041" w:rsidRPr="00D7562D">
              <w:rPr>
                <w:rFonts w:cs="Times New Roman"/>
                <w:szCs w:val="20"/>
                <w:lang w:eastAsia="en-NZ"/>
              </w:rPr>
              <w:t xml:space="preserve"> published </w:t>
            </w:r>
            <w:r w:rsidR="00F559C2" w:rsidRPr="00D7562D">
              <w:rPr>
                <w:rFonts w:cs="Times New Roman"/>
                <w:szCs w:val="20"/>
                <w:lang w:eastAsia="en-NZ"/>
              </w:rPr>
              <w:t>in 2017</w:t>
            </w:r>
            <w:r w:rsidR="006920EB">
              <w:rPr>
                <w:rFonts w:cs="Times New Roman"/>
                <w:szCs w:val="20"/>
                <w:lang w:eastAsia="en-NZ"/>
              </w:rPr>
              <w:t>. The Code includes</w:t>
            </w:r>
            <w:r w:rsidR="00E54FDD" w:rsidRPr="00D7562D">
              <w:rPr>
                <w:rFonts w:cs="Times New Roman"/>
                <w:szCs w:val="20"/>
                <w:lang w:eastAsia="en-NZ"/>
              </w:rPr>
              <w:t xml:space="preserve"> specific food and beverage advertisements rules</w:t>
            </w:r>
            <w:r w:rsidR="006920EB">
              <w:rPr>
                <w:rFonts w:cs="Times New Roman"/>
                <w:szCs w:val="20"/>
                <w:lang w:eastAsia="en-NZ"/>
              </w:rPr>
              <w:t xml:space="preserve"> for children (up to 14 years) and young people (up to 18 years).</w:t>
            </w:r>
            <w:r w:rsidR="00606D57">
              <w:rPr>
                <w:rFonts w:cs="Times New Roman"/>
                <w:szCs w:val="20"/>
                <w:lang w:eastAsia="en-NZ"/>
              </w:rPr>
              <w:t xml:space="preserve"> The advertising of</w:t>
            </w:r>
            <w:r w:rsidR="006920EB">
              <w:rPr>
                <w:rFonts w:cs="Times New Roman"/>
                <w:szCs w:val="20"/>
                <w:lang w:eastAsia="en-NZ"/>
              </w:rPr>
              <w:t xml:space="preserve"> </w:t>
            </w:r>
            <w:r w:rsidR="00606D57">
              <w:rPr>
                <w:rFonts w:cs="Times New Roman"/>
                <w:szCs w:val="20"/>
                <w:lang w:eastAsia="en-NZ"/>
              </w:rPr>
              <w:t>o</w:t>
            </w:r>
            <w:r w:rsidR="006920EB">
              <w:rPr>
                <w:rFonts w:cs="Times New Roman"/>
                <w:szCs w:val="20"/>
                <w:lang w:eastAsia="en-NZ"/>
              </w:rPr>
              <w:t>ccasional food</w:t>
            </w:r>
            <w:r w:rsidR="008D1C8B">
              <w:rPr>
                <w:rFonts w:cs="Times New Roman"/>
                <w:szCs w:val="20"/>
                <w:lang w:eastAsia="en-NZ"/>
              </w:rPr>
              <w:t xml:space="preserve">, as defined by the Ministry of Health Food and Beverage Classification system </w:t>
            </w:r>
            <w:r w:rsidR="009310A4">
              <w:rPr>
                <w:rFonts w:cs="Times New Roman"/>
                <w:szCs w:val="20"/>
                <w:lang w:eastAsia="en-NZ"/>
              </w:rPr>
              <w:t xml:space="preserve">is </w:t>
            </w:r>
            <w:r w:rsidR="00606D57">
              <w:rPr>
                <w:rFonts w:cs="Times New Roman"/>
                <w:szCs w:val="20"/>
                <w:lang w:eastAsia="en-NZ"/>
              </w:rPr>
              <w:t>unable to be ‘targeted at children’ as defined by the Code</w:t>
            </w:r>
            <w:r w:rsidR="00E54FDD" w:rsidRPr="00D7562D">
              <w:rPr>
                <w:rFonts w:cs="Times New Roman"/>
                <w:szCs w:val="20"/>
                <w:lang w:eastAsia="en-NZ"/>
              </w:rPr>
              <w:t xml:space="preserve"> </w:t>
            </w:r>
            <w:r w:rsidR="00EE1831" w:rsidRPr="00D7562D">
              <w:rPr>
                <w:rFonts w:cs="Times New Roman"/>
                <w:szCs w:val="20"/>
                <w:lang w:eastAsia="en-NZ"/>
              </w:rPr>
              <w:fldChar w:fldCharType="begin" w:fldLock="1"/>
            </w:r>
            <w:r w:rsidR="00E07049">
              <w:rPr>
                <w:rFonts w:cs="Times New Roman"/>
                <w:szCs w:val="20"/>
                <w:lang w:eastAsia="en-NZ"/>
              </w:rPr>
              <w:instrText>ADDIN CSL_CITATION {"citationItems":[{"id":"ITEM-1","itemData":{"author":[{"dropping-particle":"","family":"Advertising Standards Authority","given":"","non-dropping-particle":"","parse-names":false,"suffix":""}],"id":"ITEM-1","issued":{"date-parts":[["2017"]]},"number-of-pages":"1-9","title":"Children and Young People's Advertising Code","type":"report"},"uris":["http://www.mendeley.com/documents/?uuid=5f87d0de-c012-3411-b18c-d881b1541fc2","http://www.mendeley.com/documents/?uuid=94d4fd64-1068-4a40-9bc6-9082af1199b8"]}],"mendeley":{"formattedCitation":"(62)","plainTextFormattedCitation":"(62)","previouslyFormattedCitation":"(62)"},"properties":{"noteIndex":0},"schema":"https://github.com/citation-style-language/schema/raw/master/csl-citation.json"}</w:instrText>
            </w:r>
            <w:r w:rsidR="00EE1831" w:rsidRPr="00D7562D">
              <w:rPr>
                <w:rFonts w:cs="Times New Roman"/>
                <w:szCs w:val="20"/>
                <w:lang w:eastAsia="en-NZ"/>
              </w:rPr>
              <w:fldChar w:fldCharType="separate"/>
            </w:r>
            <w:r w:rsidR="00A90C92" w:rsidRPr="00A90C92">
              <w:rPr>
                <w:rFonts w:cs="Times New Roman"/>
                <w:noProof/>
                <w:szCs w:val="20"/>
                <w:lang w:eastAsia="en-NZ"/>
              </w:rPr>
              <w:t>(62)</w:t>
            </w:r>
            <w:r w:rsidR="00EE1831" w:rsidRPr="00D7562D">
              <w:rPr>
                <w:rFonts w:cs="Times New Roman"/>
                <w:szCs w:val="20"/>
                <w:lang w:eastAsia="en-NZ"/>
              </w:rPr>
              <w:fldChar w:fldCharType="end"/>
            </w:r>
            <w:r w:rsidR="005B617B" w:rsidRPr="00D7562D">
              <w:rPr>
                <w:rFonts w:cs="Times New Roman"/>
                <w:szCs w:val="20"/>
                <w:lang w:eastAsia="en-NZ"/>
              </w:rPr>
              <w:t>.</w:t>
            </w:r>
            <w:r w:rsidRPr="00D7562D">
              <w:rPr>
                <w:rFonts w:cs="Times New Roman"/>
                <w:szCs w:val="20"/>
                <w:lang w:eastAsia="en-NZ"/>
              </w:rPr>
              <w:t xml:space="preserve"> </w:t>
            </w:r>
            <w:r w:rsidR="00600A9C">
              <w:rPr>
                <w:rFonts w:cs="Times New Roman"/>
                <w:szCs w:val="20"/>
                <w:lang w:eastAsia="en-NZ"/>
              </w:rPr>
              <w:t xml:space="preserve"> Public health academics have criticised th</w:t>
            </w:r>
            <w:r w:rsidR="005C7940">
              <w:rPr>
                <w:rFonts w:cs="Times New Roman"/>
                <w:szCs w:val="20"/>
                <w:lang w:eastAsia="en-NZ"/>
              </w:rPr>
              <w:t>e definition used by the ASA a</w:t>
            </w:r>
            <w:r w:rsidR="00F7449F">
              <w:rPr>
                <w:rFonts w:cs="Times New Roman"/>
                <w:szCs w:val="20"/>
                <w:lang w:eastAsia="en-NZ"/>
              </w:rPr>
              <w:t>s</w:t>
            </w:r>
            <w:r w:rsidR="005C7940">
              <w:rPr>
                <w:rFonts w:cs="Times New Roman"/>
                <w:szCs w:val="20"/>
                <w:lang w:eastAsia="en-NZ"/>
              </w:rPr>
              <w:t xml:space="preserve"> it is too narrow in scope and does not accurately capture the advertising to which children are actually exposed, </w:t>
            </w:r>
            <w:r w:rsidR="00E44BFB">
              <w:rPr>
                <w:rFonts w:cs="Times New Roman"/>
                <w:szCs w:val="20"/>
                <w:lang w:eastAsia="en-NZ"/>
              </w:rPr>
              <w:t xml:space="preserve">which is </w:t>
            </w:r>
            <w:r w:rsidR="005C7940">
              <w:rPr>
                <w:rFonts w:cs="Times New Roman"/>
                <w:szCs w:val="20"/>
                <w:lang w:eastAsia="en-NZ"/>
              </w:rPr>
              <w:t xml:space="preserve">the definition the WHO endorses. </w:t>
            </w:r>
            <w:r w:rsidR="00F559C2" w:rsidRPr="00D7562D">
              <w:rPr>
                <w:rFonts w:cs="Times New Roman"/>
                <w:szCs w:val="20"/>
              </w:rPr>
              <w:fldChar w:fldCharType="begin" w:fldLock="1"/>
            </w:r>
            <w:r w:rsidR="002B6CB8">
              <w:rPr>
                <w:rFonts w:cs="Times New Roman"/>
                <w:szCs w:val="20"/>
              </w:rPr>
              <w:instrText>ADDIN CSL_CITATION {"citationItems":[{"id":"ITEM-1","itemData":{"author":[{"dropping-particle":"","family":"Boyd Swinburn","given":"Stefanie Vandevijvere on behalf of submitting health professors","non-dropping-particle":"","parse-names":false,"suffix":""}],"container-title":"NZ Medical Journal","id":"ITEM-1","issue":"1450","issued":{"date-parts":[["2017"]]},"title":"Proposed new industry code on unhealthy food marketing to children and young people: will it make a difference?","type":"article-journal","volume":"130"},"uris":["http://www.mendeley.com/documents/?uuid=51fef035-f3d6-3b5b-bee0-00747eaa3343","http://www.mendeley.com/documents/?uuid=c3204108-8789-4177-8205-60bbdaafd8ab"]}],"mendeley":{"formattedCitation":"(63)","plainTextFormattedCitation":"(63)","previouslyFormattedCitation":"(63)"},"properties":{"noteIndex":0},"schema":"https://github.com/citation-style-language/schema/raw/master/csl-citation.json"}</w:instrText>
            </w:r>
            <w:r w:rsidR="00F559C2" w:rsidRPr="00D7562D">
              <w:rPr>
                <w:rFonts w:cs="Times New Roman"/>
                <w:szCs w:val="20"/>
              </w:rPr>
              <w:fldChar w:fldCharType="separate"/>
            </w:r>
            <w:r w:rsidR="00A90C92" w:rsidRPr="00A90C92">
              <w:rPr>
                <w:rFonts w:cs="Times New Roman"/>
                <w:noProof/>
                <w:szCs w:val="20"/>
              </w:rPr>
              <w:t>(63)</w:t>
            </w:r>
            <w:r w:rsidR="00F559C2" w:rsidRPr="00D7562D">
              <w:rPr>
                <w:rFonts w:cs="Times New Roman"/>
                <w:szCs w:val="20"/>
              </w:rPr>
              <w:fldChar w:fldCharType="end"/>
            </w:r>
            <w:r w:rsidR="00F559C2" w:rsidRPr="00D7562D">
              <w:rPr>
                <w:rFonts w:cs="Times New Roman"/>
                <w:szCs w:val="20"/>
              </w:rPr>
              <w:t>.</w:t>
            </w:r>
          </w:p>
          <w:p w14:paraId="7F86CF22" w14:textId="3E08CAD9" w:rsidR="00A37764" w:rsidRPr="008E2577" w:rsidRDefault="00A37764" w:rsidP="008E2577">
            <w:pPr>
              <w:pStyle w:val="ListParagraph"/>
              <w:numPr>
                <w:ilvl w:val="0"/>
                <w:numId w:val="139"/>
              </w:numPr>
              <w:spacing w:after="240"/>
              <w:rPr>
                <w:rFonts w:cs="Times New Roman"/>
                <w:szCs w:val="20"/>
                <w:lang w:eastAsia="en-NZ"/>
              </w:rPr>
            </w:pPr>
            <w:r w:rsidRPr="008E2577">
              <w:rPr>
                <w:rFonts w:cs="Times New Roman"/>
                <w:szCs w:val="20"/>
                <w:lang w:eastAsia="en-NZ"/>
              </w:rPr>
              <w:t>Sixteen complaints were made</w:t>
            </w:r>
            <w:r w:rsidR="008E2577">
              <w:rPr>
                <w:rFonts w:cs="Times New Roman"/>
                <w:szCs w:val="20"/>
                <w:lang w:eastAsia="en-NZ"/>
              </w:rPr>
              <w:t xml:space="preserve"> regarding advertising of occasional food to children and young people</w:t>
            </w:r>
            <w:r w:rsidRPr="008E2577">
              <w:rPr>
                <w:rFonts w:cs="Times New Roman"/>
                <w:szCs w:val="20"/>
                <w:lang w:eastAsia="en-NZ"/>
              </w:rPr>
              <w:t xml:space="preserve"> between 2017 and 2019. Eight were brought under the CYPA Code solely, six under both the CYPA Code and the A</w:t>
            </w:r>
            <w:r w:rsidR="008E2577">
              <w:rPr>
                <w:rFonts w:cs="Times New Roman"/>
                <w:szCs w:val="20"/>
                <w:lang w:eastAsia="en-NZ"/>
              </w:rPr>
              <w:t xml:space="preserve">dvertising </w:t>
            </w:r>
            <w:r w:rsidR="008E2577" w:rsidRPr="008E2577">
              <w:rPr>
                <w:rFonts w:cs="Times New Roman"/>
                <w:szCs w:val="20"/>
                <w:lang w:eastAsia="en-NZ"/>
              </w:rPr>
              <w:t>S</w:t>
            </w:r>
            <w:r w:rsidR="008E2577">
              <w:rPr>
                <w:rFonts w:cs="Times New Roman"/>
                <w:szCs w:val="20"/>
                <w:lang w:eastAsia="en-NZ"/>
              </w:rPr>
              <w:t xml:space="preserve">tandards </w:t>
            </w:r>
            <w:r w:rsidRPr="008E2577">
              <w:rPr>
                <w:rFonts w:cs="Times New Roman"/>
                <w:szCs w:val="20"/>
                <w:lang w:eastAsia="en-NZ"/>
              </w:rPr>
              <w:t>C</w:t>
            </w:r>
            <w:r w:rsidR="008E2577">
              <w:rPr>
                <w:rFonts w:cs="Times New Roman"/>
                <w:szCs w:val="20"/>
                <w:lang w:eastAsia="en-NZ"/>
              </w:rPr>
              <w:t>ode</w:t>
            </w:r>
            <w:r w:rsidRPr="008E2577">
              <w:rPr>
                <w:rFonts w:cs="Times New Roman"/>
                <w:szCs w:val="20"/>
                <w:lang w:eastAsia="en-NZ"/>
              </w:rPr>
              <w:t xml:space="preserve"> and two under the CYPA Code and other Codes </w:t>
            </w:r>
            <w:r w:rsidR="008E2577">
              <w:rPr>
                <w:rFonts w:cs="Times New Roman"/>
                <w:szCs w:val="20"/>
                <w:lang w:eastAsia="en-NZ"/>
              </w:rPr>
              <w:t>(</w:t>
            </w:r>
            <w:r w:rsidRPr="008E2577">
              <w:rPr>
                <w:rFonts w:cs="Times New Roman"/>
                <w:szCs w:val="20"/>
                <w:lang w:eastAsia="en-NZ"/>
              </w:rPr>
              <w:t xml:space="preserve">Advertising Code of Ethics and Code for Advertising Food). </w:t>
            </w:r>
            <w:r w:rsidR="00D42DC6">
              <w:rPr>
                <w:rFonts w:cs="Times New Roman"/>
                <w:szCs w:val="20"/>
                <w:lang w:eastAsia="en-NZ"/>
              </w:rPr>
              <w:t xml:space="preserve"> </w:t>
            </w:r>
            <w:r w:rsidRPr="008E2577">
              <w:rPr>
                <w:rFonts w:cs="Times New Roman"/>
                <w:szCs w:val="20"/>
                <w:lang w:eastAsia="en-NZ"/>
              </w:rPr>
              <w:t xml:space="preserve">The advertising mediums included a mix of television advertisements, online advertisements (Facebook, websites, Instagram), outdoor advertisements (outside shops, street signage, bus shelters) or print advertisements. The marketing techniques used include using famous sports stars, children, digital techniques such as emojis or characters like Santa Claus, and advertising limited edition offers, major food and beverage industry sponsored events or advertising the ‘healthful’ nature of the products (i.e. a healthy burger or pizza options). Other advertisements suggested ways children could consume products, like, cookies for breakfast cereal, chocolate eggs ‘made for kids’, or biscuit packets in lunch boxes. Public health experts, who were testing how the various ASA Codes would be interpreted and enforced, made the complaints. </w:t>
            </w:r>
          </w:p>
          <w:p w14:paraId="28D47600" w14:textId="05E34BB3" w:rsidR="009C187F" w:rsidRPr="003D630F" w:rsidRDefault="00A37764" w:rsidP="007159FF">
            <w:pPr>
              <w:pStyle w:val="ListParagraph"/>
              <w:numPr>
                <w:ilvl w:val="0"/>
                <w:numId w:val="139"/>
              </w:numPr>
              <w:shd w:val="clear" w:color="auto" w:fill="FFFFFF" w:themeFill="background1"/>
              <w:autoSpaceDE w:val="0"/>
              <w:autoSpaceDN w:val="0"/>
              <w:adjustRightInd w:val="0"/>
              <w:spacing w:before="40" w:after="40"/>
              <w:rPr>
                <w:rFonts w:cs="Times New Roman"/>
                <w:szCs w:val="20"/>
                <w:lang w:eastAsia="en-NZ"/>
              </w:rPr>
            </w:pPr>
            <w:r w:rsidRPr="003D630F">
              <w:rPr>
                <w:rFonts w:cs="Times New Roman"/>
                <w:szCs w:val="20"/>
                <w:lang w:eastAsia="en-NZ"/>
              </w:rPr>
              <w:t xml:space="preserve">Two complaints were upheld under the CYPA </w:t>
            </w:r>
            <w:r w:rsidR="003E0447" w:rsidRPr="003D630F">
              <w:rPr>
                <w:rFonts w:cs="Times New Roman"/>
                <w:szCs w:val="20"/>
                <w:lang w:eastAsia="en-NZ"/>
              </w:rPr>
              <w:t>Code;</w:t>
            </w:r>
            <w:r w:rsidRPr="003D630F">
              <w:rPr>
                <w:rFonts w:cs="Times New Roman"/>
                <w:szCs w:val="20"/>
                <w:lang w:eastAsia="en-NZ"/>
              </w:rPr>
              <w:t xml:space="preserve"> </w:t>
            </w:r>
            <w:r w:rsidR="003E0447" w:rsidRPr="003D630F">
              <w:rPr>
                <w:rFonts w:cs="Times New Roman"/>
                <w:szCs w:val="20"/>
                <w:lang w:eastAsia="en-NZ"/>
              </w:rPr>
              <w:t>however,</w:t>
            </w:r>
            <w:r w:rsidRPr="003D630F">
              <w:rPr>
                <w:rFonts w:cs="Times New Roman"/>
                <w:szCs w:val="20"/>
                <w:lang w:eastAsia="en-NZ"/>
              </w:rPr>
              <w:t xml:space="preserve"> one was </w:t>
            </w:r>
            <w:r w:rsidR="002A071B" w:rsidRPr="003D630F">
              <w:rPr>
                <w:rFonts w:cs="Times New Roman"/>
                <w:szCs w:val="20"/>
                <w:lang w:eastAsia="en-NZ"/>
              </w:rPr>
              <w:t>appealed,</w:t>
            </w:r>
            <w:r w:rsidRPr="003D630F">
              <w:rPr>
                <w:rFonts w:cs="Times New Roman"/>
                <w:szCs w:val="20"/>
                <w:lang w:eastAsia="en-NZ"/>
              </w:rPr>
              <w:t xml:space="preserve"> and the decision reversed, and four complaints were upheld under the ASC. Two further complaints were settled, and one complaint was partially settled therefore no decision was given. Therefore, of the sixteen complaints, twelve were not upheld, and only one was upheld under the CYPA Code.</w:t>
            </w:r>
          </w:p>
          <w:p w14:paraId="3A569B61" w14:textId="77777777" w:rsidR="003D630F" w:rsidRPr="007159FF" w:rsidRDefault="003D630F" w:rsidP="007159FF">
            <w:pPr>
              <w:pStyle w:val="ListParagraph"/>
              <w:spacing w:before="40" w:after="40"/>
              <w:ind w:left="360"/>
              <w:contextualSpacing w:val="0"/>
              <w:rPr>
                <w:rFonts w:cs="Times New Roman"/>
                <w:szCs w:val="20"/>
              </w:rPr>
            </w:pPr>
          </w:p>
          <w:p w14:paraId="6D95D6E0" w14:textId="2A1D1FB8" w:rsidR="009C187F" w:rsidRPr="009C187F" w:rsidRDefault="007A19D8" w:rsidP="002D613F">
            <w:pPr>
              <w:pStyle w:val="ListParagraph"/>
              <w:numPr>
                <w:ilvl w:val="0"/>
                <w:numId w:val="44"/>
              </w:numPr>
              <w:spacing w:before="40" w:after="40"/>
              <w:contextualSpacing w:val="0"/>
              <w:rPr>
                <w:rFonts w:cs="Times New Roman"/>
                <w:szCs w:val="20"/>
              </w:rPr>
            </w:pPr>
            <w:r w:rsidRPr="0091450A">
              <w:rPr>
                <w:u w:val="single"/>
              </w:rPr>
              <w:t>Principle 1:</w:t>
            </w:r>
            <w:r w:rsidRPr="0091450A">
              <w:t xml:space="preserve"> Advertisements targeted at children or young people must not contain anything that is likely to result in their physical, mental or moral harm and must observe a high standard of social responsibility</w:t>
            </w:r>
            <w:r w:rsidRPr="0091450A">
              <w:rPr>
                <w:b/>
              </w:rPr>
              <w:t>.</w:t>
            </w:r>
          </w:p>
          <w:p w14:paraId="2F74D96A" w14:textId="77777777" w:rsidR="009C187F" w:rsidRPr="009C187F" w:rsidRDefault="007A19D8" w:rsidP="002D613F">
            <w:pPr>
              <w:pStyle w:val="ListParagraph"/>
              <w:numPr>
                <w:ilvl w:val="1"/>
                <w:numId w:val="44"/>
              </w:numPr>
              <w:spacing w:before="40" w:after="40"/>
              <w:contextualSpacing w:val="0"/>
              <w:rPr>
                <w:rFonts w:cs="Times New Roman"/>
                <w:szCs w:val="20"/>
              </w:rPr>
            </w:pPr>
            <w:r w:rsidRPr="009C187F">
              <w:rPr>
                <w:i/>
              </w:rPr>
              <w:t>Rule 1(</w:t>
            </w:r>
            <w:proofErr w:type="spellStart"/>
            <w:r w:rsidR="00B95D51" w:rsidRPr="009C187F">
              <w:rPr>
                <w:i/>
              </w:rPr>
              <w:t>i</w:t>
            </w:r>
            <w:proofErr w:type="spellEnd"/>
            <w:r w:rsidRPr="009C187F">
              <w:rPr>
                <w:i/>
              </w:rPr>
              <w:t>)</w:t>
            </w:r>
            <w:r w:rsidRPr="009C187F">
              <w:rPr>
                <w:rFonts w:cs="Times New Roman"/>
                <w:bCs/>
                <w:szCs w:val="20"/>
              </w:rPr>
              <w:t xml:space="preserve"> </w:t>
            </w:r>
            <w:r w:rsidRPr="0091450A">
              <w:t>Advertisements (including sponsorship advertisements) for occasional food or beverage products must not target children or be placed in any media where children are likely to be a significant proportion o</w:t>
            </w:r>
            <w:r w:rsidR="00447F63" w:rsidRPr="0091450A">
              <w:t>f the expected average audience (</w:t>
            </w:r>
            <w:r w:rsidRPr="0091450A">
              <w:t xml:space="preserve">25% or more of expected audience will </w:t>
            </w:r>
            <w:r w:rsidR="00447F63" w:rsidRPr="0091450A">
              <w:t>be children)</w:t>
            </w:r>
            <w:r w:rsidR="004745E3" w:rsidRPr="0091450A">
              <w:t>.</w:t>
            </w:r>
          </w:p>
          <w:p w14:paraId="5D4A35BA" w14:textId="77777777" w:rsidR="009C187F" w:rsidRPr="009C187F" w:rsidRDefault="007A19D8" w:rsidP="002D613F">
            <w:pPr>
              <w:pStyle w:val="ListParagraph"/>
              <w:numPr>
                <w:ilvl w:val="1"/>
                <w:numId w:val="44"/>
              </w:numPr>
              <w:spacing w:before="40" w:after="40"/>
              <w:contextualSpacing w:val="0"/>
              <w:rPr>
                <w:rFonts w:cs="Times New Roman"/>
                <w:szCs w:val="20"/>
              </w:rPr>
            </w:pPr>
            <w:r w:rsidRPr="009C187F">
              <w:rPr>
                <w:i/>
              </w:rPr>
              <w:t>Rule 1(j)</w:t>
            </w:r>
            <w:r w:rsidRPr="009C187F">
              <w:rPr>
                <w:rFonts w:cs="Times New Roman"/>
                <w:bCs/>
                <w:szCs w:val="20"/>
              </w:rPr>
              <w:t xml:space="preserve"> </w:t>
            </w:r>
            <w:r w:rsidR="00447F63" w:rsidRPr="0091450A">
              <w:t>a</w:t>
            </w:r>
            <w:r w:rsidRPr="0091450A">
              <w:t xml:space="preserve"> special duty of care must be applied to occasional food and beverage product advertising to young people</w:t>
            </w:r>
            <w:r w:rsidRPr="009C187F">
              <w:rPr>
                <w:rFonts w:cs="Times New Roman"/>
                <w:i/>
                <w:iCs/>
                <w:szCs w:val="20"/>
              </w:rPr>
              <w:t xml:space="preserve">. </w:t>
            </w:r>
          </w:p>
          <w:p w14:paraId="267BE606" w14:textId="77777777" w:rsidR="009C187F" w:rsidRPr="009C187F" w:rsidRDefault="007A19D8" w:rsidP="002D613F">
            <w:pPr>
              <w:pStyle w:val="ListParagraph"/>
              <w:numPr>
                <w:ilvl w:val="1"/>
                <w:numId w:val="44"/>
              </w:numPr>
              <w:spacing w:before="40" w:after="40"/>
              <w:contextualSpacing w:val="0"/>
              <w:rPr>
                <w:rFonts w:cs="Times New Roman"/>
                <w:szCs w:val="20"/>
              </w:rPr>
            </w:pPr>
            <w:r w:rsidRPr="009C187F">
              <w:rPr>
                <w:i/>
              </w:rPr>
              <w:t>Rule 1(k)</w:t>
            </w:r>
            <w:r w:rsidRPr="009C187F">
              <w:rPr>
                <w:rFonts w:cs="Times New Roman"/>
                <w:bCs/>
                <w:szCs w:val="20"/>
              </w:rPr>
              <w:t xml:space="preserve"> </w:t>
            </w:r>
            <w:r w:rsidR="00447F63" w:rsidRPr="009C187F">
              <w:rPr>
                <w:rFonts w:cs="Times New Roman"/>
                <w:iCs/>
                <w:szCs w:val="20"/>
              </w:rPr>
              <w:t>the</w:t>
            </w:r>
            <w:r w:rsidRPr="009C187F">
              <w:rPr>
                <w:rFonts w:cs="Times New Roman"/>
                <w:iCs/>
                <w:szCs w:val="20"/>
              </w:rPr>
              <w:t xml:space="preserve"> quantity of the food in the advertisement should not exceed portion sizes that would be appropriate for consumption on one occasion by a person or persons of the age depicted.</w:t>
            </w:r>
            <w:r w:rsidRPr="009C187F">
              <w:rPr>
                <w:rFonts w:cs="Times New Roman"/>
                <w:i/>
                <w:iCs/>
                <w:szCs w:val="20"/>
              </w:rPr>
              <w:t xml:space="preserve"> </w:t>
            </w:r>
          </w:p>
          <w:p w14:paraId="1504EA23" w14:textId="5EC0D36D" w:rsidR="007A19D8" w:rsidRPr="009C187F" w:rsidRDefault="007A19D8" w:rsidP="002D613F">
            <w:pPr>
              <w:pStyle w:val="ListParagraph"/>
              <w:numPr>
                <w:ilvl w:val="1"/>
                <w:numId w:val="44"/>
              </w:numPr>
              <w:spacing w:before="40" w:after="40"/>
              <w:contextualSpacing w:val="0"/>
              <w:rPr>
                <w:rFonts w:cs="Times New Roman"/>
                <w:szCs w:val="20"/>
              </w:rPr>
            </w:pPr>
            <w:r w:rsidRPr="009C187F">
              <w:rPr>
                <w:i/>
              </w:rPr>
              <w:t>Rule 1(l)</w:t>
            </w:r>
            <w:r w:rsidRPr="009C187F">
              <w:rPr>
                <w:rFonts w:cs="Times New Roman"/>
                <w:bCs/>
                <w:szCs w:val="20"/>
              </w:rPr>
              <w:t xml:space="preserve"> </w:t>
            </w:r>
            <w:r w:rsidRPr="0091450A">
              <w:t>Advertisements featuring a promotional offer of interest to children or young people which is linked to food and beverage products must avoid creating a sense of urgency or encouraging the purchase of an excessive quantity for irresponsible consumption. Guidance note: no promotional offers for occasional food and beverage products to children</w:t>
            </w:r>
            <w:r w:rsidR="004745E3" w:rsidRPr="0091450A">
              <w:t>.</w:t>
            </w:r>
          </w:p>
          <w:p w14:paraId="789700C7" w14:textId="77777777" w:rsidR="007A19D8" w:rsidRPr="0091450A" w:rsidRDefault="007A19D8" w:rsidP="002D613F">
            <w:pPr>
              <w:pStyle w:val="ListParagraph"/>
              <w:numPr>
                <w:ilvl w:val="0"/>
                <w:numId w:val="44"/>
              </w:numPr>
              <w:spacing w:before="40" w:after="40"/>
              <w:contextualSpacing w:val="0"/>
              <w:rPr>
                <w:rFonts w:cs="Times New Roman"/>
                <w:szCs w:val="20"/>
              </w:rPr>
            </w:pPr>
            <w:r w:rsidRPr="0091450A">
              <w:rPr>
                <w:u w:val="single"/>
              </w:rPr>
              <w:t>Principle 2:</w:t>
            </w:r>
            <w:r w:rsidRPr="0091450A">
              <w:rPr>
                <w:rFonts w:cs="Times New Roman"/>
                <w:bCs/>
                <w:szCs w:val="20"/>
              </w:rPr>
              <w:t xml:space="preserve"> Advertisements must not by implication, omission, ambiguity or exaggerated claim mislead or deceive or be likely to mislead or deceive children or young people, abuse their trust or exploit their lack of knowledge. </w:t>
            </w:r>
          </w:p>
          <w:p w14:paraId="5405B7BF" w14:textId="0BE61453" w:rsidR="007A19D8" w:rsidRPr="0091450A" w:rsidRDefault="007A19D8" w:rsidP="002D613F">
            <w:pPr>
              <w:pStyle w:val="ListParagraph"/>
              <w:numPr>
                <w:ilvl w:val="1"/>
                <w:numId w:val="44"/>
              </w:numPr>
              <w:spacing w:before="40" w:after="40"/>
              <w:contextualSpacing w:val="0"/>
              <w:rPr>
                <w:rFonts w:cs="Times New Roman"/>
                <w:szCs w:val="20"/>
              </w:rPr>
            </w:pPr>
            <w:r w:rsidRPr="0091450A">
              <w:rPr>
                <w:i/>
              </w:rPr>
              <w:t>Rule 2(f)</w:t>
            </w:r>
            <w:r w:rsidRPr="0091450A">
              <w:rPr>
                <w:rFonts w:cs="Times New Roman"/>
                <w:bCs/>
                <w:szCs w:val="20"/>
              </w:rPr>
              <w:t xml:space="preserve"> </w:t>
            </w:r>
            <w:r w:rsidRPr="0091450A">
              <w:t>Advertisements must not mislead as to the potential physical, social or mental health benefits from consumption of the product</w:t>
            </w:r>
            <w:r w:rsidR="004745E3" w:rsidRPr="0091450A">
              <w:t>.</w:t>
            </w:r>
          </w:p>
          <w:p w14:paraId="7A66F220" w14:textId="77777777" w:rsidR="007A19D8" w:rsidRPr="0091450A" w:rsidRDefault="007A19D8" w:rsidP="002D613F">
            <w:pPr>
              <w:pStyle w:val="ListParagraph"/>
              <w:numPr>
                <w:ilvl w:val="0"/>
                <w:numId w:val="44"/>
              </w:numPr>
              <w:spacing w:before="40" w:after="40"/>
              <w:contextualSpacing w:val="0"/>
              <w:rPr>
                <w:rFonts w:cs="Times New Roman"/>
                <w:szCs w:val="20"/>
              </w:rPr>
            </w:pPr>
            <w:r w:rsidRPr="0091450A">
              <w:rPr>
                <w:u w:val="single"/>
              </w:rPr>
              <w:lastRenderedPageBreak/>
              <w:t>Principle 3:</w:t>
            </w:r>
            <w:r w:rsidRPr="0091450A">
              <w:t> A special duty of care must be exercised for Occasional Food and Beverage Product sponsorship advertising targeted to young people.</w:t>
            </w:r>
          </w:p>
          <w:p w14:paraId="3C8B8BA0" w14:textId="058131F9" w:rsidR="007A19D8" w:rsidRPr="0091450A" w:rsidRDefault="007A19D8" w:rsidP="002D613F">
            <w:pPr>
              <w:pStyle w:val="ListParagraph"/>
              <w:widowControl w:val="0"/>
              <w:numPr>
                <w:ilvl w:val="1"/>
                <w:numId w:val="44"/>
              </w:numPr>
              <w:autoSpaceDE w:val="0"/>
              <w:autoSpaceDN w:val="0"/>
              <w:adjustRightInd w:val="0"/>
              <w:spacing w:before="40" w:after="40"/>
            </w:pPr>
            <w:r w:rsidRPr="0091450A">
              <w:rPr>
                <w:i/>
              </w:rPr>
              <w:t>Rule 3(a)</w:t>
            </w:r>
            <w:r w:rsidR="004D7543" w:rsidRPr="0091450A">
              <w:t xml:space="preserve"> </w:t>
            </w:r>
            <w:r w:rsidRPr="0091450A">
              <w:t>Sponsorship advertisements must not show an occasional food or beverage product, or such product’s packaging, or depict the consumption of an occasional food or beverage product.</w:t>
            </w:r>
          </w:p>
          <w:p w14:paraId="31DA4D80" w14:textId="27BF77E4" w:rsidR="007A19D8" w:rsidRPr="0091450A" w:rsidRDefault="007A19D8" w:rsidP="002D613F">
            <w:pPr>
              <w:pStyle w:val="ListParagraph"/>
              <w:keepNext/>
              <w:widowControl w:val="0"/>
              <w:numPr>
                <w:ilvl w:val="1"/>
                <w:numId w:val="44"/>
              </w:numPr>
              <w:autoSpaceDE w:val="0"/>
              <w:autoSpaceDN w:val="0"/>
              <w:adjustRightInd w:val="0"/>
              <w:spacing w:before="40" w:after="40"/>
              <w:rPr>
                <w:rFonts w:eastAsia="Times New Roman" w:cs="Times New Roman"/>
                <w:szCs w:val="20"/>
                <w:lang w:eastAsia="en-NZ"/>
              </w:rPr>
            </w:pPr>
            <w:r w:rsidRPr="0091450A">
              <w:rPr>
                <w:i/>
              </w:rPr>
              <w:t>Rule 3(b)</w:t>
            </w:r>
            <w:r w:rsidR="004D7543" w:rsidRPr="0091450A">
              <w:t xml:space="preserve"> </w:t>
            </w:r>
            <w:r w:rsidRPr="0091450A">
              <w:t>Sponsorship advertisements must not imitate or use any parts of product advertisements for occasional food or beverage products from any media.</w:t>
            </w:r>
          </w:p>
          <w:p w14:paraId="5F7B4402" w14:textId="70C49D29" w:rsidR="00120F48" w:rsidRPr="0091450A" w:rsidRDefault="00120F48" w:rsidP="002D613F">
            <w:pPr>
              <w:pStyle w:val="CommentText"/>
              <w:numPr>
                <w:ilvl w:val="0"/>
                <w:numId w:val="44"/>
              </w:numPr>
              <w:spacing w:before="40" w:after="40"/>
              <w:rPr>
                <w:rFonts w:cs="Times New Roman"/>
              </w:rPr>
            </w:pPr>
            <w:r w:rsidRPr="0091450A">
              <w:rPr>
                <w:shd w:val="clear" w:color="auto" w:fill="FFFFFF"/>
              </w:rPr>
              <w:t xml:space="preserve">Healthy Auckland Together partners, co-ordinated by Auckland Regional Public Health Services, have an advocacy focus on protecting children from junk food marketing. HAT regularly make complaints to the ASA about specific ads that market unhealthy food to test the interpretation of the code. A ‘How to Guide’ to simplify the process of making a complaint is available. HAT partners have developed a set of recommendations and changes for </w:t>
            </w:r>
            <w:r w:rsidR="00975D87">
              <w:rPr>
                <w:shd w:val="clear" w:color="auto" w:fill="FFFFFF"/>
              </w:rPr>
              <w:t xml:space="preserve">the </w:t>
            </w:r>
            <w:r w:rsidRPr="0091450A">
              <w:rPr>
                <w:shd w:val="clear" w:color="auto" w:fill="FFFFFF"/>
              </w:rPr>
              <w:t xml:space="preserve">Government to strengthen the ASA code to prevent unhealthy food marketing to children </w:t>
            </w:r>
            <w:r w:rsidRPr="0091450A">
              <w:rPr>
                <w:shd w:val="clear" w:color="auto" w:fill="FFFFFF"/>
              </w:rPr>
              <w:fldChar w:fldCharType="begin" w:fldLock="1"/>
            </w:r>
            <w:r w:rsidR="002B6CB8">
              <w:rPr>
                <w:shd w:val="clear" w:color="auto" w:fill="FFFFFF"/>
              </w:rPr>
              <w:instrText>ADDIN CSL_CITATION {"citationItems":[{"id":"ITEM-1","itemData":{"URL":"http://www.healthyaucklandtogether.org.nz/take-action/food-environments-and-marketing/","abstract":"Children are vulnerable; they cannot discriminate between a programme and an advertisement.\n\nWe know that the marketing and advertising of junk food and drink influences children’s choices and consumption, and contributes to obesity.\n\nWe have a comic to tell the story about why children need to be protected from the ubiquitous marketing of unhealthy food and drink.\n\nThe evidence shows the majority of food and drink marketing is for unhealthy products like fast food and soft drinks, yet the only controls are through the industry’s own Advertising Standards Authority (ASA) Codes. These codes do not go far enough to protect children. Comprehensive regulatory changes are required.\n\nTesting the Code and reducing this marketing requires complaining about specific ads. We have developed a How to Guide to simplify the process of making a complaint to the ASA.\n\nHAT is also asking people to look out for ads for unhealthy food and drink aimed at children. You can share an inappropriate ad on Instagram and use the hashtag #dumpthejunknz","accessed":{"date-parts":[["2020","1","21"]]},"author":[{"dropping-particle":"","family":"Healthy Auckland Together","given":"","non-dropping-particle":"","parse-names":false,"suffix":""}],"id":"ITEM-1","issued":{"date-parts":[["2019"]]},"title":"Food Environments and Marketing","type":"webpage"},"uris":["http://www.mendeley.com/documents/?uuid=04c4713d-047e-30d7-97aa-5e55dc670be6","http://www.mendeley.com/documents/?uuid=869a213c-f7df-4adc-969c-ef501fdecd55"]}],"mendeley":{"formattedCitation":"(64)","plainTextFormattedCitation":"(64)","previouslyFormattedCitation":"(64)"},"properties":{"noteIndex":0},"schema":"https://github.com/citation-style-language/schema/raw/master/csl-citation.json"}</w:instrText>
            </w:r>
            <w:r w:rsidRPr="0091450A">
              <w:rPr>
                <w:shd w:val="clear" w:color="auto" w:fill="FFFFFF"/>
              </w:rPr>
              <w:fldChar w:fldCharType="separate"/>
            </w:r>
            <w:r w:rsidR="00A90C92" w:rsidRPr="00A90C92">
              <w:rPr>
                <w:noProof/>
                <w:shd w:val="clear" w:color="auto" w:fill="FFFFFF"/>
              </w:rPr>
              <w:t>(64)</w:t>
            </w:r>
            <w:r w:rsidRPr="0091450A">
              <w:rPr>
                <w:shd w:val="clear" w:color="auto" w:fill="FFFFFF"/>
              </w:rPr>
              <w:fldChar w:fldCharType="end"/>
            </w:r>
            <w:r w:rsidRPr="0091450A">
              <w:rPr>
                <w:shd w:val="clear" w:color="auto" w:fill="FFFFFF"/>
              </w:rPr>
              <w:t>.</w:t>
            </w:r>
          </w:p>
          <w:p w14:paraId="2D6DAC9D" w14:textId="6C7F99D7" w:rsidR="00952B3C" w:rsidRPr="00140B57" w:rsidRDefault="00C26276" w:rsidP="002D613F">
            <w:pPr>
              <w:pStyle w:val="ListParagraph"/>
              <w:keepNext/>
              <w:numPr>
                <w:ilvl w:val="0"/>
                <w:numId w:val="44"/>
              </w:numPr>
              <w:spacing w:before="40" w:after="40"/>
              <w:rPr>
                <w:rFonts w:eastAsia="Times New Roman" w:cs="Times New Roman"/>
                <w:szCs w:val="20"/>
                <w:lang w:eastAsia="en-NZ"/>
              </w:rPr>
            </w:pPr>
            <w:r w:rsidRPr="00140B57">
              <w:rPr>
                <w:rFonts w:eastAsia="Times New Roman" w:cs="Times New Roman"/>
                <w:szCs w:val="20"/>
                <w:lang w:eastAsia="en-NZ"/>
              </w:rPr>
              <w:t>The Government response to the Food Industry Taskforce on addressing factors contributing to obesity prioritised the recommendation for the food industry to limit advertising, marketing and sponsorship related to energy-dense, nutrient</w:t>
            </w:r>
            <w:r w:rsidR="00975D87" w:rsidRPr="00140B57">
              <w:rPr>
                <w:rFonts w:eastAsia="Times New Roman" w:cs="Times New Roman"/>
                <w:szCs w:val="20"/>
                <w:lang w:eastAsia="en-NZ"/>
              </w:rPr>
              <w:t>-</w:t>
            </w:r>
            <w:r w:rsidRPr="00140B57">
              <w:rPr>
                <w:rFonts w:eastAsia="Times New Roman" w:cs="Times New Roman"/>
                <w:szCs w:val="20"/>
                <w:lang w:eastAsia="en-NZ"/>
              </w:rPr>
              <w:t>poor food and beverages</w:t>
            </w:r>
            <w:r w:rsidR="00140B57">
              <w:rPr>
                <w:rFonts w:eastAsia="Times New Roman" w:cs="Times New Roman"/>
                <w:szCs w:val="20"/>
                <w:lang w:eastAsia="en-NZ"/>
              </w:rPr>
              <w:t xml:space="preserve"> (28)</w:t>
            </w:r>
            <w:r w:rsidRPr="00140B57">
              <w:rPr>
                <w:rFonts w:eastAsia="Times New Roman" w:cs="Times New Roman"/>
                <w:szCs w:val="20"/>
                <w:lang w:eastAsia="en-NZ"/>
              </w:rPr>
              <w:t xml:space="preserve">. </w:t>
            </w:r>
          </w:p>
          <w:p w14:paraId="6FF7779F" w14:textId="035BAB1E"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2A1D3C42" w14:textId="77777777" w:rsidR="002A071B" w:rsidRDefault="003A2BED" w:rsidP="002A071B">
            <w:pPr>
              <w:pStyle w:val="ListParagraph"/>
              <w:keepNext/>
              <w:numPr>
                <w:ilvl w:val="0"/>
                <w:numId w:val="44"/>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Quebec (Canada)</w:t>
            </w:r>
            <w:r w:rsidR="00952B3C" w:rsidRPr="0091450A">
              <w:rPr>
                <w:rFonts w:eastAsia="Times New Roman" w:cs="Times New Roman"/>
                <w:szCs w:val="20"/>
                <w:lang w:eastAsia="en-NZ"/>
              </w:rPr>
              <w:t xml:space="preserve">: </w:t>
            </w:r>
            <w:r w:rsidR="00E20DBB" w:rsidRPr="0091450A">
              <w:rPr>
                <w:rFonts w:eastAsia="Times New Roman" w:cs="Times New Roman"/>
                <w:szCs w:val="20"/>
                <w:lang w:eastAsia="en-NZ"/>
              </w:rPr>
              <w:t>Q</w:t>
            </w:r>
            <w:r w:rsidR="00952B3C" w:rsidRPr="0091450A">
              <w:rPr>
                <w:rFonts w:eastAsia="Times New Roman" w:cs="Times New Roman"/>
                <w:szCs w:val="20"/>
                <w:lang w:eastAsia="en-NZ"/>
              </w:rPr>
              <w:t>uebec is the only province in Can</w:t>
            </w:r>
            <w:r w:rsidR="00E20DBB" w:rsidRPr="0091450A">
              <w:rPr>
                <w:rFonts w:eastAsia="Times New Roman" w:cs="Times New Roman"/>
                <w:szCs w:val="20"/>
                <w:lang w:eastAsia="en-NZ"/>
              </w:rPr>
              <w:t>ada</w:t>
            </w:r>
            <w:r w:rsidR="00952B3C" w:rsidRPr="0091450A">
              <w:rPr>
                <w:rFonts w:eastAsia="Times New Roman" w:cs="Times New Roman"/>
                <w:szCs w:val="20"/>
                <w:lang w:eastAsia="en-NZ"/>
              </w:rPr>
              <w:t xml:space="preserve"> where children below 13 years old are protected under the Consumer Protection Act since 1980 </w:t>
            </w:r>
            <w:r w:rsidR="005B617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{"citationItems":[{"id":"ITEM-1","itemData":{"URL":"https://www.opc.gouv.qc.ca/fileadmin/media/documents/consommateur/sujet/publicite-pratique-illegale/EN_Guide_publicite_moins_de_13_ans_vf.pdf","author":[{"dropping-particle":"","family":"Office de la protection du consommateur","given":"","non-dropping-particle":"","parse-names":false,"suffix":""}],"id":"ITEM-1","issue":"16/06/2016","issued":{"date-parts":[["2013"]]},"title":"Advertising targeted at children under 13 years of age. Guide to the Application of Sections 248 and 249 Consumer Protection Act","type":"webpage"},"uris":["http://www.mendeley.com/documents/?uuid=ae3214a8-483f-369a-8a0d-bb2cdfa662c0","http://www.mendeley.com/documents/?uuid=f0dc815c-0e0a-4916-96f9-ab052f95b047"]}],"mendeley":{"formattedCitation":"(65)","plainTextFormattedCitation":"(65)","previouslyFormattedCitation":"(65)"},"properties":{"noteIndex":0},"schema":"https://github.com/citation-style-language/schema/raw/master/csl-citation.json"}</w:instrText>
            </w:r>
            <w:r w:rsidR="005B617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(65)</w:t>
            </w:r>
            <w:r w:rsidR="005B617B" w:rsidRPr="0091450A">
              <w:rPr>
                <w:rFonts w:eastAsia="Times New Roman" w:cs="Times New Roman"/>
                <w:szCs w:val="20"/>
                <w:lang w:eastAsia="en-NZ"/>
              </w:rPr>
              <w:fldChar w:fldCharType="end"/>
            </w:r>
            <w:r w:rsidR="00952B3C" w:rsidRPr="0091450A">
              <w:rPr>
                <w:rFonts w:eastAsia="Times New Roman" w:cs="Times New Roman"/>
                <w:szCs w:val="20"/>
                <w:lang w:eastAsia="en-NZ"/>
              </w:rPr>
              <w:t>. In Qu</w:t>
            </w:r>
            <w:r w:rsidR="00E20DBB" w:rsidRPr="0091450A">
              <w:rPr>
                <w:rFonts w:eastAsia="Times New Roman" w:cs="Times New Roman"/>
                <w:szCs w:val="20"/>
                <w:lang w:eastAsia="en-NZ"/>
              </w:rPr>
              <w:t>e</w:t>
            </w:r>
            <w:r w:rsidR="00952B3C" w:rsidRPr="0091450A">
              <w:rPr>
                <w:rFonts w:eastAsia="Times New Roman" w:cs="Times New Roman"/>
                <w:szCs w:val="20"/>
                <w:lang w:eastAsia="en-NZ"/>
              </w:rPr>
              <w:t xml:space="preserve">bec, the Consumer Protection Act prohibits commercial advertising (including food and non-food) directed at children less than 13 years of age through television, radio and other media. To determine </w:t>
            </w:r>
            <w:r w:rsidR="008B77AD" w:rsidRPr="0091450A">
              <w:rPr>
                <w:rFonts w:eastAsia="Times New Roman" w:cs="Times New Roman"/>
                <w:szCs w:val="20"/>
                <w:lang w:eastAsia="en-NZ"/>
              </w:rPr>
              <w:t>whether</w:t>
            </w:r>
            <w:r w:rsidR="00952B3C" w:rsidRPr="0091450A">
              <w:rPr>
                <w:rFonts w:eastAsia="Times New Roman" w:cs="Times New Roman"/>
                <w:szCs w:val="20"/>
                <w:lang w:eastAsia="en-NZ"/>
              </w:rPr>
              <w:t xml:space="preserve"> an adve</w:t>
            </w:r>
            <w:r w:rsidR="00E20DBB" w:rsidRPr="0091450A">
              <w:rPr>
                <w:rFonts w:eastAsia="Times New Roman" w:cs="Times New Roman"/>
                <w:szCs w:val="20"/>
                <w:lang w:eastAsia="en-NZ"/>
              </w:rPr>
              <w:t>rtisement is directed at persons</w:t>
            </w:r>
            <w:r w:rsidR="00952B3C" w:rsidRPr="0091450A">
              <w:rPr>
                <w:rFonts w:eastAsia="Times New Roman" w:cs="Times New Roman"/>
                <w:szCs w:val="20"/>
                <w:lang w:eastAsia="en-NZ"/>
              </w:rPr>
              <w:t xml:space="preserve"> under thirteen years of age, account must be taken of the context of its presentation, and </w:t>
            </w:r>
            <w:r w:rsidR="0091450A" w:rsidRPr="0091450A">
              <w:rPr>
                <w:rFonts w:eastAsia="Times New Roman" w:cs="Times New Roman"/>
                <w:szCs w:val="20"/>
                <w:lang w:eastAsia="en-NZ"/>
              </w:rPr>
              <w:t>of</w:t>
            </w:r>
            <w:r w:rsidR="00952B3C" w:rsidRPr="0091450A">
              <w:rPr>
                <w:rFonts w:eastAsia="Times New Roman" w:cs="Times New Roman"/>
                <w:szCs w:val="20"/>
                <w:lang w:eastAsia="en-NZ"/>
              </w:rPr>
              <w:t xml:space="preserve"> a) the nature and intended purpose of the goods advertised; b) the manner of presenting such advertisement; and c) the time and place it is shown. A cut-off of 15% share of children audience is used to protect children from TV advertising </w:t>
            </w:r>
            <w:r w:rsidR="005B617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{"citationItems":[{"id":"ITEM-1","itemData":{"DOI":"10.3109/17477166.2010.526222","ISBN":"1747-7174 (Electronic)\r1747-7166 (Linking)","PMID":"21062202","author":[{"dropping-particle":"","family":"Kent","given":"M P","non-dropping-particle":"","parse-names":false,"suffix":""},{"dropping-particle":"","family":"Dubois","given":"L","non-dropping-particle":"","parse-names":false,"suffix":""},{"dropping-particle":"","family":"Wanless","given":"A","non-dropping-particle":"","parse-names":false,"suffix":""}],"container-title":"Int J Pediatr Obes","id":"ITEM-1","issue":"2-2","issued":{"date-parts":[["2011"]]},"page":"e433-41","title":"Food marketing on children's television in two different policy environments","type":"article-journal","volume":"6"},"uris":["http://www.mendeley.com/documents/?uuid=81b3461e-ee27-3f9d-a746-a8b357b62d90","http://www.mendeley.com/documents/?uuid=499f269f-ccce-4972-9353-b8ce9b316eeb"]}],"mendeley":{"formattedCitation":"(66)","plainTextFormattedCitation":"(66)","previouslyFormattedCitation":"(66)"},"properties":{"noteIndex":0},"schema":"https://github.com/citation-style-language/schema/raw/master/csl-citation.json"}</w:instrText>
            </w:r>
            <w:r w:rsidR="005B617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(66)</w:t>
            </w:r>
            <w:r w:rsidR="005B617B" w:rsidRPr="0091450A">
              <w:rPr>
                <w:rFonts w:eastAsia="Times New Roman" w:cs="Times New Roman"/>
                <w:szCs w:val="20"/>
                <w:lang w:eastAsia="en-NZ"/>
              </w:rPr>
              <w:fldChar w:fldCharType="end"/>
            </w:r>
            <w:r w:rsidR="005B617B" w:rsidRPr="0091450A">
              <w:rPr>
                <w:rFonts w:eastAsia="Times New Roman" w:cs="Times New Roman"/>
                <w:szCs w:val="20"/>
                <w:lang w:eastAsia="en-NZ"/>
              </w:rPr>
              <w:t>.</w:t>
            </w:r>
            <w:r w:rsidR="00952B3C" w:rsidRPr="0091450A">
              <w:rPr>
                <w:rFonts w:eastAsia="Times New Roman" w:cs="Times New Roman"/>
                <w:szCs w:val="20"/>
                <w:lang w:eastAsia="en-NZ"/>
              </w:rPr>
              <w:t xml:space="preserve"> Any stakeholder involved in a commercial process (from the request to create an advertisement to its distribution, including its design) may be accused of not complying with the legislation in force. Per </w:t>
            </w:r>
            <w:r w:rsidR="00975D87">
              <w:rPr>
                <w:rFonts w:eastAsia="Times New Roman" w:cs="Times New Roman"/>
                <w:szCs w:val="20"/>
                <w:lang w:eastAsia="en-NZ"/>
              </w:rPr>
              <w:t xml:space="preserve">the </w:t>
            </w:r>
            <w:r w:rsidR="00952B3C" w:rsidRPr="0091450A">
              <w:rPr>
                <w:rFonts w:eastAsia="Times New Roman" w:cs="Times New Roman"/>
                <w:szCs w:val="20"/>
                <w:lang w:eastAsia="en-NZ"/>
              </w:rPr>
              <w:t xml:space="preserve">indictment, that person is liable to: a fine ranging from $600 to $15,000 (in the case of a natural person); a fine ranging from $2,000 to $100,000 (in the case of a legal person). Notably, for the rest of Canada, child-directed food marketing is self-regulated using the Canadian Children’s Food and Beverage Advertising Initiative (CAI) by Advertising Standards Canada (ASC) through The Broadcast Code for Advertising to Children. </w:t>
            </w:r>
          </w:p>
          <w:p w14:paraId="192A0E25" w14:textId="698B8FEC" w:rsidR="00952B3C" w:rsidRPr="002A071B" w:rsidRDefault="00952B3C" w:rsidP="002A071B">
            <w:pPr>
              <w:pStyle w:val="ListParagraph"/>
              <w:keepNext/>
              <w:numPr>
                <w:ilvl w:val="0"/>
                <w:numId w:val="44"/>
              </w:numPr>
              <w:spacing w:before="40" w:after="40"/>
              <w:contextualSpacing w:val="0"/>
              <w:rPr>
                <w:rFonts w:eastAsia="Times New Roman" w:cs="Times New Roman"/>
                <w:szCs w:val="20"/>
                <w:lang w:eastAsia="en-NZ"/>
              </w:rPr>
            </w:pPr>
            <w:r w:rsidRPr="002A071B">
              <w:rPr>
                <w:b/>
                <w:bCs/>
                <w:szCs w:val="20"/>
              </w:rPr>
              <w:t>C</w:t>
            </w:r>
            <w:r w:rsidR="003A2BED" w:rsidRPr="002A071B">
              <w:rPr>
                <w:b/>
                <w:bCs/>
                <w:szCs w:val="20"/>
              </w:rPr>
              <w:t>hile</w:t>
            </w:r>
            <w:r w:rsidRPr="002A071B">
              <w:rPr>
                <w:b/>
                <w:bCs/>
                <w:szCs w:val="20"/>
              </w:rPr>
              <w:t>:</w:t>
            </w:r>
            <w:r w:rsidRPr="002A071B">
              <w:rPr>
                <w:szCs w:val="20"/>
              </w:rPr>
              <w:t xml:space="preserve"> In 2012, the Chilean government approved a Law of Nutritional Composition of Food and Advertising (Ley 20, 606)</w:t>
            </w:r>
            <w:r w:rsidR="00432A57" w:rsidRPr="002A071B">
              <w:rPr>
                <w:szCs w:val="20"/>
              </w:rPr>
              <w:t xml:space="preserve"> </w:t>
            </w:r>
            <w:r w:rsidR="005B617B" w:rsidRPr="002A071B">
              <w:rPr>
                <w:szCs w:val="20"/>
              </w:rPr>
              <w:fldChar w:fldCharType="begin" w:fldLock="1"/>
            </w:r>
            <w:r w:rsidR="002B6CB8" w:rsidRPr="002A071B">
              <w:rPr>
                <w:szCs w:val="20"/>
              </w:rPr>
              <w:instrText>ADDIN CSL_CITATION {"citationItems":[{"id":"ITEM-1","itemData":{"URL":"http://www.dinta.cl/wp-dintacl/wp-content/uploads/Decreto-13_Ley-super8_do-20150626.pdf","author":[{"dropping-particle":"","family":"Diario Oficial de La Republica de Chile","given":"","non-dropping-particle":"","parse-names":false,"suffix":""}],"id":"ITEM-1","issue":"16/06/2016","issued":{"date-parts":[["2015"]]},"title":"Decreto 13 – Reglamento Ley 20.606 sobre Composición Nutricional de los Alimentos y su Publicidad","type":"webpage"},"uris":["http://www.mendeley.com/documents/?uuid=4f5f4f84-9b1c-4e62-876f-2bf1ac0eb255","http://www.mendeley.com/documents/?uuid=44d2b51e-ccc7-306c-8606-03160c5d05b6"]}],"mendeley":{"formattedCitation":"(58)","plainTextFormattedCitation":"(58)","previouslyFormattedCitation":"(58)"},"properties":{"noteIndex":0},"schema":"https://github.com/citation-style-language/schema/raw/master/csl-citation.json"}</w:instrText>
            </w:r>
            <w:r w:rsidR="005B617B" w:rsidRPr="002A071B">
              <w:rPr>
                <w:szCs w:val="20"/>
              </w:rPr>
              <w:fldChar w:fldCharType="separate"/>
            </w:r>
            <w:r w:rsidR="00A90C92" w:rsidRPr="002A071B">
              <w:rPr>
                <w:noProof/>
                <w:szCs w:val="20"/>
              </w:rPr>
              <w:t>(58)</w:t>
            </w:r>
            <w:r w:rsidR="005B617B" w:rsidRPr="002A071B">
              <w:rPr>
                <w:szCs w:val="20"/>
              </w:rPr>
              <w:fldChar w:fldCharType="end"/>
            </w:r>
            <w:r w:rsidRPr="002A071B">
              <w:rPr>
                <w:szCs w:val="20"/>
              </w:rPr>
              <w:t>. In June 2015, the Chilean authority approved the regulatory norms required for the law’s implementation (</w:t>
            </w:r>
            <w:proofErr w:type="spellStart"/>
            <w:r w:rsidRPr="002A071B">
              <w:rPr>
                <w:szCs w:val="20"/>
              </w:rPr>
              <w:t>Diario</w:t>
            </w:r>
            <w:proofErr w:type="spellEnd"/>
            <w:r w:rsidRPr="002A071B">
              <w:rPr>
                <w:szCs w:val="20"/>
              </w:rPr>
              <w:t xml:space="preserve"> </w:t>
            </w:r>
            <w:r w:rsidR="0045566E" w:rsidRPr="002A071B">
              <w:rPr>
                <w:szCs w:val="20"/>
              </w:rPr>
              <w:t>Official</w:t>
            </w:r>
            <w:r w:rsidRPr="002A071B">
              <w:rPr>
                <w:szCs w:val="20"/>
              </w:rPr>
              <w:t xml:space="preserve"> No 41.193). The regulatory norms define limits for calories, saturated fat, sugar</w:t>
            </w:r>
            <w:r w:rsidR="00F13595" w:rsidRPr="002A071B">
              <w:rPr>
                <w:szCs w:val="20"/>
              </w:rPr>
              <w:t xml:space="preserve"> and sodium content considered ‘</w:t>
            </w:r>
            <w:r w:rsidRPr="002A071B">
              <w:rPr>
                <w:szCs w:val="20"/>
              </w:rPr>
              <w:t>high</w:t>
            </w:r>
            <w:r w:rsidR="00F13595" w:rsidRPr="002A071B">
              <w:rPr>
                <w:szCs w:val="20"/>
              </w:rPr>
              <w:t>’</w:t>
            </w:r>
            <w:r w:rsidRPr="002A071B">
              <w:rPr>
                <w:szCs w:val="20"/>
              </w:rPr>
              <w:t xml:space="preserve"> in foods and beverages. The regulatory norms define limits for calories (275 calories/100g or 70 calories/100mL), saturated fat (4g/100g or 3g/100mL), sugar (10g/100g or 5g/100mL) and sodium (400mg/100g or 100mg/100mL) content considered </w:t>
            </w:r>
            <w:r w:rsidR="00F13595" w:rsidRPr="002A071B">
              <w:rPr>
                <w:szCs w:val="20"/>
              </w:rPr>
              <w:t>‘</w:t>
            </w:r>
            <w:r w:rsidRPr="002A071B">
              <w:rPr>
                <w:szCs w:val="20"/>
              </w:rPr>
              <w:t>high</w:t>
            </w:r>
            <w:r w:rsidR="00F13595" w:rsidRPr="002A071B">
              <w:rPr>
                <w:szCs w:val="20"/>
              </w:rPr>
              <w:t>’</w:t>
            </w:r>
            <w:r w:rsidRPr="002A071B">
              <w:rPr>
                <w:szCs w:val="20"/>
              </w:rPr>
              <w:t xml:space="preserve"> in foods and beverages. The law restricts advertising directed to children under the age of 14 years of foods in the </w:t>
            </w:r>
            <w:r w:rsidR="00F13595" w:rsidRPr="002A071B">
              <w:rPr>
                <w:szCs w:val="20"/>
              </w:rPr>
              <w:t>‘</w:t>
            </w:r>
            <w:r w:rsidRPr="002A071B">
              <w:rPr>
                <w:szCs w:val="20"/>
              </w:rPr>
              <w:t>high in</w:t>
            </w:r>
            <w:r w:rsidR="00F13595" w:rsidRPr="002A071B">
              <w:rPr>
                <w:szCs w:val="20"/>
              </w:rPr>
              <w:t>’</w:t>
            </w:r>
            <w:r w:rsidRPr="002A071B">
              <w:rPr>
                <w:szCs w:val="20"/>
              </w:rPr>
              <w:t xml:space="preserve"> category. The regulatory norms define advertising targeted to children as programmes directed to children or with an audience of greater than 20%</w:t>
            </w:r>
            <w:r w:rsidR="00B06FD7" w:rsidRPr="002A071B">
              <w:rPr>
                <w:szCs w:val="20"/>
              </w:rPr>
              <w:t xml:space="preserve"> of</w:t>
            </w:r>
            <w:r w:rsidRPr="002A071B">
              <w:rPr>
                <w:szCs w:val="20"/>
              </w:rPr>
              <w:t xml:space="preserve"> children, and according to the design of the advertisement. Promotional strategies and incentives, such as cartoons, animations, and toys that could attract the attention of children are included in the ban. The regulation is scheduled to take effect 1 July 2016 </w:t>
            </w:r>
            <w:r w:rsidR="005B617B" w:rsidRPr="002A071B">
              <w:rPr>
                <w:szCs w:val="20"/>
              </w:rPr>
              <w:fldChar w:fldCharType="begin" w:fldLock="1"/>
            </w:r>
            <w:r w:rsidR="002B6CB8" w:rsidRPr="002A071B">
              <w:rPr>
                <w:szCs w:val="20"/>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d14237e4-dd51-3e16-be71-a7b911c809b6","http://www.mendeley.com/documents/?uuid=f5f2cbf8-479c-421f-b41c-60b41087d286"]}],"mendeley":{"formattedCitation":"(67)","plainTextFormattedCitation":"(67)","previouslyFormattedCitation":"(67)"},"properties":{"noteIndex":0},"schema":"https://github.com/citation-style-language/schema/raw/master/csl-citation.json"}</w:instrText>
            </w:r>
            <w:r w:rsidR="005B617B" w:rsidRPr="002A071B">
              <w:rPr>
                <w:szCs w:val="20"/>
              </w:rPr>
              <w:fldChar w:fldCharType="separate"/>
            </w:r>
            <w:r w:rsidR="00A90C92" w:rsidRPr="002A071B">
              <w:rPr>
                <w:noProof/>
                <w:szCs w:val="20"/>
              </w:rPr>
              <w:t>(67)</w:t>
            </w:r>
            <w:r w:rsidR="005B617B" w:rsidRPr="002A071B">
              <w:rPr>
                <w:szCs w:val="20"/>
              </w:rPr>
              <w:fldChar w:fldCharType="end"/>
            </w:r>
            <w:r w:rsidR="005B617B" w:rsidRPr="002A071B">
              <w:rPr>
                <w:szCs w:val="20"/>
              </w:rPr>
              <w:t>.</w:t>
            </w:r>
            <w:r w:rsidRPr="002A071B">
              <w:rPr>
                <w:szCs w:val="20"/>
              </w:rPr>
              <w:t xml:space="preserve"> Chile outlaws Kinder Surprise eggs and prohibit</w:t>
            </w:r>
            <w:r w:rsidR="00B06FD7" w:rsidRPr="002A071B">
              <w:rPr>
                <w:szCs w:val="20"/>
              </w:rPr>
              <w:t>s</w:t>
            </w:r>
            <w:r w:rsidRPr="002A071B">
              <w:rPr>
                <w:szCs w:val="20"/>
              </w:rPr>
              <w:t xml:space="preserve"> toys in McDonald’s ‘Happy Meals’ as part of this law </w:t>
            </w:r>
            <w:r w:rsidR="005B617B" w:rsidRPr="002A071B">
              <w:rPr>
                <w:szCs w:val="20"/>
              </w:rPr>
              <w:fldChar w:fldCharType="begin" w:fldLock="1"/>
            </w:r>
            <w:r w:rsidR="002B6CB8" w:rsidRPr="002A071B">
              <w:rPr>
                <w:szCs w:val="20"/>
              </w:rPr>
              <w:instrText>ADDIN CSL_CITATION {"citationItems":[{"id":"ITEM-1","itemData":{"container-title":"The Argentina Independent","id":"ITEM-1","issued":{"date-parts":[["2016"]]},"title":"Chile Bans ‘Kinder Suprise’ and ‘Happy Meals’ to Combat Child Obesity","type":"article-newspaper"},"uris":["http://www.mendeley.com/documents/?uuid=5ba6fd8b-bfcb-37b0-8388-f0cf3106430e","http://www.mendeley.com/documents/?uuid=9ae98240-4641-44bb-85bd-23dfa2fc0e80"]}],"mendeley":{"formattedCitation":"(68)","plainTextFormattedCitation":"(68)","previouslyFormattedCitation":"(68)"},"properties":{"noteIndex":0},"schema":"https://github.com/citation-style-language/schema/raw/master/csl-citation.json"}</w:instrText>
            </w:r>
            <w:r w:rsidR="005B617B" w:rsidRPr="002A071B">
              <w:rPr>
                <w:szCs w:val="20"/>
              </w:rPr>
              <w:fldChar w:fldCharType="separate"/>
            </w:r>
            <w:r w:rsidR="00A90C92" w:rsidRPr="002A071B">
              <w:rPr>
                <w:noProof/>
                <w:szCs w:val="20"/>
              </w:rPr>
              <w:t>(68)</w:t>
            </w:r>
            <w:r w:rsidR="005B617B" w:rsidRPr="002A071B">
              <w:rPr>
                <w:szCs w:val="20"/>
              </w:rPr>
              <w:fldChar w:fldCharType="end"/>
            </w:r>
            <w:r w:rsidRPr="002A071B">
              <w:rPr>
                <w:szCs w:val="20"/>
              </w:rPr>
              <w:t>.</w:t>
            </w:r>
            <w:r w:rsidR="00C365D4" w:rsidRPr="002A071B">
              <w:rPr>
                <w:szCs w:val="20"/>
              </w:rPr>
              <w:t xml:space="preserve"> Exposure to unhealthy food advertising after implementation of the television advertisement restriction fell by 44% for </w:t>
            </w:r>
            <w:r w:rsidR="00BF54E8" w:rsidRPr="002A071B">
              <w:rPr>
                <w:szCs w:val="20"/>
              </w:rPr>
              <w:t>pre-schoolers</w:t>
            </w:r>
            <w:r w:rsidR="00C365D4" w:rsidRPr="002A071B">
              <w:rPr>
                <w:szCs w:val="20"/>
              </w:rPr>
              <w:t xml:space="preserve"> and by 58% for </w:t>
            </w:r>
            <w:r w:rsidR="00BF54E8" w:rsidRPr="002A071B">
              <w:rPr>
                <w:szCs w:val="20"/>
              </w:rPr>
              <w:t>adolescents but</w:t>
            </w:r>
            <w:r w:rsidR="00C365D4" w:rsidRPr="002A071B">
              <w:rPr>
                <w:szCs w:val="20"/>
              </w:rPr>
              <w:t xml:space="preserve"> was not fully eliminated. </w:t>
            </w:r>
            <w:r w:rsidR="004D2D51" w:rsidRPr="002A071B">
              <w:rPr>
                <w:szCs w:val="20"/>
              </w:rPr>
              <w:t>The percentage of food and beverage products that targeted children decreased from 36% before implementation of the law to 21% after implementation.</w:t>
            </w:r>
            <w:r w:rsidR="00C80492" w:rsidRPr="002A071B">
              <w:rPr>
                <w:szCs w:val="20"/>
              </w:rPr>
              <w:t xml:space="preserve"> </w:t>
            </w:r>
            <w:r w:rsidR="006B1326" w:rsidRPr="002A071B">
              <w:rPr>
                <w:szCs w:val="20"/>
              </w:rPr>
              <w:t>The percentage of “high-in” packages that used at least one child-directed marketing strategy decreased from 43% before implementation to 15% after implementation</w:t>
            </w:r>
            <w:r w:rsidR="00BF54E8" w:rsidRPr="002A071B">
              <w:rPr>
                <w:szCs w:val="20"/>
              </w:rPr>
              <w:t xml:space="preserve"> </w:t>
            </w:r>
            <w:r w:rsidR="00A90C92" w:rsidRPr="002A071B">
              <w:rPr>
                <w:szCs w:val="20"/>
              </w:rPr>
              <w:fldChar w:fldCharType="begin" w:fldLock="1"/>
            </w:r>
            <w:r w:rsidR="002B6CB8" w:rsidRPr="002A071B">
              <w:rPr>
                <w:szCs w:val="20"/>
              </w:rPr>
              <w:instrText>ADDIN CSL_CITATION {"citationItems":[{"id":"ITEM-1","itemData":{"DOI":"10.1017/S1368980019003355","ISSN":"14752727","PMID":"31822317","abstract":"Objective:To evaluate the effects of Chile's 2016 regulation restricting child-directed marketing of products high in energy, saturated fats, sodium and sugars on reducing children's exposure to 'high-in' television food advertising.Design:Television use by pre-schoolers and adolescents was assessed via surveys in the months prior to implementation and a year after implementation. Hours and channels of television use were linked with the amount of high-in food advertising observed in corresponding content analyses of food advertisements (ads) from popular broadcast and cable channels to estimate changes in exposure to food ads from these channels.Setting:Middle-lower and lower-income neighbourhoods in Santiago, Chile.Participants:Pre-schoolers (n 879; mothers reporting) and adolescents (n 753; self-reporting).Results:Pre-schoolers' and adolescents' exposure to high-in food advertising in total decreased significantly by an average of 44 and 58 %, respectively. Exposure to high-in food advertising with child-directed appeals, such as cartoon characters, decreased by 35 and 52 % for pre-schoolers and adolescents, respectively. Decreases were more pronounced for children who viewed more television. Products high in sugars were the most prevalent among the high-in ads seen by children after implementation.Conclusions:Following Chile's 2016 child-directed marketing regulation, children's exposure to high-in food advertising on popular broadcast and cable television decreased significantly but was not eliminated from their viewing. Later stages of the regulation are expected to eliminate the majority of children's exposure to high-in food advertising from television.","author":[{"dropping-particle":"","family":"Dillman Carpentier","given":"Francesca R.","non-dropping-particle":"","parse-names":false,"suffix":""},{"dropping-particle":"","family":"Correa","given":"Teresa","non-dropping-particle":"","parse-names":false,"suffix":""},{"dropping-particle":"","family":"Reyes","given":"Marcela","non-dropping-particle":"","parse-names":false,"suffix":""},{"dropping-particle":"","family":"Taillie","given":"Lindsey Smith","non-dropping-particle":"","parse-names":false,"suffix":""}],"container-title":"Public Health Nutrition","id":"ITEM-1","issued":{"date-parts":[["2019"]]},"page":"1-9","publisher":"Cambridge University Press","title":"Evaluating the impact of Chile's marketing regulation of unhealthy foods and beverages: Pre-school and adolescent children's changes in exposure to food advertising on television","type":"article-journal"},"uris":["http://www.mendeley.com/documents/?uuid=2fea4f80-2ee0-3a4d-865a-a611e12f49d9"]},{"id":"ITEM-2","itemData":{"DOI":"10.3390/ijerph16224501","ISSN":"1660-4601","abstract":"&lt;p&gt;Food marketing has been identified as a contributing factor in childhood obesity, prompting global health organizations to recommend restrictions on unhealthy food marketing to children. Chile has responded to this recommendation with a restriction on child-directed marketing for products that exceed certain regulation-defined thresholds in sugars, saturated fats, sodium, or calories. Child-directed strategies are allowed for products that do not exceed these thresholds. To evaluate changes in marketing due to this restriction, we examined differences in the use of child-directed strategies on breakfast cereal packages that exceeded the defined thresholds vs. those that did not exceed the thresholds before (n = 168) and after (n = 153) the restriction was implemented. Photographs of cereal packages were taken from top supermarket chains in Santiago. Photographed cereals were classified as “high-in” if they exceeded any nutrient threshold described in the regulation. We found that the percentage of all cereal packages using child-directed strategies before implementation (36%) was significantly lower after implementation (21%), p &amp;lt; 0.05. This overall decrease is due to the decrease we found in the percentage of “high-in” cereals using child-directed strategies after implementation (43% before implementation, 15% after implementation), p &amp;lt; 0.05. In contrast, a greater percentage of packages that did not qualify as “high-in” used child-directed strategies after implementation (30%) compared with before implementation (8%), p &amp;lt; 0.05. The results suggest that the Chilean food marketing regulation can be effective at reducing the use of child-directed marketing for unhealthy food products.&lt;/p&gt;","author":[{"dropping-particle":"","family":"Mediano Stoltze","given":"Fernanda","non-dropping-particle":"","parse-names":false,"suffix":""},{"dropping-particle":"","family":"Reyes","given":"Marcela","non-dropping-particle":"","parse-names":false,"suffix":""},{"dropping-particle":"","family":"Smith","given":"Taillie Lindsey","non-dropping-particle":"","parse-names":false,"suffix":""},{"dropping-particle":"","family":"Correa","given":"Teresa","non-dropping-particle":"","parse-names":false,"suffix":""},{"dropping-particle":"","family":"Corvalán","given":"Camila","non-dropping-particle":"","parse-names":false,"suffix":""},{"dropping-particle":"","family":"Carpentier","given":"Francesca R. Dillman","non-dropping-particle":"","parse-names":false,"suffix":""}],"container-title":"International Journal of Environmental Research and Public Health","id":"ITEM-2","issue":"22","issued":{"date-parts":[["2019","11","15"]]},"page":"4501","publisher":"MDPI AG","title":"Prevalence of Child-Directed Marketing on Breakfast Cereal Packages before and after Chile’s Food Marketing Law: A Pre- and Post-Quantitative Content Analysis","type":"article-journal","volume":"16"},"uris":["http://www.mendeley.com/documents/?uuid=5eb2e9d1-7de8-3b38-8d62-db68ff3cf397"]}],"mendeley":{"formattedCitation":"(69,70)","plainTextFormattedCitation":"(69,70)","previouslyFormattedCitation":"(69,70)"},"properties":{"noteIndex":0},"schema":"https://github.com/citation-style-language/schema/raw/master/csl-citation.json"}</w:instrText>
            </w:r>
            <w:r w:rsidR="00A90C92" w:rsidRPr="002A071B">
              <w:rPr>
                <w:szCs w:val="20"/>
              </w:rPr>
              <w:fldChar w:fldCharType="separate"/>
            </w:r>
            <w:r w:rsidR="00A90C92" w:rsidRPr="002A071B">
              <w:rPr>
                <w:noProof/>
                <w:szCs w:val="20"/>
              </w:rPr>
              <w:t>(69,70)</w:t>
            </w:r>
            <w:r w:rsidR="00A90C92" w:rsidRPr="002A071B">
              <w:rPr>
                <w:szCs w:val="20"/>
              </w:rPr>
              <w:fldChar w:fldCharType="end"/>
            </w:r>
            <w:r w:rsidR="006B1326" w:rsidRPr="002A071B">
              <w:rPr>
                <w:szCs w:val="20"/>
              </w:rPr>
              <w:t>.</w:t>
            </w:r>
          </w:p>
        </w:tc>
      </w:tr>
    </w:tbl>
    <w:p w14:paraId="215B025B" w14:textId="4CCFD003" w:rsidR="00960A94" w:rsidRDefault="00960A94" w:rsidP="002D613F">
      <w:pPr>
        <w:spacing w:after="0" w:line="240" w:lineRule="auto"/>
      </w:pPr>
    </w:p>
    <w:p w14:paraId="5B6BD330" w14:textId="5291B8F2" w:rsidR="00140B57" w:rsidRDefault="00140B57" w:rsidP="002D613F">
      <w:pPr>
        <w:spacing w:after="0" w:line="240" w:lineRule="auto"/>
      </w:pPr>
    </w:p>
    <w:p w14:paraId="3B70F3F5" w14:textId="774BC1E3" w:rsidR="00140B57" w:rsidRDefault="00140B57" w:rsidP="002D613F">
      <w:pPr>
        <w:spacing w:after="0" w:line="240" w:lineRule="auto"/>
      </w:pPr>
    </w:p>
    <w:p w14:paraId="305A1109" w14:textId="0A4C4B95" w:rsidR="00140B57" w:rsidRDefault="00140B57" w:rsidP="002D613F">
      <w:pPr>
        <w:spacing w:after="0" w:line="240" w:lineRule="auto"/>
      </w:pPr>
    </w:p>
    <w:p w14:paraId="2BFC4748" w14:textId="084758D2" w:rsidR="00140B57" w:rsidRDefault="00140B57" w:rsidP="002D613F">
      <w:pPr>
        <w:spacing w:after="0" w:line="240" w:lineRule="auto"/>
      </w:pPr>
    </w:p>
    <w:p w14:paraId="34272497" w14:textId="5CB38673" w:rsidR="00140B57" w:rsidRDefault="00140B57" w:rsidP="002D613F">
      <w:pPr>
        <w:spacing w:after="0" w:line="240" w:lineRule="auto"/>
      </w:pPr>
    </w:p>
    <w:p w14:paraId="6E39E28F" w14:textId="3DB580A9" w:rsidR="00140B57" w:rsidRDefault="00140B57" w:rsidP="002D613F">
      <w:pPr>
        <w:spacing w:after="0" w:line="240" w:lineRule="auto"/>
      </w:pPr>
    </w:p>
    <w:p w14:paraId="77159ED8" w14:textId="77777777" w:rsidR="00140B57" w:rsidRPr="0091450A" w:rsidRDefault="00140B57" w:rsidP="002D613F">
      <w:pPr>
        <w:spacing w:after="0" w:line="240" w:lineRule="auto"/>
      </w:pPr>
    </w:p>
    <w:tbl>
      <w:tblPr>
        <w:tblStyle w:val="TableGrid"/>
        <w:tblW w:w="9209" w:type="dxa"/>
        <w:tblLook w:val="04A0" w:firstRow="1" w:lastRow="0" w:firstColumn="1" w:lastColumn="0" w:noHBand="0" w:noVBand="1"/>
      </w:tblPr>
      <w:tblGrid>
        <w:gridCol w:w="9209"/>
      </w:tblGrid>
      <w:tr w:rsidR="002E08DF" w:rsidRPr="0091450A" w14:paraId="7EE848EB" w14:textId="77777777" w:rsidTr="00090A17">
        <w:tc>
          <w:tcPr>
            <w:tcW w:w="9209" w:type="dxa"/>
          </w:tcPr>
          <w:p w14:paraId="2B4B32CA" w14:textId="22A4F813" w:rsidR="002E08DF" w:rsidRPr="0091450A" w:rsidRDefault="008C0F53" w:rsidP="002D613F">
            <w:pPr>
              <w:shd w:val="clear" w:color="auto" w:fill="FFFFFF" w:themeFill="background1"/>
              <w:spacing w:before="30" w:after="30"/>
              <w:contextualSpacing/>
              <w:rPr>
                <w:rFonts w:cs="Times New Roman"/>
                <w:bCs/>
                <w:szCs w:val="20"/>
              </w:rPr>
            </w:pPr>
            <w:r w:rsidRPr="0091450A">
              <w:rPr>
                <w:rFonts w:cs="Times New Roman"/>
                <w:b/>
                <w:color w:val="1F497D" w:themeColor="text2"/>
                <w:sz w:val="28"/>
                <w:szCs w:val="28"/>
              </w:rPr>
              <w:t xml:space="preserve">3 </w:t>
            </w:r>
            <w:r w:rsidR="002E08DF" w:rsidRPr="0091450A">
              <w:rPr>
                <w:rFonts w:cs="Times New Roman"/>
                <w:b/>
                <w:color w:val="1F497D" w:themeColor="text2"/>
                <w:sz w:val="28"/>
                <w:szCs w:val="28"/>
              </w:rPr>
              <w:t xml:space="preserve">FOOD PROMOTION: </w:t>
            </w:r>
            <w:r w:rsidR="00BC0290" w:rsidRPr="0091450A">
              <w:rPr>
                <w:rFonts w:cs="Times New Roman"/>
                <w:bCs/>
                <w:szCs w:val="20"/>
              </w:rPr>
              <w:t xml:space="preserve">There is a comprehensive policy implemented by the government to reduce the impact (exposure and power) of </w:t>
            </w:r>
            <w:r w:rsidR="00B06FD7">
              <w:rPr>
                <w:rFonts w:cs="Times New Roman"/>
                <w:bCs/>
                <w:szCs w:val="20"/>
              </w:rPr>
              <w:t xml:space="preserve">the </w:t>
            </w:r>
            <w:r w:rsidR="00BC0290" w:rsidRPr="0091450A">
              <w:rPr>
                <w:rFonts w:cs="Times New Roman"/>
                <w:bCs/>
                <w:szCs w:val="20"/>
              </w:rPr>
              <w:t>promotion of unhealthy foods to children (&lt;16years) across all media</w:t>
            </w:r>
          </w:p>
        </w:tc>
      </w:tr>
      <w:tr w:rsidR="001E2A74" w:rsidRPr="0091450A" w14:paraId="7137B9D5" w14:textId="77777777" w:rsidTr="00090A17">
        <w:tc>
          <w:tcPr>
            <w:tcW w:w="9209" w:type="dxa"/>
          </w:tcPr>
          <w:p w14:paraId="0EEE90DA" w14:textId="7A4FBA59" w:rsidR="001E2A74" w:rsidRPr="0091450A" w:rsidRDefault="001E2A74" w:rsidP="002D613F">
            <w:pPr>
              <w:spacing w:before="30" w:after="30"/>
              <w:contextualSpacing/>
              <w:rPr>
                <w:rFonts w:cs="Times New Roman"/>
                <w:b/>
                <w:color w:val="1F497D" w:themeColor="text2"/>
                <w:sz w:val="28"/>
                <w:szCs w:val="28"/>
              </w:rPr>
            </w:pPr>
            <w:bookmarkStart w:id="25" w:name="_Toc31623723"/>
            <w:r w:rsidRPr="0091450A">
              <w:rPr>
                <w:rStyle w:val="Heading3Char"/>
              </w:rPr>
              <w:t>PROMO2</w:t>
            </w:r>
            <w:bookmarkEnd w:id="25"/>
            <w:r w:rsidRPr="0091450A">
              <w:rPr>
                <w:rStyle w:val="Heading2Char"/>
              </w:rPr>
              <w:t>:</w:t>
            </w:r>
            <w:r w:rsidRPr="0091450A">
              <w:rPr>
                <w:rFonts w:eastAsia="Times New Roman" w:cs="Times New Roman"/>
                <w:bCs/>
                <w:szCs w:val="20"/>
                <w:lang w:eastAsia="en-NZ"/>
              </w:rPr>
              <w:t xml:space="preserve"> </w:t>
            </w:r>
            <w:r w:rsidR="00FC5AB1" w:rsidRPr="0091450A">
              <w:rPr>
                <w:rFonts w:eastAsia="Times New Roman" w:cs="Times New Roman"/>
                <w:b/>
                <w:bCs/>
                <w:szCs w:val="20"/>
                <w:lang w:eastAsia="en-NZ"/>
              </w:rPr>
              <w:t>Effective policies are implemented by the government to restrict exposure and power of promotion of unhealthy foods to children</w:t>
            </w:r>
            <w:r w:rsidR="006F7072" w:rsidRPr="0091450A">
              <w:rPr>
                <w:rFonts w:eastAsia="Times New Roman" w:cs="Times New Roman"/>
                <w:b/>
                <w:bCs/>
                <w:szCs w:val="20"/>
                <w:lang w:eastAsia="en-NZ"/>
              </w:rPr>
              <w:t xml:space="preserve"> through non-broadcast media (</w:t>
            </w:r>
            <w:r w:rsidR="00BE5B01" w:rsidRPr="0091450A">
              <w:rPr>
                <w:rFonts w:eastAsia="Times New Roman" w:cs="Times New Roman"/>
                <w:b/>
                <w:bCs/>
                <w:szCs w:val="20"/>
                <w:lang w:eastAsia="en-NZ"/>
              </w:rPr>
              <w:t>e.g.</w:t>
            </w:r>
            <w:r w:rsidR="00FC5AB1" w:rsidRPr="0091450A">
              <w:rPr>
                <w:rFonts w:eastAsia="Times New Roman" w:cs="Times New Roman"/>
                <w:b/>
                <w:bCs/>
                <w:szCs w:val="20"/>
                <w:lang w:eastAsia="en-NZ"/>
              </w:rPr>
              <w:t xml:space="preserve"> Internet, social media, food packaging, sponsorship, outdoor advertising including around schools)</w:t>
            </w:r>
          </w:p>
        </w:tc>
      </w:tr>
      <w:tr w:rsidR="0042167D" w:rsidRPr="0091450A" w14:paraId="0DAD489C" w14:textId="77777777" w:rsidTr="00090A17">
        <w:tc>
          <w:tcPr>
            <w:tcW w:w="9209" w:type="dxa"/>
          </w:tcPr>
          <w:p w14:paraId="6D606D6E" w14:textId="08802B3B" w:rsidR="0020485F" w:rsidRPr="0091450A" w:rsidRDefault="0020485F" w:rsidP="002D613F">
            <w:pPr>
              <w:spacing w:before="30" w:after="30"/>
              <w:contextualSpacing/>
              <w:rPr>
                <w:rFonts w:cs="Times New Roman"/>
                <w:b/>
                <w:szCs w:val="20"/>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A427B36" w14:textId="2CD7755F" w:rsidR="00F15494" w:rsidRPr="0091450A" w:rsidRDefault="00F15494" w:rsidP="002D613F">
            <w:pPr>
              <w:pStyle w:val="ListParagraph"/>
              <w:numPr>
                <w:ilvl w:val="0"/>
                <w:numId w:val="26"/>
              </w:numPr>
              <w:spacing w:before="30" w:after="30"/>
              <w:rPr>
                <w:rFonts w:cs="Times New Roman"/>
                <w:szCs w:val="20"/>
                <w:lang w:eastAsia="en-NZ"/>
              </w:rPr>
            </w:pPr>
            <w:r w:rsidRPr="0091450A">
              <w:rPr>
                <w:rFonts w:cs="Times New Roman"/>
                <w:szCs w:val="20"/>
                <w:lang w:eastAsia="en-NZ"/>
              </w:rPr>
              <w:t>There are no government regulations in place to restrict unhealthy food marketi</w:t>
            </w:r>
            <w:r w:rsidR="00BE5B01" w:rsidRPr="0091450A">
              <w:rPr>
                <w:rFonts w:cs="Times New Roman"/>
                <w:szCs w:val="20"/>
                <w:lang w:eastAsia="en-NZ"/>
              </w:rPr>
              <w:t>ng to children through non-broad</w:t>
            </w:r>
            <w:r w:rsidRPr="0091450A">
              <w:rPr>
                <w:rFonts w:cs="Times New Roman"/>
                <w:szCs w:val="20"/>
                <w:lang w:eastAsia="en-NZ"/>
              </w:rPr>
              <w:t>cast media</w:t>
            </w:r>
            <w:r w:rsidR="004745E3" w:rsidRPr="0091450A">
              <w:rPr>
                <w:rFonts w:cs="Times New Roman"/>
                <w:szCs w:val="20"/>
                <w:lang w:eastAsia="en-NZ"/>
              </w:rPr>
              <w:t>.</w:t>
            </w:r>
          </w:p>
          <w:p w14:paraId="36B40ACC" w14:textId="66081A30" w:rsidR="005A14A8" w:rsidRPr="005A14A8" w:rsidRDefault="00064FE3" w:rsidP="005A14A8">
            <w:pPr>
              <w:pStyle w:val="ListParagraph"/>
              <w:numPr>
                <w:ilvl w:val="0"/>
                <w:numId w:val="26"/>
              </w:numPr>
              <w:shd w:val="clear" w:color="auto" w:fill="FFFFFF" w:themeFill="background1"/>
              <w:spacing w:before="30" w:after="30"/>
              <w:rPr>
                <w:b/>
                <w:color w:val="1F497D"/>
              </w:rPr>
            </w:pPr>
            <w:r>
              <w:rPr>
                <w:rFonts w:cs="Times New Roman"/>
                <w:szCs w:val="20"/>
              </w:rPr>
              <w:t>The Advertising Standards Authority Codes</w:t>
            </w:r>
            <w:r w:rsidR="00C52150">
              <w:rPr>
                <w:rFonts w:cs="Times New Roman"/>
                <w:szCs w:val="20"/>
              </w:rPr>
              <w:t xml:space="preserve"> outlined above</w:t>
            </w:r>
            <w:r>
              <w:rPr>
                <w:rFonts w:cs="Times New Roman"/>
                <w:szCs w:val="20"/>
              </w:rPr>
              <w:t xml:space="preserve"> include </w:t>
            </w:r>
            <w:r w:rsidR="00C52150">
              <w:rPr>
                <w:rFonts w:cs="Times New Roman"/>
                <w:szCs w:val="20"/>
              </w:rPr>
              <w:t>non-broadcast media in their scope. The code does not apply to food packaging and commercial sponsorship. However, as outlined above, to dat</w:t>
            </w:r>
            <w:r w:rsidR="005A14A8">
              <w:rPr>
                <w:rFonts w:cs="Times New Roman"/>
                <w:szCs w:val="20"/>
              </w:rPr>
              <w:t xml:space="preserve">e only one complaint against the Codes has been upheld </w:t>
            </w:r>
            <w:r w:rsidR="00D85556">
              <w:rPr>
                <w:rFonts w:cs="Times New Roman"/>
                <w:szCs w:val="20"/>
              </w:rPr>
              <w:t xml:space="preserve">by the self-regulated Complaints Board </w:t>
            </w:r>
            <w:r w:rsidR="005A14A8">
              <w:rPr>
                <w:rFonts w:cs="Times New Roman"/>
                <w:szCs w:val="20"/>
              </w:rPr>
              <w:t xml:space="preserve">(Coca Cola outdoor advertising using Santa Claus) and no other mediums – such as internet, social media etc have been upheld as the advert has not been deemed be ‘targeting children’ as the audience </w:t>
            </w:r>
            <w:r w:rsidR="00824260">
              <w:rPr>
                <w:rFonts w:cs="Times New Roman"/>
                <w:szCs w:val="20"/>
              </w:rPr>
              <w:t>was not made</w:t>
            </w:r>
            <w:r w:rsidR="005A14A8">
              <w:rPr>
                <w:rFonts w:cs="Times New Roman"/>
                <w:szCs w:val="20"/>
              </w:rPr>
              <w:t xml:space="preserve"> up of over 25% children.</w:t>
            </w:r>
          </w:p>
          <w:p w14:paraId="7AD84C38" w14:textId="2C54D082" w:rsidR="00C26276" w:rsidRPr="00140B57" w:rsidRDefault="00C26276" w:rsidP="002D613F">
            <w:pPr>
              <w:pStyle w:val="ListParagraph"/>
              <w:keepNext/>
              <w:numPr>
                <w:ilvl w:val="0"/>
                <w:numId w:val="26"/>
              </w:numPr>
              <w:spacing w:before="40" w:after="40"/>
              <w:rPr>
                <w:rFonts w:eastAsia="Times New Roman" w:cs="Times New Roman"/>
                <w:szCs w:val="20"/>
                <w:lang w:eastAsia="en-NZ"/>
              </w:rPr>
            </w:pPr>
            <w:r w:rsidRPr="00140B57">
              <w:rPr>
                <w:rFonts w:eastAsia="Times New Roman" w:cs="Times New Roman"/>
                <w:szCs w:val="20"/>
                <w:lang w:eastAsia="en-NZ"/>
              </w:rPr>
              <w:t>The Government response to the Food Industry Taskforce on addressing factors contributing to obesity prioritised the recommendation for the food industry to limit advertising, marketing and sponsorship related to energy-dense, nutrient</w:t>
            </w:r>
            <w:r w:rsidR="00B06FD7" w:rsidRPr="00140B57">
              <w:rPr>
                <w:rFonts w:eastAsia="Times New Roman" w:cs="Times New Roman"/>
                <w:szCs w:val="20"/>
                <w:lang w:eastAsia="en-NZ"/>
              </w:rPr>
              <w:t>-</w:t>
            </w:r>
            <w:r w:rsidRPr="00140B57">
              <w:rPr>
                <w:rFonts w:eastAsia="Times New Roman" w:cs="Times New Roman"/>
                <w:szCs w:val="20"/>
                <w:lang w:eastAsia="en-NZ"/>
              </w:rPr>
              <w:t>poor food and beverages</w:t>
            </w:r>
            <w:r w:rsidR="00140B57" w:rsidRPr="00140B57">
              <w:rPr>
                <w:rFonts w:eastAsia="Times New Roman" w:cs="Times New Roman"/>
                <w:szCs w:val="20"/>
                <w:lang w:eastAsia="en-NZ"/>
              </w:rPr>
              <w:t xml:space="preserve"> (28)</w:t>
            </w:r>
            <w:r w:rsidRPr="00140B57">
              <w:rPr>
                <w:rFonts w:eastAsia="Times New Roman" w:cs="Times New Roman"/>
                <w:szCs w:val="20"/>
                <w:lang w:eastAsia="en-NZ"/>
              </w:rPr>
              <w:t xml:space="preserve">. </w:t>
            </w:r>
          </w:p>
          <w:p w14:paraId="270CD3FA" w14:textId="77777777" w:rsidR="004909A6" w:rsidRPr="00006F31" w:rsidRDefault="004909A6" w:rsidP="002D613F">
            <w:pPr>
              <w:shd w:val="clear" w:color="auto" w:fill="FFFFFF" w:themeFill="background1"/>
              <w:spacing w:before="30" w:after="30"/>
              <w:rPr>
                <w:b/>
                <w:color w:val="1F497D"/>
                <w:sz w:val="18"/>
                <w:szCs w:val="18"/>
              </w:rPr>
            </w:pPr>
          </w:p>
          <w:p w14:paraId="5AC8D82C" w14:textId="77777777" w:rsidR="000E462E" w:rsidRPr="0091450A" w:rsidRDefault="000E462E" w:rsidP="002D613F">
            <w:pPr>
              <w:spacing w:before="40" w:after="40"/>
              <w:rPr>
                <w:b/>
                <w:color w:val="1F497D"/>
                <w:sz w:val="28"/>
                <w:szCs w:val="28"/>
              </w:rPr>
            </w:pPr>
            <w:r w:rsidRPr="0091450A">
              <w:rPr>
                <w:b/>
                <w:color w:val="1F497D"/>
                <w:sz w:val="28"/>
                <w:szCs w:val="28"/>
              </w:rPr>
              <w:t>International best practice examples (benchmarks)</w:t>
            </w:r>
          </w:p>
          <w:p w14:paraId="287EC818" w14:textId="6BE36369" w:rsidR="003A2BED" w:rsidRPr="001B14AC" w:rsidRDefault="003A2BED" w:rsidP="002D613F">
            <w:pPr>
              <w:pStyle w:val="ListParagraph"/>
              <w:keepNext/>
              <w:numPr>
                <w:ilvl w:val="0"/>
                <w:numId w:val="26"/>
              </w:numPr>
              <w:spacing w:before="30" w:after="30"/>
              <w:rPr>
                <w:rFonts w:eastAsia="Times New Roman" w:cs="Times New Roman"/>
                <w:szCs w:val="20"/>
                <w:lang w:eastAsia="en-NZ"/>
              </w:rPr>
            </w:pPr>
            <w:r w:rsidRPr="0091450A">
              <w:rPr>
                <w:rFonts w:eastAsia="Times New Roman" w:cs="Times New Roman"/>
                <w:b/>
                <w:szCs w:val="20"/>
                <w:lang w:eastAsia="en-NZ"/>
              </w:rPr>
              <w:t>Chile</w:t>
            </w:r>
            <w:r w:rsidRPr="0091450A">
              <w:rPr>
                <w:rFonts w:eastAsia="Times New Roman" w:cs="Times New Roman"/>
                <w:szCs w:val="20"/>
                <w:lang w:eastAsia="en-NZ"/>
              </w:rPr>
              <w:t>: In 2012, the government approved a Law of Nutritional Composition of Food and Advertising (Ley 20, 606)</w:t>
            </w:r>
            <w:r w:rsidR="00432A57" w:rsidRPr="0091450A">
              <w:rPr>
                <w:rFonts w:eastAsia="Times New Roman" w:cs="Times New Roman"/>
                <w:szCs w:val="20"/>
                <w:lang w:eastAsia="en-NZ"/>
              </w:rPr>
              <w:t xml:space="preserve"> </w:t>
            </w:r>
            <w:r w:rsidR="005B617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{"citationItems":[{"id":"ITEM-1","itemData":{"URL":"http://www.dinta.cl/wp-dintacl/wp-content/uploads/Decreto-13_Ley-super8_do-20150626.pdf","author":[{"dropping-particle":"","family":"Diario Oficial de La Republica de Chile","given":"","non-dropping-particle":"","parse-names":false,"suffix":""}],"id":"ITEM-1","issue":"16/06/2016","issued":{"date-parts":[["2015"]]},"title":"Decreto 13 – Reglamento Ley 20.606 sobre Composición Nutricional de los Alimentos y su Publicidad","type":"webpage"},"uris":["http://www.mendeley.com/documents/?uuid=4f5f4f84-9b1c-4e62-876f-2bf1ac0eb255","http://www.mendeley.com/documents/?uuid=44d2b51e-ccc7-306c-8606-03160c5d05b6"]}],"mendeley":{"formattedCitation":"(58)","plainTextFormattedCitation":"(58)","previouslyFormattedCitation":"(58)"},"properties":{"noteIndex":0},"schema":"https://github.com/citation-style-language/schema/raw/master/csl-citation.json"}</w:instrText>
            </w:r>
            <w:r w:rsidR="005B617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(58)</w:t>
            </w:r>
            <w:r w:rsidR="005B617B" w:rsidRPr="0091450A">
              <w:rPr>
                <w:rFonts w:eastAsia="Times New Roman" w:cs="Times New Roman"/>
                <w:szCs w:val="20"/>
                <w:lang w:eastAsia="en-NZ"/>
              </w:rPr>
              <w:fldChar w:fldCharType="end"/>
            </w:r>
            <w:r w:rsidR="005B617B" w:rsidRPr="0091450A">
              <w:rPr>
                <w:rFonts w:eastAsia="Times New Roman" w:cs="Times New Roman"/>
                <w:szCs w:val="20"/>
                <w:lang w:eastAsia="en-NZ"/>
              </w:rPr>
              <w:t>.</w:t>
            </w:r>
            <w:r w:rsidRPr="0091450A">
              <w:rPr>
                <w:rFonts w:eastAsia="Times New Roman" w:cs="Times New Roman"/>
                <w:szCs w:val="20"/>
                <w:lang w:eastAsia="en-NZ"/>
              </w:rPr>
              <w:t xml:space="preserve"> In June 2015, the </w:t>
            </w:r>
            <w:r w:rsidR="00CA0A6A" w:rsidRPr="0091450A">
              <w:rPr>
                <w:rFonts w:eastAsia="Times New Roman" w:cs="Times New Roman"/>
                <w:szCs w:val="20"/>
                <w:lang w:eastAsia="en-NZ"/>
              </w:rPr>
              <w:t>authorities</w:t>
            </w:r>
            <w:r w:rsidRPr="0091450A">
              <w:rPr>
                <w:rFonts w:eastAsia="Times New Roman" w:cs="Times New Roman"/>
                <w:szCs w:val="20"/>
                <w:lang w:eastAsia="en-NZ"/>
              </w:rPr>
              <w:t xml:space="preserve"> approved the regulatory norms required for the law’s implementation (</w:t>
            </w:r>
            <w:proofErr w:type="spellStart"/>
            <w:r w:rsidRPr="0091450A">
              <w:rPr>
                <w:rFonts w:eastAsia="Times New Roman" w:cs="Times New Roman"/>
                <w:szCs w:val="20"/>
                <w:lang w:eastAsia="en-NZ"/>
              </w:rPr>
              <w:t>Diario</w:t>
            </w:r>
            <w:proofErr w:type="spellEnd"/>
            <w:r w:rsidRPr="0091450A">
              <w:rPr>
                <w:rFonts w:eastAsia="Times New Roman" w:cs="Times New Roman"/>
                <w:szCs w:val="20"/>
                <w:lang w:eastAsia="en-NZ"/>
              </w:rPr>
              <w:t xml:space="preserve"> </w:t>
            </w:r>
            <w:r w:rsidR="001F4285" w:rsidRPr="0091450A">
              <w:rPr>
                <w:rFonts w:eastAsia="Times New Roman" w:cs="Times New Roman"/>
                <w:szCs w:val="20"/>
                <w:lang w:eastAsia="en-NZ"/>
              </w:rPr>
              <w:t>Official</w:t>
            </w:r>
            <w:r w:rsidR="00A94A0A" w:rsidRPr="0091450A">
              <w:rPr>
                <w:rFonts w:eastAsia="Times New Roman" w:cs="Times New Roman"/>
                <w:szCs w:val="20"/>
                <w:lang w:eastAsia="en-NZ"/>
              </w:rPr>
              <w:t xml:space="preserve"> </w:t>
            </w:r>
            <w:r w:rsidRPr="0091450A">
              <w:rPr>
                <w:rFonts w:eastAsia="Times New Roman" w:cs="Times New Roman"/>
                <w:szCs w:val="20"/>
                <w:lang w:eastAsia="en-NZ"/>
              </w:rPr>
              <w:t>No 41.193). The regulatory norms define limits for calories, saturated fat, sugar</w:t>
            </w:r>
            <w:r w:rsidR="00F13595" w:rsidRPr="0091450A">
              <w:rPr>
                <w:rFonts w:eastAsia="Times New Roman" w:cs="Times New Roman"/>
                <w:szCs w:val="20"/>
                <w:lang w:eastAsia="en-NZ"/>
              </w:rPr>
              <w:t xml:space="preserve"> and sodium content considered ‘high’</w:t>
            </w:r>
            <w:r w:rsidRPr="0091450A">
              <w:rPr>
                <w:rFonts w:eastAsia="Times New Roman" w:cs="Times New Roman"/>
                <w:szCs w:val="20"/>
                <w:lang w:eastAsia="en-NZ"/>
              </w:rPr>
              <w:t xml:space="preserve"> in foods and beverages. The regulatory norms define limits for calories (275 calories/100g or 70 calories/100mL), saturated fat (4g/100g or 3g/100mL), sugar (10g/100g or 5g/100mL) and sodium (400mg/100g or 1</w:t>
            </w:r>
            <w:r w:rsidR="00F13595" w:rsidRPr="0091450A">
              <w:rPr>
                <w:rFonts w:eastAsia="Times New Roman" w:cs="Times New Roman"/>
                <w:szCs w:val="20"/>
                <w:lang w:eastAsia="en-NZ"/>
              </w:rPr>
              <w:t>00mg/100mL) content considered ‘</w:t>
            </w:r>
            <w:r w:rsidRPr="0091450A">
              <w:rPr>
                <w:rFonts w:eastAsia="Times New Roman" w:cs="Times New Roman"/>
                <w:szCs w:val="20"/>
                <w:lang w:eastAsia="en-NZ"/>
              </w:rPr>
              <w:t>high</w:t>
            </w:r>
            <w:r w:rsidR="00F13595" w:rsidRPr="0091450A">
              <w:rPr>
                <w:rFonts w:eastAsia="Times New Roman" w:cs="Times New Roman"/>
                <w:szCs w:val="20"/>
                <w:lang w:eastAsia="en-NZ"/>
              </w:rPr>
              <w:t>’</w:t>
            </w:r>
            <w:r w:rsidRPr="0091450A">
              <w:rPr>
                <w:rFonts w:eastAsia="Times New Roman" w:cs="Times New Roman"/>
                <w:szCs w:val="20"/>
                <w:lang w:eastAsia="en-NZ"/>
              </w:rPr>
              <w:t xml:space="preserve"> in foods and beverages. The law restricts advertising directed to children under the a</w:t>
            </w:r>
            <w:r w:rsidR="00F13595" w:rsidRPr="0091450A">
              <w:rPr>
                <w:rFonts w:eastAsia="Times New Roman" w:cs="Times New Roman"/>
                <w:szCs w:val="20"/>
                <w:lang w:eastAsia="en-NZ"/>
              </w:rPr>
              <w:t xml:space="preserve">ge of 14 </w:t>
            </w:r>
            <w:r w:rsidR="00CA0A6A" w:rsidRPr="0091450A">
              <w:rPr>
                <w:rFonts w:eastAsia="Times New Roman" w:cs="Times New Roman"/>
                <w:szCs w:val="20"/>
                <w:lang w:eastAsia="en-NZ"/>
              </w:rPr>
              <w:t>for</w:t>
            </w:r>
            <w:r w:rsidR="00F13595" w:rsidRPr="0091450A">
              <w:rPr>
                <w:rFonts w:eastAsia="Times New Roman" w:cs="Times New Roman"/>
                <w:szCs w:val="20"/>
                <w:lang w:eastAsia="en-NZ"/>
              </w:rPr>
              <w:t xml:space="preserve"> foods in the ‘high in’</w:t>
            </w:r>
            <w:r w:rsidRPr="0091450A">
              <w:rPr>
                <w:rFonts w:eastAsia="Times New Roman" w:cs="Times New Roman"/>
                <w:szCs w:val="20"/>
                <w:lang w:eastAsia="en-NZ"/>
              </w:rPr>
              <w:t xml:space="preserve"> category. The regulatory norms define advertising targeted to children as websites directed to or with an audience of greater than 20% children, and according to the design of the advertisement. Promotional strategies and incentives, such as cartoons, animations, and toys that could attract the attention of children are included in the ban. The regulation took effect</w:t>
            </w:r>
            <w:r w:rsidR="00B06FD7">
              <w:rPr>
                <w:rFonts w:eastAsia="Times New Roman" w:cs="Times New Roman"/>
                <w:szCs w:val="20"/>
                <w:lang w:eastAsia="en-NZ"/>
              </w:rPr>
              <w:t xml:space="preserve"> on</w:t>
            </w:r>
            <w:r w:rsidRPr="0091450A">
              <w:rPr>
                <w:rFonts w:eastAsia="Times New Roman" w:cs="Times New Roman"/>
                <w:szCs w:val="20"/>
                <w:lang w:eastAsia="en-NZ"/>
              </w:rPr>
              <w:t xml:space="preserve"> 1 July 2016 and applies to all advertising media </w:t>
            </w:r>
            <w:r w:rsidR="005B617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d14237e4-dd51-3e16-be71-a7b911c809b6"]}],"mendeley":{"formattedCitation":"(67)","plainTextFormattedCitation":"(67)","previouslyFormattedCitation":"(67)"},"properties":{"noteIndex":0},"schema":"https://github.com/citation-style-language/schema/raw/master/csl-citation.json"}</w:instrText>
            </w:r>
            <w:r w:rsidR="005B617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5B617B" w:rsidRPr="0091450A">
              <w:rPr>
                <w:rFonts w:eastAsia="Times New Roman" w:cs="Times New Roman"/>
                <w:szCs w:val="20"/>
                <w:lang w:eastAsia="en-NZ"/>
              </w:rPr>
              <w:fldChar w:fldCharType="end"/>
            </w:r>
            <w:r w:rsidR="005B617B" w:rsidRPr="0091450A">
              <w:rPr>
                <w:rFonts w:eastAsia="Times New Roman" w:cs="Times New Roman"/>
                <w:szCs w:val="20"/>
                <w:lang w:eastAsia="en-NZ"/>
              </w:rPr>
              <w:t>.</w:t>
            </w:r>
            <w:r w:rsidRPr="0091450A">
              <w:t xml:space="preserve"> </w:t>
            </w:r>
            <w:r w:rsidRPr="0091450A">
              <w:rPr>
                <w:rFonts w:eastAsia="Times New Roman" w:cs="Times New Roman"/>
                <w:szCs w:val="20"/>
                <w:lang w:eastAsia="en-NZ"/>
              </w:rPr>
              <w:t xml:space="preserve">Chile outlaws Kinder Surprise eggs and </w:t>
            </w:r>
            <w:r w:rsidRPr="001B14AC">
              <w:rPr>
                <w:rFonts w:eastAsia="Times New Roman" w:cs="Times New Roman"/>
                <w:szCs w:val="20"/>
                <w:lang w:eastAsia="en-NZ"/>
              </w:rPr>
              <w:t>prohibit</w:t>
            </w:r>
            <w:r w:rsidR="00B06FD7" w:rsidRPr="001B14AC">
              <w:rPr>
                <w:rFonts w:eastAsia="Times New Roman" w:cs="Times New Roman"/>
                <w:szCs w:val="20"/>
                <w:lang w:eastAsia="en-NZ"/>
              </w:rPr>
              <w:t>s</w:t>
            </w:r>
            <w:r w:rsidRPr="00C25661">
              <w:rPr>
                <w:rFonts w:eastAsia="Times New Roman" w:cs="Times New Roman"/>
                <w:szCs w:val="20"/>
                <w:lang w:eastAsia="en-NZ"/>
              </w:rPr>
              <w:t xml:space="preserve"> toys in McDonald’s ‘Happy Meals’ as part of this law </w:t>
            </w:r>
            <w:r w:rsidR="005B617B" w:rsidRPr="001B14AC">
              <w:rPr>
                <w:rFonts w:eastAsia="Times New Roman" w:cs="Times New Roman"/>
                <w:szCs w:val="20"/>
                <w:lang w:eastAsia="en-NZ"/>
              </w:rPr>
              <w:fldChar w:fldCharType="begin" w:fldLock="1"/>
            </w:r>
            <w:r w:rsidR="002B6CB8" w:rsidRPr="001B14AC">
              <w:rPr>
                <w:rFonts w:eastAsia="Times New Roman" w:cs="Times New Roman"/>
                <w:szCs w:val="20"/>
                <w:lang w:eastAsia="en-NZ"/>
              </w:rPr>
              <w:instrText>ADDIN CSL_CITATION {"citationItems":[{"id":"ITEM-1","itemData":{"container-title":"The Argentina Independent","id":"ITEM-1","issued":{"date-parts":[["2016"]]},"title":"Chile Bans ‘Kinder Suprise’ and ‘Happy Meals’ to Combat Child Obesity","type":"article-newspaper"},"uris":["http://www.mendeley.com/documents/?uuid=9ae98240-4641-44bb-85bd-23dfa2fc0e80","http://www.mendeley.com/documents/?uuid=5ba6fd8b-bfcb-37b0-8388-f0cf3106430e"]}],"mendeley":{"formattedCitation":"(68)","plainTextFormattedCitation":"(68)","previouslyFormattedCitation":"(68)"},"properties":{"noteIndex":0},"schema":"https://github.com/citation-style-language/schema/raw/master/csl-citation.json"}</w:instrText>
            </w:r>
            <w:r w:rsidR="005B617B" w:rsidRPr="001B14AC">
              <w:rPr>
                <w:rFonts w:eastAsia="Times New Roman" w:cs="Times New Roman"/>
                <w:szCs w:val="20"/>
                <w:lang w:eastAsia="en-NZ"/>
              </w:rPr>
              <w:fldChar w:fldCharType="separate"/>
            </w:r>
            <w:r w:rsidR="00A90C92" w:rsidRPr="001B14AC">
              <w:rPr>
                <w:rFonts w:eastAsia="Times New Roman" w:cs="Times New Roman"/>
                <w:noProof/>
                <w:szCs w:val="20"/>
                <w:lang w:eastAsia="en-NZ"/>
              </w:rPr>
              <w:t>(68)</w:t>
            </w:r>
            <w:r w:rsidR="005B617B" w:rsidRPr="001B14AC">
              <w:rPr>
                <w:rFonts w:eastAsia="Times New Roman" w:cs="Times New Roman"/>
                <w:szCs w:val="20"/>
                <w:lang w:eastAsia="en-NZ"/>
              </w:rPr>
              <w:fldChar w:fldCharType="end"/>
            </w:r>
            <w:r w:rsidR="005B617B" w:rsidRPr="001B14AC">
              <w:rPr>
                <w:rFonts w:eastAsia="Times New Roman" w:cs="Times New Roman"/>
                <w:szCs w:val="20"/>
                <w:lang w:eastAsia="en-NZ"/>
              </w:rPr>
              <w:t>.</w:t>
            </w:r>
            <w:r w:rsidR="00083AA3" w:rsidRPr="001B14AC">
              <w:rPr>
                <w:rFonts w:eastAsia="Times New Roman" w:cs="Times New Roman"/>
                <w:szCs w:val="20"/>
                <w:lang w:eastAsia="en-NZ"/>
              </w:rPr>
              <w:t xml:space="preserve"> </w:t>
            </w:r>
            <w:r w:rsidR="00083AA3" w:rsidRPr="00C25661">
              <w:rPr>
                <w:color w:val="222222"/>
                <w:szCs w:val="20"/>
                <w:shd w:val="clear" w:color="auto" w:fill="FFFFFF"/>
              </w:rPr>
              <w:t>The percentage of food and beverage products</w:t>
            </w:r>
            <w:r w:rsidR="00083AA3" w:rsidRPr="007159FF">
              <w:rPr>
                <w:bCs/>
                <w:color w:val="222222"/>
                <w:szCs w:val="20"/>
                <w:shd w:val="clear" w:color="auto" w:fill="FFFFFF"/>
              </w:rPr>
              <w:t> that targeted children</w:t>
            </w:r>
            <w:r w:rsidR="00083AA3" w:rsidRPr="001B14AC">
              <w:rPr>
                <w:color w:val="222222"/>
                <w:szCs w:val="20"/>
                <w:shd w:val="clear" w:color="auto" w:fill="FFFFFF"/>
              </w:rPr>
              <w:t> decreased from </w:t>
            </w:r>
            <w:r w:rsidR="00083AA3" w:rsidRPr="007159FF">
              <w:rPr>
                <w:bCs/>
                <w:color w:val="222222"/>
                <w:szCs w:val="20"/>
                <w:shd w:val="clear" w:color="auto" w:fill="FFFFFF"/>
              </w:rPr>
              <w:t>36%</w:t>
            </w:r>
            <w:r w:rsidR="00083AA3" w:rsidRPr="001B14AC">
              <w:rPr>
                <w:color w:val="222222"/>
                <w:szCs w:val="20"/>
                <w:shd w:val="clear" w:color="auto" w:fill="FFFFFF"/>
              </w:rPr>
              <w:t> before implementation of the law to </w:t>
            </w:r>
            <w:r w:rsidR="00083AA3" w:rsidRPr="007159FF">
              <w:rPr>
                <w:bCs/>
                <w:color w:val="222222"/>
                <w:szCs w:val="20"/>
                <w:shd w:val="clear" w:color="auto" w:fill="FFFFFF"/>
              </w:rPr>
              <w:t>21%</w:t>
            </w:r>
            <w:r w:rsidR="00083AA3" w:rsidRPr="001B14AC">
              <w:rPr>
                <w:color w:val="222222"/>
                <w:szCs w:val="20"/>
                <w:shd w:val="clear" w:color="auto" w:fill="FFFFFF"/>
              </w:rPr>
              <w:t> after implementation.</w:t>
            </w:r>
            <w:r w:rsidR="006B1326" w:rsidRPr="001B14AC">
              <w:rPr>
                <w:color w:val="222222"/>
                <w:szCs w:val="20"/>
                <w:shd w:val="clear" w:color="auto" w:fill="FFFFFF"/>
              </w:rPr>
              <w:t xml:space="preserve"> The percentage of </w:t>
            </w:r>
            <w:r w:rsidR="006B1326" w:rsidRPr="007159FF">
              <w:rPr>
                <w:bCs/>
                <w:color w:val="222222"/>
                <w:szCs w:val="20"/>
                <w:shd w:val="clear" w:color="auto" w:fill="FFFFFF"/>
              </w:rPr>
              <w:t>“high-in” packages that used at least one child-directed marketing strategy</w:t>
            </w:r>
            <w:r w:rsidR="006B1326" w:rsidRPr="001B14AC">
              <w:rPr>
                <w:color w:val="222222"/>
                <w:szCs w:val="20"/>
                <w:shd w:val="clear" w:color="auto" w:fill="FFFFFF"/>
              </w:rPr>
              <w:t> decreased from </w:t>
            </w:r>
            <w:r w:rsidR="006B1326" w:rsidRPr="007159FF">
              <w:rPr>
                <w:bCs/>
                <w:color w:val="222222"/>
                <w:szCs w:val="20"/>
                <w:shd w:val="clear" w:color="auto" w:fill="FFFFFF"/>
              </w:rPr>
              <w:t>43%</w:t>
            </w:r>
            <w:r w:rsidR="006B1326" w:rsidRPr="001B14AC">
              <w:rPr>
                <w:color w:val="222222"/>
                <w:szCs w:val="20"/>
                <w:shd w:val="clear" w:color="auto" w:fill="FFFFFF"/>
              </w:rPr>
              <w:t> before implementation to </w:t>
            </w:r>
            <w:r w:rsidR="006B1326" w:rsidRPr="007159FF">
              <w:rPr>
                <w:bCs/>
                <w:color w:val="222222"/>
                <w:szCs w:val="20"/>
                <w:shd w:val="clear" w:color="auto" w:fill="FFFFFF"/>
              </w:rPr>
              <w:t>15%</w:t>
            </w:r>
            <w:r w:rsidR="006B1326" w:rsidRPr="001B14AC">
              <w:rPr>
                <w:color w:val="222222"/>
                <w:szCs w:val="20"/>
                <w:shd w:val="clear" w:color="auto" w:fill="FFFFFF"/>
              </w:rPr>
              <w:t> after implementation</w:t>
            </w:r>
            <w:r w:rsidR="002B6CB8" w:rsidRPr="001B14AC">
              <w:rPr>
                <w:color w:val="222222"/>
                <w:szCs w:val="20"/>
                <w:shd w:val="clear" w:color="auto" w:fill="FFFFFF"/>
              </w:rPr>
              <w:t xml:space="preserve"> </w:t>
            </w:r>
            <w:r w:rsidR="002B6CB8" w:rsidRPr="001B14AC">
              <w:rPr>
                <w:color w:val="222222"/>
                <w:szCs w:val="20"/>
                <w:shd w:val="clear" w:color="auto" w:fill="FFFFFF"/>
              </w:rPr>
              <w:fldChar w:fldCharType="begin" w:fldLock="1"/>
            </w:r>
            <w:r w:rsidR="001B14AC">
              <w:rPr>
                <w:color w:val="222222"/>
                <w:szCs w:val="20"/>
                <w:shd w:val="clear" w:color="auto" w:fill="FFFFFF"/>
              </w:rPr>
              <w:instrText>ADDIN CSL_CITATION {"citationItems":[{"id":"ITEM-1","itemData":{"DOI":"10.1017/S1368980019003355","ISSN":"14752727","PMID":"31822317","abstract":"Objective:To evaluate the effects of Chile's 2016 regulation restricting child-directed marketing of products high in energy, saturated fats, sodium and sugars on reducing children's exposure to 'high-in' television food advertising.Design:Television use by pre-schoolers and adolescents was assessed via surveys in the months prior to implementation and a year after implementation. Hours and channels of television use were linked with the amount of high-in food advertising observed in corresponding content analyses of food advertisements (ads) from popular broadcast and cable channels to estimate changes in exposure to food ads from these channels.Setting:Middle-lower and lower-income neighbourhoods in Santiago, Chile.Participants:Pre-schoolers (n 879; mothers reporting) and adolescents (n 753; self-reporting).Results:Pre-schoolers' and adolescents' exposure to high-in food advertising in total decreased significantly by an average of 44 and 58 %, respectively. Exposure to high-in food advertising with child-directed appeals, such as cartoon characters, decreased by 35 and 52 % for pre-schoolers and adolescents, respectively. Decreases were more pronounced for children who viewed more television. Products high in sugars were the most prevalent among the high-in ads seen by children after implementation.Conclusions:Following Chile's 2016 child-directed marketing regulation, children's exposure to high-in food advertising on popular broadcast and cable television decreased significantly but was not eliminated from their viewing. Later stages of the regulation are expected to eliminate the majority of children's exposure to high-in food advertising from television.","author":[{"dropping-particle":"","family":"Dillman Carpentier","given":"Francesca R.","non-dropping-particle":"","parse-names":false,"suffix":""},{"dropping-particle":"","family":"Correa","given":"Teresa","non-dropping-particle":"","parse-names":false,"suffix":""},{"dropping-particle":"","family":"Reyes","given":"Marcela","non-dropping-particle":"","parse-names":false,"suffix":""},{"dropping-particle":"","family":"Taillie","given":"Lindsey Smith","non-dropping-particle":"","parse-names":false,"suffix":""}],"container-title":"Public Health Nutrition","id":"ITEM-1","issued":{"date-parts":[["2019"]]},"page":"1-9","publisher":"Cambridge University Press","title":"Evaluating the impact of Chile's marketing regulation of unhealthy foods and beverages: Pre-school and adolescent children's changes in exposure to food advertising on television","type":"article-journal"},"uris":["http://www.mendeley.com/documents/?uuid=2fea4f80-2ee0-3a4d-865a-a611e12f49d9"]}],"mendeley":{"formattedCitation":"(69)","plainTextFormattedCitation":"(69)","previouslyFormattedCitation":"(69)"},"properties":{"noteIndex":0},"schema":"https://github.com/citation-style-language/schema/raw/master/csl-citation.json"}</w:instrText>
            </w:r>
            <w:r w:rsidR="002B6CB8" w:rsidRPr="001B14AC">
              <w:rPr>
                <w:color w:val="222222"/>
                <w:szCs w:val="20"/>
                <w:shd w:val="clear" w:color="auto" w:fill="FFFFFF"/>
              </w:rPr>
              <w:fldChar w:fldCharType="separate"/>
            </w:r>
            <w:r w:rsidR="002B6CB8" w:rsidRPr="001B14AC">
              <w:rPr>
                <w:noProof/>
                <w:color w:val="222222"/>
                <w:szCs w:val="20"/>
                <w:shd w:val="clear" w:color="auto" w:fill="FFFFFF"/>
              </w:rPr>
              <w:t>(69)</w:t>
            </w:r>
            <w:r w:rsidR="002B6CB8" w:rsidRPr="001B14AC">
              <w:rPr>
                <w:color w:val="222222"/>
                <w:szCs w:val="20"/>
                <w:shd w:val="clear" w:color="auto" w:fill="FFFFFF"/>
              </w:rPr>
              <w:fldChar w:fldCharType="end"/>
            </w:r>
            <w:r w:rsidR="006B1326" w:rsidRPr="001B14AC">
              <w:rPr>
                <w:color w:val="222222"/>
                <w:szCs w:val="20"/>
                <w:shd w:val="clear" w:color="auto" w:fill="FFFFFF"/>
              </w:rPr>
              <w:t>.</w:t>
            </w:r>
          </w:p>
          <w:p w14:paraId="07DC5C57" w14:textId="0E01887F" w:rsidR="003A2BED" w:rsidRPr="0091450A" w:rsidRDefault="003A2BED" w:rsidP="002D613F">
            <w:pPr>
              <w:pStyle w:val="ListParagraph"/>
              <w:keepNext/>
              <w:numPr>
                <w:ilvl w:val="0"/>
                <w:numId w:val="26"/>
              </w:numPr>
              <w:spacing w:before="30" w:after="30"/>
              <w:rPr>
                <w:rFonts w:eastAsia="Times New Roman" w:cs="Times New Roman"/>
                <w:szCs w:val="20"/>
                <w:lang w:eastAsia="en-NZ"/>
              </w:rPr>
            </w:pPr>
            <w:r w:rsidRPr="0091450A">
              <w:rPr>
                <w:rFonts w:eastAsia="Times New Roman" w:cs="Times New Roman"/>
                <w:b/>
                <w:szCs w:val="20"/>
                <w:lang w:eastAsia="en-NZ"/>
              </w:rPr>
              <w:t>Quebec (Canada)</w:t>
            </w:r>
            <w:r w:rsidRPr="0091450A">
              <w:rPr>
                <w:rFonts w:eastAsia="Times New Roman" w:cs="Times New Roman"/>
                <w:szCs w:val="20"/>
                <w:lang w:eastAsia="en-NZ"/>
              </w:rPr>
              <w:t>: Quebec</w:t>
            </w:r>
            <w:r w:rsidR="004213F8" w:rsidRPr="0091450A">
              <w:rPr>
                <w:rFonts w:eastAsia="Times New Roman" w:cs="Times New Roman"/>
                <w:szCs w:val="20"/>
                <w:lang w:eastAsia="en-NZ"/>
              </w:rPr>
              <w:t xml:space="preserve"> is the only province in Canada</w:t>
            </w:r>
            <w:r w:rsidRPr="0091450A">
              <w:rPr>
                <w:rFonts w:eastAsia="Times New Roman" w:cs="Times New Roman"/>
                <w:szCs w:val="20"/>
                <w:lang w:eastAsia="en-NZ"/>
              </w:rPr>
              <w:t xml:space="preserve"> where children below 13 years old are protected under the Consumer Protection Act since 1980</w:t>
            </w:r>
            <w:r w:rsidR="004745E3" w:rsidRPr="0091450A">
              <w:rPr>
                <w:rFonts w:eastAsia="Times New Roman" w:cs="Times New Roman"/>
                <w:szCs w:val="20"/>
                <w:lang w:eastAsia="en-NZ"/>
              </w:rPr>
              <w:t xml:space="preserve"> </w:t>
            </w:r>
            <w:r w:rsidR="00CF0576" w:rsidRPr="0091450A">
              <w:rPr>
                <w:rFonts w:eastAsia="Times New Roman" w:cs="Times New Roman"/>
                <w:szCs w:val="20"/>
                <w:lang w:eastAsia="en-NZ"/>
              </w:rPr>
              <w:t xml:space="preserve">{Office de la protection du </w:t>
            </w:r>
            <w:proofErr w:type="spellStart"/>
            <w:r w:rsidR="00CF0576" w:rsidRPr="0091450A">
              <w:rPr>
                <w:rFonts w:eastAsia="Times New Roman" w:cs="Times New Roman"/>
                <w:szCs w:val="20"/>
                <w:lang w:eastAsia="en-NZ"/>
              </w:rPr>
              <w:t>consommateur</w:t>
            </w:r>
            <w:proofErr w:type="spellEnd"/>
            <w:r w:rsidR="00CF0576" w:rsidRPr="0091450A">
              <w:rPr>
                <w:rFonts w:eastAsia="Times New Roman" w:cs="Times New Roman"/>
                <w:szCs w:val="20"/>
                <w:lang w:eastAsia="en-NZ"/>
              </w:rPr>
              <w:t>, 2013 #443}</w:t>
            </w:r>
            <w:r w:rsidR="0030228B" w:rsidRPr="0091450A">
              <w:rPr>
                <w:rFonts w:eastAsia="Times New Roman" w:cs="Times New Roman"/>
                <w:szCs w:val="20"/>
                <w:lang w:eastAsia="en-NZ"/>
              </w:rPr>
              <w:t>. In Que</w:t>
            </w:r>
            <w:r w:rsidRPr="0091450A">
              <w:rPr>
                <w:rFonts w:eastAsia="Times New Roman" w:cs="Times New Roman"/>
                <w:szCs w:val="20"/>
                <w:lang w:eastAsia="en-NZ"/>
              </w:rPr>
              <w:t xml:space="preserve">bec, the Consumer Protection Act prohibits commercial advertising directed at children less than 13 years through all media. To determine whether or not an advertisement is directed at persons under </w:t>
            </w:r>
            <w:r w:rsidR="004213F8" w:rsidRPr="0091450A">
              <w:rPr>
                <w:rFonts w:eastAsia="Times New Roman" w:cs="Times New Roman"/>
                <w:szCs w:val="20"/>
                <w:lang w:eastAsia="en-NZ"/>
              </w:rPr>
              <w:t>13</w:t>
            </w:r>
            <w:r w:rsidRPr="0091450A">
              <w:rPr>
                <w:rFonts w:eastAsia="Times New Roman" w:cs="Times New Roman"/>
                <w:szCs w:val="20"/>
                <w:lang w:eastAsia="en-NZ"/>
              </w:rPr>
              <w:t xml:space="preserve">, account must be taken of the context, and in particular of a) nature and intended purpose of the goods advertised; b) the manner of presenting advertisement; c) the time and place it is shown </w:t>
            </w:r>
            <w:r w:rsidR="005B617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{"citationItems":[{"id":"ITEM-1","itemData":{"DOI":"10.3109/17477166.2010.526222","ISBN":"1747-7174 (Electronic)\r1747-7166 (Linking)","PMID":"21062202","author":[{"dropping-particle":"","family":"Kent","given":"M P","non-dropping-particle":"","parse-names":false,"suffix":""},{"dropping-particle":"","family":"Dubois","given":"L","non-dropping-particle":"","parse-names":false,"suffix":""},{"dropping-particle":"","family":"Wanless","given":"A","non-dropping-particle":"","parse-names":false,"suffix":""}],"container-title":"Int J Pediatr Obes","id":"ITEM-1","issue":"2-2","issued":{"date-parts":[["2011"]]},"page":"e433-41","title":"Food marketing on children's television in two different policy environments","type":"article-journal","volume":"6"},"uris":["http://www.mendeley.com/documents/?uuid=499f269f-ccce-4972-9353-b8ce9b316eeb","http://www.mendeley.com/documents/?uuid=81b3461e-ee27-3f9d-a746-a8b357b62d90"]}],"mendeley":{"formattedCitation":"(66)","plainTextFormattedCitation":"(66)","previouslyFormattedCitation":"(66)"},"properties":{"noteIndex":0},"schema":"https://github.com/citation-style-language/schema/raw/master/csl-citation.json"}</w:instrText>
            </w:r>
            <w:r w:rsidR="005B617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(66)</w:t>
            </w:r>
            <w:r w:rsidR="005B617B" w:rsidRPr="0091450A">
              <w:rPr>
                <w:rFonts w:eastAsia="Times New Roman" w:cs="Times New Roman"/>
                <w:szCs w:val="20"/>
                <w:lang w:eastAsia="en-NZ"/>
              </w:rPr>
              <w:fldChar w:fldCharType="end"/>
            </w:r>
            <w:r w:rsidR="005B617B" w:rsidRPr="0091450A">
              <w:rPr>
                <w:rFonts w:eastAsia="Times New Roman" w:cs="Times New Roman"/>
                <w:szCs w:val="20"/>
                <w:lang w:eastAsia="en-NZ"/>
              </w:rPr>
              <w:t>.</w:t>
            </w:r>
            <w:r w:rsidRPr="0091450A">
              <w:rPr>
                <w:rFonts w:eastAsia="Times New Roman" w:cs="Times New Roman"/>
                <w:szCs w:val="20"/>
                <w:lang w:eastAsia="en-NZ"/>
              </w:rPr>
              <w:t xml:space="preserve"> Any stakeholder involved in a commercial process (from the request to create an advertisement to its distribution, including its design) may be accused of not complying with the legislation in force. Per indictment, that person is liable to: a fine ranging from</w:t>
            </w:r>
            <w:r w:rsidR="004213F8" w:rsidRPr="0091450A">
              <w:rPr>
                <w:rFonts w:eastAsia="Times New Roman" w:cs="Times New Roman"/>
                <w:szCs w:val="20"/>
                <w:lang w:eastAsia="en-NZ"/>
              </w:rPr>
              <w:t>;</w:t>
            </w:r>
            <w:r w:rsidRPr="0091450A">
              <w:rPr>
                <w:rFonts w:eastAsia="Times New Roman" w:cs="Times New Roman"/>
                <w:szCs w:val="20"/>
                <w:lang w:eastAsia="en-NZ"/>
              </w:rPr>
              <w:t xml:space="preserve"> $600 to 15,000 (</w:t>
            </w:r>
            <w:r w:rsidR="004213F8" w:rsidRPr="0091450A">
              <w:rPr>
                <w:rFonts w:eastAsia="Times New Roman" w:cs="Times New Roman"/>
                <w:szCs w:val="20"/>
                <w:lang w:eastAsia="en-NZ"/>
              </w:rPr>
              <w:t xml:space="preserve">for </w:t>
            </w:r>
            <w:r w:rsidRPr="0091450A">
              <w:rPr>
                <w:rFonts w:eastAsia="Times New Roman" w:cs="Times New Roman"/>
                <w:szCs w:val="20"/>
                <w:lang w:eastAsia="en-NZ"/>
              </w:rPr>
              <w:t xml:space="preserve">natural person); </w:t>
            </w:r>
            <w:r w:rsidR="004213F8" w:rsidRPr="0091450A">
              <w:rPr>
                <w:rFonts w:eastAsia="Times New Roman" w:cs="Times New Roman"/>
                <w:szCs w:val="20"/>
                <w:lang w:eastAsia="en-NZ"/>
              </w:rPr>
              <w:t xml:space="preserve">$2,000 to </w:t>
            </w:r>
            <w:r w:rsidRPr="0091450A">
              <w:rPr>
                <w:rFonts w:eastAsia="Times New Roman" w:cs="Times New Roman"/>
                <w:szCs w:val="20"/>
                <w:lang w:eastAsia="en-NZ"/>
              </w:rPr>
              <w:t>100,000 (</w:t>
            </w:r>
            <w:r w:rsidR="004213F8" w:rsidRPr="0091450A">
              <w:rPr>
                <w:rFonts w:eastAsia="Times New Roman" w:cs="Times New Roman"/>
                <w:szCs w:val="20"/>
                <w:lang w:eastAsia="en-NZ"/>
              </w:rPr>
              <w:t>for</w:t>
            </w:r>
            <w:r w:rsidRPr="0091450A">
              <w:rPr>
                <w:rFonts w:eastAsia="Times New Roman" w:cs="Times New Roman"/>
                <w:szCs w:val="20"/>
                <w:lang w:eastAsia="en-NZ"/>
              </w:rPr>
              <w:t xml:space="preserve"> a legal person).</w:t>
            </w:r>
            <w:r w:rsidR="004213F8" w:rsidRPr="0091450A">
              <w:rPr>
                <w:rFonts w:eastAsia="Times New Roman" w:cs="Times New Roman"/>
                <w:szCs w:val="20"/>
                <w:lang w:eastAsia="en-NZ"/>
              </w:rPr>
              <w:t xml:space="preserve"> F</w:t>
            </w:r>
            <w:r w:rsidRPr="0091450A">
              <w:rPr>
                <w:rFonts w:eastAsia="Times New Roman" w:cs="Times New Roman"/>
                <w:szCs w:val="20"/>
                <w:lang w:eastAsia="en-NZ"/>
              </w:rPr>
              <w:t>or the rest of Canada, child-directed food marketing is self-regulated using the Canadian Children’s Food and Beverage Advertising Initiative by Advertising Standards Canada through The Broadcast Code for Advertising to Children.</w:t>
            </w:r>
          </w:p>
          <w:p w14:paraId="68FF816D" w14:textId="7588A10E" w:rsidR="002C2B0B" w:rsidRPr="0091450A" w:rsidRDefault="002C2B0B" w:rsidP="002D613F">
            <w:pPr>
              <w:pStyle w:val="ListParagraph"/>
              <w:keepNext/>
              <w:numPr>
                <w:ilvl w:val="0"/>
                <w:numId w:val="26"/>
              </w:numPr>
              <w:spacing w:before="30" w:after="30"/>
              <w:rPr>
                <w:rFonts w:eastAsia="Times New Roman" w:cs="Times New Roman"/>
                <w:szCs w:val="20"/>
                <w:lang w:eastAsia="en-NZ"/>
              </w:rPr>
            </w:pPr>
            <w:r w:rsidRPr="0091450A">
              <w:rPr>
                <w:rFonts w:cstheme="majorHAnsi"/>
                <w:b/>
                <w:bCs/>
              </w:rPr>
              <w:t>UK:</w:t>
            </w:r>
            <w:r w:rsidRPr="0091450A">
              <w:rPr>
                <w:rFonts w:cstheme="majorHAnsi"/>
              </w:rPr>
              <w:t xml:space="preserve"> UK CAP rules have been reviewed so that online marketing targeted </w:t>
            </w:r>
            <w:r w:rsidR="00B06FD7">
              <w:rPr>
                <w:rFonts w:cstheme="majorHAnsi"/>
              </w:rPr>
              <w:t>at</w:t>
            </w:r>
            <w:r w:rsidRPr="0091450A">
              <w:rPr>
                <w:rFonts w:cstheme="majorHAnsi"/>
              </w:rPr>
              <w:t xml:space="preserve"> under-16s is prohibited. This means that HFSS product ads are not permitted to appear in media that is specifically targeted at under-16s (for example, a children’s magazine or on a website aimed at children); or where under-16s make up a </w:t>
            </w:r>
            <w:r w:rsidRPr="0091450A">
              <w:rPr>
                <w:rFonts w:cstheme="majorHAnsi"/>
              </w:rPr>
              <w:lastRenderedPageBreak/>
              <w:t>significant proportion (more than 25%) of the audience (for example, advertorial content with an influencer that might have broad appeal but also a significant child audience)</w:t>
            </w:r>
            <w:r w:rsidR="00E22F8A" w:rsidRPr="0091450A">
              <w:rPr>
                <w:rFonts w:cstheme="majorHAnsi"/>
              </w:rPr>
              <w:t xml:space="preserve">. </w:t>
            </w:r>
            <w:r w:rsidR="002760AA" w:rsidRPr="0091450A">
              <w:rPr>
                <w:rFonts w:cstheme="majorHAnsi"/>
              </w:rPr>
              <w:fldChar w:fldCharType="begin" w:fldLock="1"/>
            </w:r>
            <w:r w:rsidR="002B6CB8">
              <w:rPr>
                <w:rFonts w:cstheme="majorHAnsi"/>
              </w:rPr>
              <w:instrText>ADDIN CSL_CITATION {"citationItems":[{"id":"ITEM-1","itemData":{"author":[{"dropping-particle":"","family":"Advertising Standards Authority","given":"","non-dropping-particle":"","parse-names":false,"suffix":""}],"id":"ITEM-1","issued":{"date-parts":[["2018"]]},"title":"Food: HFSS Media Placement 2018","type":"report"},"uris":["http://www.mendeley.com/documents/?uuid=6e6fc4c3-9ec1-4e32-8a26-61e7935cbf01","http://www.mendeley.com/documents/?uuid=517052b0-972c-4fae-b138-117595aaa4ec"]}],"mendeley":{"formattedCitation":"(71)","plainTextFormattedCitation":"(71)","previouslyFormattedCitation":"(71)"},"properties":{"noteIndex":0},"schema":"https://github.com/citation-style-language/schema/raw/master/csl-citation.json"}</w:instrText>
            </w:r>
            <w:r w:rsidR="002760AA" w:rsidRPr="0091450A">
              <w:rPr>
                <w:rFonts w:cstheme="majorHAnsi"/>
              </w:rPr>
              <w:fldChar w:fldCharType="separate"/>
            </w:r>
            <w:r w:rsidR="00A90C92" w:rsidRPr="00A90C92">
              <w:rPr>
                <w:rFonts w:cstheme="majorHAnsi"/>
                <w:noProof/>
              </w:rPr>
              <w:t>(71)</w:t>
            </w:r>
            <w:r w:rsidR="002760AA" w:rsidRPr="0091450A">
              <w:rPr>
                <w:rFonts w:cstheme="majorHAnsi"/>
              </w:rPr>
              <w:fldChar w:fldCharType="end"/>
            </w:r>
          </w:p>
          <w:p w14:paraId="5B23F650" w14:textId="2F239C2C" w:rsidR="002C2B0B" w:rsidRPr="0091450A" w:rsidRDefault="002C2B0B" w:rsidP="002D613F">
            <w:pPr>
              <w:pStyle w:val="ListParagraph"/>
              <w:keepNext/>
              <w:numPr>
                <w:ilvl w:val="0"/>
                <w:numId w:val="26"/>
              </w:numPr>
              <w:spacing w:before="30" w:after="30"/>
              <w:rPr>
                <w:rFonts w:eastAsia="Times New Roman" w:cs="Times New Roman"/>
                <w:szCs w:val="20"/>
                <w:lang w:eastAsia="en-NZ"/>
              </w:rPr>
            </w:pPr>
            <w:r w:rsidRPr="0091450A">
              <w:rPr>
                <w:b/>
                <w:bCs/>
              </w:rPr>
              <w:t>London UK:</w:t>
            </w:r>
            <w:r w:rsidRPr="0091450A">
              <w:t xml:space="preserve"> On 25 February 2019, the Mayor of London, introduced restrictions on the advertising of unhealthy food across the entire Transport for London (TfL) public transport network, as part of his work to help tackle childhood obesity in London. The policy specifies that food and non-alcoholic drinks high in fat, salt and sugar (according to the UK Nutrient Profiling Model, are not permitted to be advertised on TfL-controlled buses, underground and </w:t>
            </w:r>
            <w:r w:rsidR="00935952" w:rsidRPr="0091450A">
              <w:t>over ground</w:t>
            </w:r>
            <w:r w:rsidRPr="0091450A">
              <w:t xml:space="preserve"> train networks, taxis, river services, trams and other transport systems. Food and drink brands, restaurants, takeaways and ordering services are required to promote their healthier food and drink instead of just advertising their brand. Advertisements for food and non-alcoholic drink products that </w:t>
            </w:r>
            <w:r w:rsidR="0091450A" w:rsidRPr="0091450A">
              <w:t>are</w:t>
            </w:r>
            <w:r w:rsidRPr="0091450A">
              <w:t xml:space="preserve"> high in fat, salt, sugar may be considered for an exception by TfL if the advertiser can demonstrate, with appropriate evidence, that the product does not contribute to child obesity</w:t>
            </w:r>
            <w:r w:rsidR="00B83D30" w:rsidRPr="0091450A">
              <w:t xml:space="preserve">. </w:t>
            </w:r>
          </w:p>
        </w:tc>
      </w:tr>
    </w:tbl>
    <w:p w14:paraId="568966E7" w14:textId="77777777" w:rsidR="002766C0" w:rsidRPr="0091450A" w:rsidRDefault="002766C0" w:rsidP="002D613F">
      <w:pPr>
        <w:spacing w:after="0" w:line="240" w:lineRule="auto"/>
      </w:pPr>
    </w:p>
    <w:tbl>
      <w:tblPr>
        <w:tblStyle w:val="TableGrid"/>
        <w:tblW w:w="9209" w:type="dxa"/>
        <w:tblLook w:val="04A0" w:firstRow="1" w:lastRow="0" w:firstColumn="1" w:lastColumn="0" w:noHBand="0" w:noVBand="1"/>
      </w:tblPr>
      <w:tblGrid>
        <w:gridCol w:w="9209"/>
      </w:tblGrid>
      <w:tr w:rsidR="0042167D" w:rsidRPr="0091450A" w14:paraId="35D9DCAF" w14:textId="77777777" w:rsidTr="00090A17">
        <w:tc>
          <w:tcPr>
            <w:tcW w:w="9209" w:type="dxa"/>
          </w:tcPr>
          <w:p w14:paraId="489922D3" w14:textId="21F4F128" w:rsidR="0042167D" w:rsidRPr="0091450A" w:rsidRDefault="0042167D" w:rsidP="002D613F">
            <w:pPr>
              <w:spacing w:before="40" w:after="40"/>
              <w:contextualSpacing/>
              <w:rPr>
                <w:rFonts w:cs="Times New Roman"/>
                <w:b/>
                <w:color w:val="1F497D" w:themeColor="text2"/>
                <w:sz w:val="28"/>
                <w:szCs w:val="28"/>
              </w:rPr>
            </w:pPr>
            <w:r w:rsidRPr="0091450A">
              <w:rPr>
                <w:rFonts w:cs="Times New Roman"/>
                <w:b/>
                <w:color w:val="1F497D" w:themeColor="text2"/>
                <w:sz w:val="28"/>
                <w:szCs w:val="28"/>
              </w:rPr>
              <w:t xml:space="preserve">3 FOOD PROMOTION: </w:t>
            </w:r>
            <w:r w:rsidRPr="0091450A">
              <w:rPr>
                <w:rFonts w:cs="Times New Roman"/>
                <w:bCs/>
                <w:szCs w:val="20"/>
              </w:rPr>
              <w:t xml:space="preserve">There is a comprehensive policy implemented by the government to reduce the impact (exposure and power) of </w:t>
            </w:r>
            <w:r w:rsidR="00B06FD7">
              <w:rPr>
                <w:rFonts w:cs="Times New Roman"/>
                <w:bCs/>
                <w:szCs w:val="20"/>
              </w:rPr>
              <w:t xml:space="preserve">the </w:t>
            </w:r>
            <w:r w:rsidRPr="0091450A">
              <w:rPr>
                <w:rFonts w:cs="Times New Roman"/>
                <w:bCs/>
                <w:szCs w:val="20"/>
              </w:rPr>
              <w:t>promotion of unhealthy foods to children (&lt;16years) across all media</w:t>
            </w:r>
          </w:p>
        </w:tc>
      </w:tr>
      <w:tr w:rsidR="002E08DF" w:rsidRPr="0091450A" w14:paraId="7DB27836" w14:textId="77777777" w:rsidTr="00090A17">
        <w:tc>
          <w:tcPr>
            <w:tcW w:w="9209" w:type="dxa"/>
          </w:tcPr>
          <w:p w14:paraId="304261E6" w14:textId="69B2214B" w:rsidR="002E08DF" w:rsidRPr="0091450A" w:rsidRDefault="00F86A73" w:rsidP="002D613F">
            <w:pPr>
              <w:spacing w:before="40" w:after="40"/>
              <w:contextualSpacing/>
              <w:rPr>
                <w:rFonts w:cs="Times New Roman"/>
                <w:b/>
                <w:color w:val="1F497D" w:themeColor="text2"/>
                <w:sz w:val="28"/>
                <w:szCs w:val="28"/>
              </w:rPr>
            </w:pPr>
            <w:bookmarkStart w:id="26" w:name="_Toc31623724"/>
            <w:r w:rsidRPr="0091450A">
              <w:rPr>
                <w:rStyle w:val="Heading3Char"/>
              </w:rPr>
              <w:t>PROMO</w:t>
            </w:r>
            <w:r w:rsidR="001E2A74" w:rsidRPr="0091450A">
              <w:rPr>
                <w:rStyle w:val="Heading3Char"/>
              </w:rPr>
              <w:t>3</w:t>
            </w:r>
            <w:bookmarkEnd w:id="26"/>
            <w:r w:rsidR="002E08DF" w:rsidRPr="0091450A">
              <w:rPr>
                <w:rStyle w:val="Heading2Char"/>
              </w:rPr>
              <w:t>:</w:t>
            </w:r>
            <w:r w:rsidR="002E08DF" w:rsidRPr="0091450A">
              <w:rPr>
                <w:rFonts w:cs="Times New Roman"/>
                <w:b/>
                <w:color w:val="1F497D" w:themeColor="text2"/>
                <w:sz w:val="28"/>
                <w:szCs w:val="28"/>
              </w:rPr>
              <w:t xml:space="preserve"> </w:t>
            </w:r>
            <w:r w:rsidR="00037B71" w:rsidRPr="0091450A">
              <w:rPr>
                <w:rFonts w:cs="Times New Roman"/>
                <w:b/>
                <w:color w:val="000000"/>
                <w:lang w:eastAsia="en-NZ"/>
              </w:rPr>
              <w:t>Effective policies are implemented by the government to ensure that unhealthy foods are not commercially promoted to children in se</w:t>
            </w:r>
            <w:r w:rsidR="006F7072" w:rsidRPr="0091450A">
              <w:rPr>
                <w:rFonts w:cs="Times New Roman"/>
                <w:b/>
                <w:color w:val="000000"/>
                <w:lang w:eastAsia="en-NZ"/>
              </w:rPr>
              <w:t>ttings where children gather (</w:t>
            </w:r>
            <w:r w:rsidR="00BE5B01" w:rsidRPr="0091450A">
              <w:rPr>
                <w:rFonts w:cs="Times New Roman"/>
                <w:b/>
                <w:color w:val="000000"/>
                <w:lang w:eastAsia="en-NZ"/>
              </w:rPr>
              <w:t>e.g.</w:t>
            </w:r>
            <w:r w:rsidR="00037B71" w:rsidRPr="0091450A">
              <w:rPr>
                <w:rFonts w:cs="Times New Roman"/>
                <w:b/>
                <w:color w:val="000000"/>
                <w:lang w:eastAsia="en-NZ"/>
              </w:rPr>
              <w:t xml:space="preserve"> preschools, schoo</w:t>
            </w:r>
            <w:r w:rsidR="0086594A" w:rsidRPr="0091450A">
              <w:rPr>
                <w:rFonts w:cs="Times New Roman"/>
                <w:b/>
                <w:color w:val="000000"/>
                <w:lang w:eastAsia="en-NZ"/>
              </w:rPr>
              <w:t>ls, sport and cultural events)</w:t>
            </w:r>
          </w:p>
        </w:tc>
      </w:tr>
      <w:tr w:rsidR="002766C0" w:rsidRPr="0091450A" w14:paraId="06AF0EB7" w14:textId="77777777" w:rsidTr="00090A17">
        <w:tc>
          <w:tcPr>
            <w:tcW w:w="9209" w:type="dxa"/>
          </w:tcPr>
          <w:p w14:paraId="167578CA" w14:textId="4BD4443D" w:rsidR="002766C0" w:rsidRPr="0091450A" w:rsidRDefault="002766C0" w:rsidP="002D613F">
            <w:pPr>
              <w:spacing w:before="40" w:after="40"/>
              <w:contextualSpacing/>
              <w:rPr>
                <w:b/>
                <w:color w:val="1F497D" w:themeColor="text2"/>
                <w:sz w:val="28"/>
              </w:rPr>
            </w:pPr>
            <w:r w:rsidRPr="0091450A">
              <w:rPr>
                <w:b/>
                <w:color w:val="1F497D" w:themeColor="text2"/>
                <w:sz w:val="28"/>
              </w:rPr>
              <w:t>Evidence of implementation:</w:t>
            </w:r>
          </w:p>
          <w:p w14:paraId="33A7A371" w14:textId="78550B19" w:rsidR="002766C0" w:rsidRPr="0091450A" w:rsidRDefault="002766C0" w:rsidP="002D613F">
            <w:pPr>
              <w:pStyle w:val="ListParagraph"/>
              <w:numPr>
                <w:ilvl w:val="0"/>
                <w:numId w:val="26"/>
              </w:numPr>
              <w:spacing w:before="40" w:after="40"/>
              <w:ind w:left="284" w:hanging="284"/>
              <w:rPr>
                <w:rFonts w:cs="Times New Roman"/>
                <w:szCs w:val="20"/>
                <w:lang w:eastAsia="en-NZ"/>
              </w:rPr>
            </w:pPr>
            <w:r w:rsidRPr="0091450A">
              <w:rPr>
                <w:rFonts w:cs="Times New Roman"/>
                <w:szCs w:val="20"/>
                <w:lang w:eastAsia="en-NZ"/>
              </w:rPr>
              <w:t>There are no government regulations in place to restrict unhealthy food marketing to children in children’s settings.</w:t>
            </w:r>
            <w:r w:rsidR="00AD55C5" w:rsidRPr="0091450A">
              <w:rPr>
                <w:rFonts w:cs="Times New Roman"/>
                <w:szCs w:val="20"/>
              </w:rPr>
              <w:t xml:space="preserve"> The Government stimulated a review of the Advertising Standards Authority Code on Advertising to Children and Children’s Code for Advertising Food as described in PROMO1. Changes to Children and Young People’s Advertising Code in 2017 now restrict advertising of occasional food in locations where children gather, including schools and early childhood education services </w:t>
            </w:r>
            <w:r w:rsidR="00AD55C5" w:rsidRPr="0091450A">
              <w:rPr>
                <w:rFonts w:cs="Times New Roman"/>
                <w:szCs w:val="20"/>
              </w:rPr>
              <w:fldChar w:fldCharType="begin" w:fldLock="1"/>
            </w:r>
            <w:r w:rsidR="002B6CB8">
              <w:rPr>
                <w:rFonts w:cs="Times New Roman"/>
                <w:szCs w:val="20"/>
              </w:rPr>
              <w:instrText>ADDIN CSL_CITATION {"citationItems":[{"id":"ITEM-1","itemData":{"URL":"http://www.asa.co.nz/codes/codes/new-children-young-peoples-advertising-code/","author":[{"dropping-particle":"","family":"Advertising Standards Authority","given":"","non-dropping-particle":"","parse-names":false,"suffix":""}],"id":"ITEM-1","issue":"19/1/2017","issued":{"date-parts":[["2017"]]},"title":"New: Children and Young People's Advertising Code","type":"webpage"},"uris":["http://www.mendeley.com/documents/?uuid=274bcf6d-674b-47b9-88d2-057db336c289","http://www.mendeley.com/documents/?uuid=0993fab9-568a-3b6c-a321-ebc129fa6004"]}],"mendeley":{"formattedCitation":"(72)","plainTextFormattedCitation":"(72)","previouslyFormattedCitation":"(72)"},"properties":{"noteIndex":0},"schema":"https://github.com/citation-style-language/schema/raw/master/csl-citation.json"}</w:instrText>
            </w:r>
            <w:r w:rsidR="00AD55C5" w:rsidRPr="0091450A">
              <w:rPr>
                <w:rFonts w:cs="Times New Roman"/>
                <w:szCs w:val="20"/>
              </w:rPr>
              <w:fldChar w:fldCharType="separate"/>
            </w:r>
            <w:r w:rsidR="00A90C92" w:rsidRPr="00A90C92">
              <w:rPr>
                <w:rFonts w:cs="Times New Roman"/>
                <w:noProof/>
                <w:szCs w:val="20"/>
              </w:rPr>
              <w:t>(72)</w:t>
            </w:r>
            <w:r w:rsidR="00AD55C5" w:rsidRPr="0091450A">
              <w:rPr>
                <w:rFonts w:cs="Times New Roman"/>
                <w:szCs w:val="20"/>
              </w:rPr>
              <w:fldChar w:fldCharType="end"/>
            </w:r>
            <w:r w:rsidR="00AD55C5" w:rsidRPr="0091450A">
              <w:rPr>
                <w:rFonts w:cs="Times New Roman"/>
                <w:szCs w:val="20"/>
              </w:rPr>
              <w:t>.</w:t>
            </w:r>
            <w:r w:rsidR="00AD55C5" w:rsidRPr="0091450A">
              <w:rPr>
                <w:rFonts w:cs="Times New Roman"/>
                <w:szCs w:val="20"/>
                <w:lang w:eastAsia="en-NZ"/>
              </w:rPr>
              <w:t xml:space="preserve"> </w:t>
            </w:r>
          </w:p>
          <w:p w14:paraId="65A1BA8A" w14:textId="70BD6923" w:rsidR="00A32DEC" w:rsidRPr="00140B57" w:rsidRDefault="00AD55C5" w:rsidP="002D613F">
            <w:pPr>
              <w:pStyle w:val="ListParagraph"/>
              <w:numPr>
                <w:ilvl w:val="0"/>
                <w:numId w:val="26"/>
              </w:numPr>
              <w:spacing w:before="40" w:after="40"/>
              <w:ind w:left="284" w:hanging="284"/>
              <w:rPr>
                <w:rFonts w:cs="Times New Roman"/>
                <w:szCs w:val="20"/>
                <w:lang w:eastAsia="en-NZ"/>
              </w:rPr>
            </w:pPr>
            <w:r w:rsidRPr="00140B57">
              <w:rPr>
                <w:rFonts w:eastAsia="Times New Roman" w:cs="Times New Roman"/>
                <w:szCs w:val="20"/>
                <w:lang w:eastAsia="en-NZ"/>
              </w:rPr>
              <w:t>The Government response to the Food Industry Taskforce on addressing factors contributing to obesity prioritised the recommendation t</w:t>
            </w:r>
            <w:r w:rsidR="00A32DEC" w:rsidRPr="00140B57">
              <w:rPr>
                <w:rFonts w:cs="Times New Roman"/>
                <w:szCs w:val="20"/>
                <w:lang w:eastAsia="en-NZ"/>
              </w:rPr>
              <w:t xml:space="preserve">hat industries </w:t>
            </w:r>
            <w:r w:rsidR="0065791A" w:rsidRPr="00140B57">
              <w:rPr>
                <w:rFonts w:cs="Times New Roman"/>
                <w:szCs w:val="20"/>
                <w:lang w:eastAsia="en-NZ"/>
              </w:rPr>
              <w:t xml:space="preserve">reduce </w:t>
            </w:r>
            <w:r w:rsidR="00CA02B3" w:rsidRPr="00140B57">
              <w:rPr>
                <w:rFonts w:cs="Times New Roman"/>
                <w:szCs w:val="20"/>
                <w:lang w:eastAsia="en-NZ"/>
              </w:rPr>
              <w:t xml:space="preserve">unhealthy food and beverage </w:t>
            </w:r>
            <w:r w:rsidRPr="00140B57">
              <w:rPr>
                <w:rFonts w:cs="Times New Roman"/>
                <w:szCs w:val="20"/>
                <w:lang w:eastAsia="en-NZ"/>
              </w:rPr>
              <w:t xml:space="preserve">outdoor </w:t>
            </w:r>
            <w:r w:rsidR="00CA02B3" w:rsidRPr="00140B57">
              <w:rPr>
                <w:rFonts w:cs="Times New Roman"/>
                <w:szCs w:val="20"/>
                <w:lang w:eastAsia="en-NZ"/>
              </w:rPr>
              <w:t xml:space="preserve">advertising </w:t>
            </w:r>
            <w:r w:rsidRPr="00140B57">
              <w:rPr>
                <w:rFonts w:cs="Times New Roman"/>
                <w:szCs w:val="20"/>
                <w:lang w:eastAsia="en-NZ"/>
              </w:rPr>
              <w:t>within 300m of</w:t>
            </w:r>
            <w:r w:rsidR="00CA02B3" w:rsidRPr="00140B57">
              <w:rPr>
                <w:rFonts w:cs="Times New Roman"/>
                <w:szCs w:val="20"/>
                <w:lang w:eastAsia="en-NZ"/>
              </w:rPr>
              <w:t xml:space="preserve"> </w:t>
            </w:r>
            <w:r w:rsidRPr="00140B57">
              <w:rPr>
                <w:rFonts w:cs="Times New Roman"/>
                <w:szCs w:val="20"/>
                <w:lang w:eastAsia="en-NZ"/>
              </w:rPr>
              <w:t xml:space="preserve">primary and intermediate </w:t>
            </w:r>
            <w:r w:rsidR="00CA02B3" w:rsidRPr="00140B57">
              <w:rPr>
                <w:rFonts w:cs="Times New Roman"/>
                <w:szCs w:val="20"/>
                <w:lang w:eastAsia="en-NZ"/>
              </w:rPr>
              <w:t>school</w:t>
            </w:r>
            <w:r w:rsidRPr="00140B57">
              <w:rPr>
                <w:rFonts w:cs="Times New Roman"/>
                <w:szCs w:val="20"/>
                <w:lang w:eastAsia="en-NZ"/>
              </w:rPr>
              <w:t xml:space="preserve"> gate</w:t>
            </w:r>
            <w:r w:rsidR="00CA02B3" w:rsidRPr="00140B57">
              <w:rPr>
                <w:rFonts w:cs="Times New Roman"/>
                <w:szCs w:val="20"/>
                <w:lang w:eastAsia="en-NZ"/>
              </w:rPr>
              <w:t>s</w:t>
            </w:r>
            <w:r w:rsidR="00401FF8" w:rsidRPr="00140B57">
              <w:rPr>
                <w:rFonts w:cs="Times New Roman"/>
                <w:szCs w:val="20"/>
                <w:lang w:eastAsia="en-NZ"/>
              </w:rPr>
              <w:t xml:space="preserve"> </w:t>
            </w:r>
            <w:r w:rsidR="00401FF8" w:rsidRPr="00140B57">
              <w:rPr>
                <w:rFonts w:cs="Times New Roman"/>
                <w:szCs w:val="20"/>
                <w:lang w:eastAsia="en-NZ"/>
              </w:rPr>
              <w:fldChar w:fldCharType="begin" w:fldLock="1"/>
            </w:r>
            <w:r w:rsidR="002B6CB8" w:rsidRPr="00140B57">
              <w:rPr>
                <w:rFonts w:cs="Times New Roman"/>
                <w:szCs w:val="20"/>
                <w:lang w:eastAsia="en-NZ"/>
              </w:rPr>
              <w:instrText>ADDIN CSL_CITATION {"citationItems":[{"id":"ITEM-1","itemData":{"author":[{"dropping-particle":"","family":"Clark","given":"David Hon Dr.","non-dropping-particle":"","parse-names":false,"suffix":""},{"dropping-particle":"","family":"O'Connor","given":"Damien Hon Dr.","non-dropping-particle":"","parse-names":false,"suffix":""}],"id":"ITEM-1","issued":{"date-parts":[["2018"]]},"publisher-place":"Wellington","title":"Government response to the Food Industry Taskforce's Report ","type":"report"},"uris":["http://www.mendeley.com/documents/?uuid=9b109c6f-0d98-3e1b-8d64-988917887f1f"]}],"mendeley":{"formattedCitation":"(28)","plainTextFormattedCitation":"(28)","previouslyFormattedCitation":"(28)"},"properties":{"noteIndex":0},"schema":"https://github.com/citation-style-language/schema/raw/master/csl-citation.json"}</w:instrText>
            </w:r>
            <w:r w:rsidR="00401FF8" w:rsidRPr="00140B57">
              <w:rPr>
                <w:rFonts w:cs="Times New Roman"/>
                <w:szCs w:val="20"/>
                <w:lang w:eastAsia="en-NZ"/>
              </w:rPr>
              <w:fldChar w:fldCharType="separate"/>
            </w:r>
            <w:r w:rsidR="00A90C92" w:rsidRPr="00140B57">
              <w:rPr>
                <w:rFonts w:cs="Times New Roman"/>
                <w:noProof/>
                <w:szCs w:val="20"/>
                <w:lang w:eastAsia="en-NZ"/>
              </w:rPr>
              <w:t>(28)</w:t>
            </w:r>
            <w:r w:rsidR="00401FF8" w:rsidRPr="00140B57">
              <w:rPr>
                <w:rFonts w:cs="Times New Roman"/>
                <w:szCs w:val="20"/>
                <w:lang w:eastAsia="en-NZ"/>
              </w:rPr>
              <w:fldChar w:fldCharType="end"/>
            </w:r>
            <w:r w:rsidRPr="00140B57">
              <w:rPr>
                <w:rFonts w:cs="Times New Roman"/>
                <w:szCs w:val="20"/>
                <w:lang w:eastAsia="en-NZ"/>
              </w:rPr>
              <w:t>.</w:t>
            </w:r>
            <w:r w:rsidR="00CA02B3" w:rsidRPr="00140B57">
              <w:rPr>
                <w:rFonts w:cs="Times New Roman"/>
                <w:szCs w:val="20"/>
                <w:lang w:eastAsia="en-NZ"/>
              </w:rPr>
              <w:t xml:space="preserve"> </w:t>
            </w:r>
            <w:r w:rsidRPr="00140B57">
              <w:rPr>
                <w:rFonts w:cs="Times New Roman"/>
                <w:szCs w:val="20"/>
                <w:lang w:eastAsia="en-NZ"/>
              </w:rPr>
              <w:t>The t</w:t>
            </w:r>
            <w:r w:rsidR="00863122" w:rsidRPr="00140B57">
              <w:rPr>
                <w:rFonts w:cs="Times New Roman"/>
                <w:szCs w:val="20"/>
                <w:lang w:eastAsia="en-NZ"/>
              </w:rPr>
              <w:t>ime-frame and implementation have not yet been determined</w:t>
            </w:r>
            <w:r w:rsidR="00145C90" w:rsidRPr="00140B57">
              <w:rPr>
                <w:rFonts w:cs="Times New Roman"/>
                <w:szCs w:val="20"/>
                <w:lang w:eastAsia="en-NZ"/>
              </w:rPr>
              <w:t xml:space="preserve"> </w:t>
            </w:r>
            <w:r w:rsidR="003C0E23" w:rsidRPr="00140B57">
              <w:rPr>
                <w:rFonts w:cs="Times New Roman"/>
                <w:szCs w:val="20"/>
                <w:lang w:eastAsia="en-NZ"/>
              </w:rPr>
              <w:fldChar w:fldCharType="begin" w:fldLock="1"/>
            </w:r>
            <w:r w:rsidR="002B6CB8" w:rsidRPr="00140B57">
              <w:rPr>
                <w:rFonts w:cs="Times New Roman"/>
                <w:szCs w:val="20"/>
                <w:lang w:eastAsia="en-NZ"/>
              </w:rPr>
              <w:instrText>ADDIN CSL_CITATION {"citationItems":[{"id":"ITEM-1","itemData":{"author":[{"dropping-particle":"","family":"Jones","given":"Nicholas","non-dropping-particle":"","parse-names":false,"suffix":""}],"id":"ITEM-1","issued":{"date-parts":[["2019","11","16"]]},"title":"Junk food ads to be banned from around schools in anti-obesity actions agreed with industry - NZ Herald","type":"article-newspaper"},"uris":["http://www.mendeley.com/documents/?uuid=110a037f-a88f-36b5-8c14-03f186c648c7"]}],"mendeley":{"formattedCitation":"(73)","plainTextFormattedCitation":"(73)","previouslyFormattedCitation":"(73)"},"properties":{"noteIndex":0},"schema":"https://github.com/citation-style-language/schema/raw/master/csl-citation.json"}</w:instrText>
            </w:r>
            <w:r w:rsidR="003C0E23" w:rsidRPr="00140B57">
              <w:rPr>
                <w:rFonts w:cs="Times New Roman"/>
                <w:szCs w:val="20"/>
                <w:lang w:eastAsia="en-NZ"/>
              </w:rPr>
              <w:fldChar w:fldCharType="separate"/>
            </w:r>
            <w:r w:rsidR="00A90C92" w:rsidRPr="00140B57">
              <w:rPr>
                <w:rFonts w:cs="Times New Roman"/>
                <w:noProof/>
                <w:szCs w:val="20"/>
                <w:lang w:eastAsia="en-NZ"/>
              </w:rPr>
              <w:t>(73)</w:t>
            </w:r>
            <w:r w:rsidR="003C0E23" w:rsidRPr="00140B57">
              <w:rPr>
                <w:rFonts w:cs="Times New Roman"/>
                <w:szCs w:val="20"/>
                <w:lang w:eastAsia="en-NZ"/>
              </w:rPr>
              <w:fldChar w:fldCharType="end"/>
            </w:r>
            <w:r w:rsidR="00863122" w:rsidRPr="00140B57">
              <w:rPr>
                <w:rFonts w:cs="Times New Roman"/>
                <w:szCs w:val="20"/>
                <w:lang w:eastAsia="en-NZ"/>
              </w:rPr>
              <w:t>.</w:t>
            </w:r>
          </w:p>
          <w:p w14:paraId="28E0A22F" w14:textId="77777777" w:rsidR="002766C0" w:rsidRPr="0091450A" w:rsidRDefault="002766C0" w:rsidP="002D613F">
            <w:pPr>
              <w:pStyle w:val="ListParagraph"/>
              <w:shd w:val="clear" w:color="auto" w:fill="FFFFFF" w:themeFill="background1"/>
              <w:spacing w:before="40" w:after="40"/>
              <w:ind w:left="360"/>
              <w:rPr>
                <w:b/>
                <w:color w:val="1F497D"/>
              </w:rPr>
            </w:pPr>
          </w:p>
          <w:p w14:paraId="4CBAB9D1" w14:textId="77777777" w:rsidR="002766C0" w:rsidRPr="0091450A" w:rsidRDefault="002766C0" w:rsidP="002D613F">
            <w:pPr>
              <w:spacing w:before="40" w:after="40"/>
              <w:contextualSpacing/>
              <w:rPr>
                <w:b/>
                <w:color w:val="1F497D"/>
                <w:sz w:val="28"/>
                <w:szCs w:val="28"/>
              </w:rPr>
            </w:pPr>
            <w:r w:rsidRPr="0091450A">
              <w:rPr>
                <w:b/>
                <w:color w:val="1F497D"/>
                <w:sz w:val="28"/>
                <w:szCs w:val="28"/>
              </w:rPr>
              <w:t>International best practice examples (benchmarks)</w:t>
            </w:r>
          </w:p>
          <w:p w14:paraId="3277717A" w14:textId="59812431" w:rsidR="002766C0" w:rsidRPr="007159FF" w:rsidRDefault="002766C0" w:rsidP="007159FF">
            <w:pPr>
              <w:pStyle w:val="ListParagraph"/>
              <w:keepNext/>
              <w:numPr>
                <w:ilvl w:val="0"/>
                <w:numId w:val="44"/>
              </w:numPr>
              <w:spacing w:before="40" w:after="40"/>
              <w:rPr>
                <w:rFonts w:eastAsia="Times New Roman" w:cs="Times New Roman"/>
                <w:szCs w:val="20"/>
                <w:lang w:eastAsia="en-NZ"/>
              </w:rPr>
            </w:pPr>
            <w:r w:rsidRPr="007159FF">
              <w:rPr>
                <w:rFonts w:eastAsia="Times New Roman" w:cs="Times New Roman"/>
                <w:b/>
                <w:szCs w:val="20"/>
                <w:lang w:eastAsia="en-NZ"/>
              </w:rPr>
              <w:t>Chile</w:t>
            </w:r>
            <w:r w:rsidRPr="007159FF">
              <w:rPr>
                <w:rFonts w:eastAsia="Times New Roman" w:cs="Times New Roman"/>
                <w:szCs w:val="20"/>
                <w:lang w:eastAsia="en-NZ"/>
              </w:rPr>
              <w:t xml:space="preserve">: In 2012, the Chilean government approved a Law of Nutritional Composition of Food and Advertising (Ley 20, 606) </w:t>
            </w:r>
            <w:r w:rsidR="00B6658D" w:rsidRPr="007159FF">
              <w:rPr>
                <w:rFonts w:eastAsia="Times New Roman" w:cs="Times New Roman"/>
                <w:szCs w:val="20"/>
                <w:lang w:eastAsia="en-NZ"/>
              </w:rPr>
              <w:fldChar w:fldCharType="begin" w:fldLock="1"/>
            </w:r>
            <w:r w:rsidR="002B6CB8" w:rsidRPr="007159FF">
              <w:rPr>
                <w:rFonts w:eastAsia="Times New Roman" w:cs="Times New Roman"/>
                <w:szCs w:val="20"/>
                <w:lang w:eastAsia="en-NZ"/>
              </w:rPr>
              <w:instrText>ADDIN CSL_CITATION {"citationItems":[{"id":"ITEM-1","itemData":{"URL":"http://www.dinta.cl/wp-dintacl/wp-content/uploads/Decreto-13_Ley-super8_do-20150626.pdf","author":[{"dropping-particle":"","family":"Diario Oficial de La Republica de Chile","given":"","non-dropping-particle":"","parse-names":false,"suffix":""}],"id":"ITEM-1","issue":"16/06/2016","issued":{"date-parts":[["2015"]]},"title":"Decreto 13 – Reglamento Ley 20.606 sobre Composición Nutricional de los Alimentos y su Publicidad","type":"webpage"},"uris":["http://www.mendeley.com/documents/?uuid=4f5f4f84-9b1c-4e62-876f-2bf1ac0eb255","http://www.mendeley.com/documents/?uuid=44d2b51e-ccc7-306c-8606-03160c5d05b6"]}],"mendeley":{"formattedCitation":"(58)","plainTextFormattedCitation":"(58)","previouslyFormattedCitation":"(58)"},"properties":{"noteIndex":0},"schema":"https://github.com/citation-style-language/schema/raw/master/csl-citation.json"}</w:instrText>
            </w:r>
            <w:r w:rsidR="00B6658D" w:rsidRPr="007159FF">
              <w:rPr>
                <w:rFonts w:eastAsia="Times New Roman" w:cs="Times New Roman"/>
                <w:szCs w:val="20"/>
                <w:lang w:eastAsia="en-NZ"/>
              </w:rPr>
              <w:fldChar w:fldCharType="separate"/>
            </w:r>
            <w:r w:rsidR="00A90C92" w:rsidRPr="007159FF">
              <w:rPr>
                <w:rFonts w:eastAsia="Times New Roman" w:cs="Times New Roman"/>
                <w:noProof/>
                <w:szCs w:val="20"/>
                <w:lang w:eastAsia="en-NZ"/>
              </w:rPr>
              <w:t>(58)</w:t>
            </w:r>
            <w:r w:rsidR="00B6658D" w:rsidRPr="007159FF">
              <w:rPr>
                <w:rFonts w:eastAsia="Times New Roman" w:cs="Times New Roman"/>
                <w:szCs w:val="20"/>
                <w:lang w:eastAsia="en-NZ"/>
              </w:rPr>
              <w:fldChar w:fldCharType="end"/>
            </w:r>
            <w:r w:rsidRPr="007159FF">
              <w:rPr>
                <w:rFonts w:eastAsia="Times New Roman" w:cs="Times New Roman"/>
                <w:szCs w:val="20"/>
                <w:lang w:eastAsia="en-NZ"/>
              </w:rPr>
              <w:t>. In June 2015, the Chilean authority approved the regulatory norms required for the law’s implementation (</w:t>
            </w:r>
            <w:proofErr w:type="spellStart"/>
            <w:r w:rsidRPr="007159FF">
              <w:rPr>
                <w:rFonts w:eastAsia="Times New Roman" w:cs="Times New Roman"/>
                <w:szCs w:val="20"/>
                <w:lang w:eastAsia="en-NZ"/>
              </w:rPr>
              <w:t>Diario</w:t>
            </w:r>
            <w:proofErr w:type="spellEnd"/>
            <w:r w:rsidRPr="007159FF">
              <w:rPr>
                <w:rFonts w:eastAsia="Times New Roman" w:cs="Times New Roman"/>
                <w:szCs w:val="20"/>
                <w:lang w:eastAsia="en-NZ"/>
              </w:rPr>
              <w:t xml:space="preserve"> Official No 41.193). The regulatory norms define limits for calories, saturated fat, sugar and sodium content considered ‘high’ in foods and beverages. The regulatory norms define limits for calories (275 cal. /100g or 70 cal. /100mL), saturated fat (4g/100g or 3g/100mL), sugar (10g/100g or 5g/100mL) and sodium (400mg/100g or 100mg/100mL) content considered ‘high’ in foods and beverages. The law restricts advertising directed to children under the age of 14 of foods in the ‘high in’ category on school grounds, including preschools, primary and secondary schools. Promotional strategies and incentives, such as cartoons, animations, and toys that could attract the attention of children </w:t>
            </w:r>
            <w:r w:rsidRPr="001B14AC">
              <w:rPr>
                <w:rFonts w:eastAsia="Times New Roman" w:cs="Times New Roman"/>
                <w:szCs w:val="20"/>
                <w:lang w:eastAsia="en-NZ"/>
              </w:rPr>
              <w:t xml:space="preserve">are included in the ban. The regulation took effect 1 July 2016 </w:t>
            </w:r>
            <w:r w:rsidR="00070739" w:rsidRPr="001B14AC">
              <w:rPr>
                <w:rFonts w:eastAsia="Times New Roman" w:cs="Times New Roman"/>
                <w:szCs w:val="20"/>
                <w:lang w:eastAsia="en-NZ"/>
              </w:rPr>
              <w:fldChar w:fldCharType="begin" w:fldLock="1"/>
            </w:r>
            <w:r w:rsidR="002B6CB8" w:rsidRPr="001B14AC">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d14237e4-dd51-3e16-be71-a7b911c809b6"]}],"mendeley":{"formattedCitation":"(67)","plainTextFormattedCitation":"(67)","previouslyFormattedCitation":"(67)"},"properties":{"noteIndex":0},"schema":"https://github.com/citation-style-language/schema/raw/master/csl-citation.json"}</w:instrText>
            </w:r>
            <w:r w:rsidR="00070739" w:rsidRPr="001B14AC">
              <w:rPr>
                <w:rFonts w:eastAsia="Times New Roman" w:cs="Times New Roman"/>
                <w:szCs w:val="20"/>
                <w:lang w:eastAsia="en-NZ"/>
              </w:rPr>
              <w:fldChar w:fldCharType="separate"/>
            </w:r>
            <w:r w:rsidR="00A90C92" w:rsidRPr="001B14AC">
              <w:rPr>
                <w:rFonts w:eastAsia="Times New Roman" w:cs="Times New Roman"/>
                <w:noProof/>
                <w:szCs w:val="20"/>
                <w:lang w:eastAsia="en-NZ"/>
              </w:rPr>
              <w:t>(67)</w:t>
            </w:r>
            <w:r w:rsidR="00070739" w:rsidRPr="001B14AC">
              <w:rPr>
                <w:rFonts w:eastAsia="Times New Roman" w:cs="Times New Roman"/>
                <w:szCs w:val="20"/>
                <w:lang w:eastAsia="en-NZ"/>
              </w:rPr>
              <w:fldChar w:fldCharType="end"/>
            </w:r>
            <w:r w:rsidR="00BB5537" w:rsidRPr="001B14AC">
              <w:rPr>
                <w:rFonts w:eastAsia="Times New Roman" w:cs="Times New Roman"/>
                <w:szCs w:val="20"/>
                <w:lang w:eastAsia="en-NZ"/>
              </w:rPr>
              <w:t>.</w:t>
            </w:r>
            <w:r w:rsidR="00366D14" w:rsidRPr="001B14AC">
              <w:rPr>
                <w:rFonts w:eastAsia="Times New Roman" w:cs="Times New Roman"/>
                <w:szCs w:val="20"/>
                <w:lang w:eastAsia="en-NZ"/>
              </w:rPr>
              <w:t xml:space="preserve"> </w:t>
            </w:r>
            <w:r w:rsidR="00366D14" w:rsidRPr="00C25661">
              <w:rPr>
                <w:color w:val="222222"/>
                <w:szCs w:val="20"/>
                <w:shd w:val="clear" w:color="auto" w:fill="FFFFFF"/>
              </w:rPr>
              <w:t>The percentage of food and beverage products</w:t>
            </w:r>
            <w:r w:rsidR="00366D14" w:rsidRPr="007159FF">
              <w:rPr>
                <w:bCs/>
                <w:color w:val="222222"/>
                <w:szCs w:val="20"/>
                <w:shd w:val="clear" w:color="auto" w:fill="FFFFFF"/>
              </w:rPr>
              <w:t> that targeted children</w:t>
            </w:r>
            <w:r w:rsidR="00366D14" w:rsidRPr="001B14AC">
              <w:rPr>
                <w:color w:val="222222"/>
                <w:szCs w:val="20"/>
                <w:shd w:val="clear" w:color="auto" w:fill="FFFFFF"/>
              </w:rPr>
              <w:t> decreased from </w:t>
            </w:r>
            <w:r w:rsidR="00366D14" w:rsidRPr="007159FF">
              <w:rPr>
                <w:bCs/>
                <w:color w:val="222222"/>
                <w:szCs w:val="20"/>
                <w:shd w:val="clear" w:color="auto" w:fill="FFFFFF"/>
              </w:rPr>
              <w:t>36%</w:t>
            </w:r>
            <w:r w:rsidR="00366D14" w:rsidRPr="001B14AC">
              <w:rPr>
                <w:color w:val="222222"/>
                <w:szCs w:val="20"/>
                <w:shd w:val="clear" w:color="auto" w:fill="FFFFFF"/>
              </w:rPr>
              <w:t> before implementation of the law to </w:t>
            </w:r>
            <w:r w:rsidR="00366D14" w:rsidRPr="007159FF">
              <w:rPr>
                <w:bCs/>
                <w:color w:val="222222"/>
                <w:szCs w:val="20"/>
                <w:shd w:val="clear" w:color="auto" w:fill="FFFFFF"/>
              </w:rPr>
              <w:t>21%</w:t>
            </w:r>
            <w:r w:rsidR="00366D14" w:rsidRPr="001B14AC">
              <w:rPr>
                <w:color w:val="222222"/>
                <w:szCs w:val="20"/>
                <w:shd w:val="clear" w:color="auto" w:fill="FFFFFF"/>
              </w:rPr>
              <w:t> after implementation.</w:t>
            </w:r>
            <w:r w:rsidR="006B1326" w:rsidRPr="001B14AC">
              <w:rPr>
                <w:color w:val="222222"/>
                <w:szCs w:val="20"/>
                <w:shd w:val="clear" w:color="auto" w:fill="FFFFFF"/>
              </w:rPr>
              <w:t xml:space="preserve"> The percentage of </w:t>
            </w:r>
            <w:r w:rsidR="006B1326" w:rsidRPr="007159FF">
              <w:rPr>
                <w:bCs/>
                <w:color w:val="222222"/>
                <w:szCs w:val="20"/>
                <w:shd w:val="clear" w:color="auto" w:fill="FFFFFF"/>
              </w:rPr>
              <w:t>“high-in” packages that used at least one child-directed marketing strategy</w:t>
            </w:r>
            <w:r w:rsidR="006B1326" w:rsidRPr="001B14AC">
              <w:rPr>
                <w:color w:val="222222"/>
                <w:szCs w:val="20"/>
                <w:shd w:val="clear" w:color="auto" w:fill="FFFFFF"/>
              </w:rPr>
              <w:t> decreased from </w:t>
            </w:r>
            <w:r w:rsidR="006B1326" w:rsidRPr="007159FF">
              <w:rPr>
                <w:bCs/>
                <w:color w:val="222222"/>
                <w:szCs w:val="20"/>
                <w:shd w:val="clear" w:color="auto" w:fill="FFFFFF"/>
              </w:rPr>
              <w:t>43%</w:t>
            </w:r>
            <w:r w:rsidR="006B1326" w:rsidRPr="001B14AC">
              <w:rPr>
                <w:color w:val="222222"/>
                <w:szCs w:val="20"/>
                <w:shd w:val="clear" w:color="auto" w:fill="FFFFFF"/>
              </w:rPr>
              <w:t> before implementation to </w:t>
            </w:r>
            <w:r w:rsidR="006B1326" w:rsidRPr="007159FF">
              <w:rPr>
                <w:bCs/>
                <w:color w:val="222222"/>
                <w:szCs w:val="20"/>
                <w:shd w:val="clear" w:color="auto" w:fill="FFFFFF"/>
              </w:rPr>
              <w:t>15%</w:t>
            </w:r>
            <w:r w:rsidR="006B1326" w:rsidRPr="001B14AC">
              <w:rPr>
                <w:color w:val="222222"/>
                <w:szCs w:val="20"/>
                <w:shd w:val="clear" w:color="auto" w:fill="FFFFFF"/>
              </w:rPr>
              <w:t> after implementation</w:t>
            </w:r>
            <w:r w:rsidR="001B14AC" w:rsidRPr="001B14AC">
              <w:rPr>
                <w:color w:val="222222"/>
                <w:szCs w:val="20"/>
                <w:shd w:val="clear" w:color="auto" w:fill="FFFFFF"/>
              </w:rPr>
              <w:t xml:space="preserve"> </w:t>
            </w:r>
            <w:r w:rsidR="001B14AC" w:rsidRPr="001B14AC">
              <w:rPr>
                <w:szCs w:val="20"/>
              </w:rPr>
              <w:fldChar w:fldCharType="begin" w:fldLock="1"/>
            </w:r>
            <w:r w:rsidR="001B14AC" w:rsidRPr="001B14AC">
              <w:rPr>
                <w:szCs w:val="20"/>
              </w:rPr>
              <w:instrText>ADDIN CSL_CITATION {"citationItems":[{"id":"ITEM-1","itemData":{"DOI":"10.1017/S1368980019003355","ISSN":"14752727","PMID":"31822317","abstract":"Objective:To evaluate the effects of Chile's 2016 regulation restricting child-directed marketing of products high in energy, saturated fats, sodium and sugars on reducing children's exposure to 'high-in' television food advertising.Design:Television use by pre-schoolers and adolescents was assessed via surveys in the months prior to implementation and a year after implementation. Hours and channels of television use were linked with the amount of high-in food advertising observed in corresponding content analyses of food advertisements (ads) from popular broadcast and cable channels to estimate changes in exposure to food ads from these channels.Setting:Middle-lower and lower-income neighbourhoods in Santiago, Chile.Participants:Pre-schoolers (n 879; mothers reporting) and adolescents (n 753; self-reporting).Results:Pre-schoolers' and adolescents' exposure to high-in food advertising in total decreased significantly by an average of 44 and 58 %, respectively. Exposure to high-in food advertising with child-directed appeals, such as cartoon characters, decreased by 35 and 52 % for pre-schoolers and adolescents, respectively. Decreases were more pronounced for children who viewed more television. Products high in sugars were the most prevalent among the high-in ads seen by children after implementation.Conclusions:Following Chile's 2016 child-directed marketing regulation, children's exposure to high-in food advertising on popular broadcast and cable television decreased significantly but was not eliminated from their viewing. Later stages of the regulation are expected to eliminate the majority of children's exposure to high-in food advertising from television.","author":[{"dropping-particle":"","family":"Dillman Carpentier","given":"Francesca R.","non-dropping-particle":"","parse-names":false,"suffix":""},{"dropping-particle":"","family":"Correa","given":"Teresa","non-dropping-particle":"","parse-names":false,"suffix":""},{"dropping-particle":"","family":"Reyes","given":"Marcela","non-dropping-particle":"","parse-names":false,"suffix":""},{"dropping-particle":"","family":"Taillie","given":"Lindsey Smith","non-dropping-particle":"","parse-names":false,"suffix":""}],"container-title":"Public Health Nutrition","id":"ITEM-1","issued":{"date-parts":[["2019"]]},"page":"1-9","publisher":"Cambridge University Press","title":"Evaluating the impact of Chile's marketing regulation of unhealthy foods and beverages: Pre-school and adolescent children's changes in exposure to food advertising on television","type":"article-journal"},"uris":["http://www.mendeley.com/documents/?uuid=2fea4f80-2ee0-3a4d-865a-a611e12f49d9"]},{"id":"ITEM-2","itemData":{"DOI":"10.3390/ijerph16224501","ISSN":"1660-4601","abstract":"&lt;p&gt;Food marketing has been identified as a contributing factor in childhood obesity, prompting global health organizations to recommend restrictions on unhealthy food marketing to children. Chile has responded to this recommendation with a restriction on child-directed marketing for products that exceed certain regulation-defined thresholds in sugars, saturated fats, sodium, or calories. Child-directed strategies are allowed for products that do not exceed these thresholds. To evaluate changes in marketing due to this restriction, we examined differences in the use of child-directed strategies on breakfast cereal packages that exceeded the defined thresholds vs. those that did not exceed the thresholds before (n = 168) and after (n = 153) the restriction was implemented. Photographs of cereal packages were taken from top supermarket chains in Santiago. Photographed cereals were classified as “high-in” if they exceeded any nutrient threshold described in the regulation. We found that the percentage of all cereal packages using child-directed strategies before implementation (36%) was significantly lower after implementation (21%), p &amp;lt; 0.05. This overall decrease is due to the decrease we found in the percentage of “high-in” cereals using child-directed strategies after implementation (43% before implementation, 15% after implementation), p &amp;lt; 0.05. In contrast, a greater percentage of packages that did not qualify as “high-in” used child-directed strategies after implementation (30%) compared with before implementation (8%), p &amp;lt; 0.05. The results suggest that the Chilean food marketing regulation can be effective at reducing the use of child-directed marketing for unhealthy food products.&lt;/p&gt;","author":[{"dropping-particle":"","family":"Mediano Stoltze","given":"Fernanda","non-dropping-particle":"","parse-names":false,"suffix":""},{"dropping-particle":"","family":"Reyes","given":"Marcela","non-dropping-particle":"","parse-names":false,"suffix":""},{"dropping-particle":"","family":"Smith","given":"Taillie Lindsey","non-dropping-particle":"","parse-names":false,"suffix":""},{"dropping-particle":"","family":"Correa","given":"Teresa","non-dropping-particle":"","parse-names":false,"suffix":""},{"dropping-particle":"","family":"Corvalán","given":"Camila","non-dropping-particle":"","parse-names":false,"suffix":""},{"dropping-particle":"","family":"Carpentier","given":"Francesca R. Dillman","non-dropping-particle":"","parse-names":false,"suffix":""}],"container-title":"International Journal of Environmental Research and Public Health","id":"ITEM-2","issue":"22","issued":{"date-parts":[["2019","11","15"]]},"page":"4501","publisher":"MDPI AG","title":"Prevalence of Child-Directed Marketing on Breakfast Cereal Packages before and after Chile’s Food Marketing Law: A Pre- and Post-Quantitative Content Analysis","type":"article-journal","volume":"16"},"uris":["http://www.mendeley.com/documents/?uuid=5eb2e9d1-7de8-3b38-8d62-db68ff3cf397"]}],"mendeley":{"formattedCitation":"(69,70)","plainTextFormattedCitation":"(69,70)","previouslyFormattedCitation":"(69,70)"},"properties":{"noteIndex":0},"schema":"https://github.com/citation-style-language/schema/raw/master/csl-citation.json"}</w:instrText>
            </w:r>
            <w:r w:rsidR="001B14AC" w:rsidRPr="001B14AC">
              <w:rPr>
                <w:szCs w:val="20"/>
              </w:rPr>
              <w:fldChar w:fldCharType="separate"/>
            </w:r>
            <w:r w:rsidR="001B14AC" w:rsidRPr="001B14AC">
              <w:rPr>
                <w:noProof/>
                <w:szCs w:val="20"/>
              </w:rPr>
              <w:t>(69,70)</w:t>
            </w:r>
            <w:r w:rsidR="001B14AC" w:rsidRPr="001B14AC">
              <w:rPr>
                <w:szCs w:val="20"/>
              </w:rPr>
              <w:fldChar w:fldCharType="end"/>
            </w:r>
            <w:r w:rsidR="006B1326" w:rsidRPr="001B14AC">
              <w:rPr>
                <w:color w:val="222222"/>
                <w:szCs w:val="20"/>
                <w:shd w:val="clear" w:color="auto" w:fill="FFFFFF"/>
              </w:rPr>
              <w:t>.</w:t>
            </w:r>
          </w:p>
          <w:p w14:paraId="2B491409" w14:textId="13B95C8B" w:rsidR="002766C0" w:rsidRPr="0091450A" w:rsidRDefault="5AC0CDEF" w:rsidP="002D613F">
            <w:pPr>
              <w:pStyle w:val="ListParagraph"/>
              <w:keepNext/>
              <w:numPr>
                <w:ilvl w:val="0"/>
                <w:numId w:val="57"/>
              </w:numPr>
              <w:spacing w:before="40" w:after="40"/>
              <w:ind w:left="284" w:hanging="284"/>
              <w:rPr>
                <w:rFonts w:eastAsia="Times New Roman" w:cs="Times New Roman"/>
                <w:lang w:eastAsia="en-NZ"/>
              </w:rPr>
            </w:pPr>
            <w:r w:rsidRPr="0091450A">
              <w:rPr>
                <w:rFonts w:eastAsia="Times New Roman" w:cs="Times New Roman"/>
                <w:b/>
                <w:bCs/>
                <w:lang w:eastAsia="en-NZ"/>
              </w:rPr>
              <w:t>Spain</w:t>
            </w:r>
            <w:r w:rsidRPr="0091450A">
              <w:rPr>
                <w:rFonts w:eastAsia="Times New Roman" w:cs="Times New Roman"/>
                <w:lang w:eastAsia="en-NZ"/>
              </w:rPr>
              <w:t xml:space="preserve">: </w:t>
            </w:r>
            <w:r w:rsidRPr="0091450A">
              <w:t xml:space="preserve"> </w:t>
            </w:r>
            <w:r w:rsidRPr="0091450A">
              <w:rPr>
                <w:rFonts w:eastAsia="Times New Roman" w:cs="Times New Roman"/>
                <w:lang w:eastAsia="en-NZ"/>
              </w:rPr>
              <w:t xml:space="preserve">In 2011 the Spanish Parliament approved a Law on Nutrition and Food Safety (Ley 17/2011), which stated that kindergartens and schools should be free from all advertising. Criteria for the authorisation of food promotion campaigns, nutritional education and promotion of sports or physical activity campaigns were developed jointly by the Spanish Agency for Consumer Affairs, Food Safety and Nutrition (AECOSAN) and the Regional Health Authorities and implemented in July 2015. AECOSAN and the Spanish Regional Education and Health Administrations monitor the enforcement of the law </w:t>
            </w:r>
            <w:r w:rsidR="002766C0" w:rsidRPr="0091450A">
              <w:rPr>
                <w:rFonts w:eastAsia="Times New Roman" w:cs="Times New Roman"/>
                <w:lang w:eastAsia="en-NZ"/>
              </w:rPr>
              <w:fldChar w:fldCharType="begin" w:fldLock="1"/>
            </w:r>
            <w:r w:rsidR="002B6CB8">
              <w:rPr>
                <w:rFonts w:eastAsia="Times New Roman" w:cs="Times New Roman"/>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d14237e4-dd51-3e16-be71-a7b911c809b6"]}],"mendeley":{"formattedCitation":"(67)","plainTextFormattedCitation":"(67)","previouslyFormattedCitation":"(67)"},"properties":{"noteIndex":0},"schema":"https://github.com/citation-style-language/schema/raw/master/csl-citation.json"}</w:instrText>
            </w:r>
            <w:r w:rsidR="002766C0" w:rsidRPr="0091450A">
              <w:rPr>
                <w:rFonts w:eastAsia="Times New Roman" w:cs="Times New Roman"/>
                <w:lang w:eastAsia="en-NZ"/>
              </w:rPr>
              <w:fldChar w:fldCharType="separate"/>
            </w:r>
            <w:r w:rsidR="00A90C92" w:rsidRPr="00A90C92">
              <w:rPr>
                <w:rFonts w:eastAsia="Times New Roman" w:cs="Times New Roman"/>
                <w:noProof/>
                <w:lang w:eastAsia="en-NZ"/>
              </w:rPr>
              <w:t>(67)</w:t>
            </w:r>
            <w:r w:rsidR="002766C0" w:rsidRPr="0091450A">
              <w:rPr>
                <w:rFonts w:eastAsia="Times New Roman" w:cs="Times New Roman"/>
                <w:lang w:eastAsia="en-NZ"/>
              </w:rPr>
              <w:fldChar w:fldCharType="end"/>
            </w:r>
            <w:r w:rsidRPr="0091450A">
              <w:rPr>
                <w:rFonts w:eastAsia="Times New Roman" w:cs="Times New Roman"/>
                <w:lang w:eastAsia="en-NZ"/>
              </w:rPr>
              <w:t>.</w:t>
            </w:r>
          </w:p>
          <w:p w14:paraId="654AEE91" w14:textId="222C5384" w:rsidR="002766C0" w:rsidRPr="0091450A" w:rsidRDefault="00180D1E" w:rsidP="002D613F">
            <w:pPr>
              <w:pStyle w:val="ListParagraph"/>
              <w:keepNext/>
              <w:numPr>
                <w:ilvl w:val="0"/>
                <w:numId w:val="57"/>
              </w:numPr>
              <w:ind w:left="284" w:hanging="284"/>
              <w:rPr>
                <w:rStyle w:val="Heading3Char"/>
                <w:b w:val="0"/>
                <w:color w:val="auto"/>
                <w:sz w:val="20"/>
              </w:rPr>
            </w:pPr>
            <w:r w:rsidRPr="0091450A">
              <w:rPr>
                <w:b/>
              </w:rPr>
              <w:t>Hungary</w:t>
            </w:r>
            <w:r w:rsidRPr="0091450A">
              <w:t xml:space="preserve">: Based on Section 8 of Act XLVIII on Basic Requirements and Certain Restrictions of Commercial Advertising Activities (2008), Hungary prohibits all advertising directed at children under 18 in child welfare and child protection institutes, kindergartens, elementary schools and their dormitories. Health promotion and prevention activities in schools may only involve external organizations and consultants who are </w:t>
            </w:r>
            <w:r w:rsidRPr="0091450A">
              <w:lastRenderedPageBreak/>
              <w:t xml:space="preserve">recommended by the National Institute for Health Development according to Section 128 (7) of the Ministerial Decree 20/2012 (VIII.31.) on the Operation of Public Education Institutions and the Use of Names of Public Education Institutions </w:t>
            </w:r>
            <w:r w:rsidR="00B44615" w:rsidRPr="0091450A">
              <w:rPr>
                <w:szCs w:val="20"/>
                <w:lang w:eastAsia="en-NZ"/>
              </w:rPr>
              <w:fldChar w:fldCharType="begin" w:fldLock="1"/>
            </w:r>
            <w:r w:rsidR="002B6CB8">
              <w:rPr>
                <w:szCs w:val="20"/>
                <w:lang w:eastAsia="en-NZ"/>
              </w:rPr>
              <w:instrText>ADDIN CSL_CITATION {"citationItems":[{"id":"ITEM-1","itemData":{"URL":"http://www.wcrf.org/int/policy/nourishing-framework/restrict-food-marketing","author":[{"dropping-particle":"","family":"World Cancer Research Fund","given":"","non-dropping-particle":"","parse-names":false,"suffix":""}],"id":"ITEM-1","issue":"22/02/2016","issued":{"date-parts":[["2016"]]},"title":"NOURISHING Framework - Restrict food marketing","type":"webpage"},"uris":["http://www.mendeley.com/documents/?uuid=e3898d1b-d356-4deb-982f-a2636ba4a0dc","http://www.mendeley.com/documents/?uuid=1e107377-3e14-3809-ae40-bfab3ac500e1"]}],"mendeley":{"formattedCitation":"(74)","plainTextFormattedCitation":"(74)","previouslyFormattedCitation":"(74)"},"properties":{"noteIndex":0},"schema":"https://github.com/citation-style-language/schema/raw/master/csl-citation.json"}</w:instrText>
            </w:r>
            <w:r w:rsidR="00B44615" w:rsidRPr="0091450A">
              <w:rPr>
                <w:szCs w:val="20"/>
                <w:lang w:eastAsia="en-NZ"/>
              </w:rPr>
              <w:fldChar w:fldCharType="separate"/>
            </w:r>
            <w:r w:rsidR="00A90C92" w:rsidRPr="00A90C92">
              <w:rPr>
                <w:noProof/>
                <w:szCs w:val="20"/>
                <w:lang w:eastAsia="en-NZ"/>
              </w:rPr>
              <w:t>(74)</w:t>
            </w:r>
            <w:r w:rsidR="00B44615" w:rsidRPr="0091450A">
              <w:rPr>
                <w:szCs w:val="20"/>
                <w:lang w:eastAsia="en-NZ"/>
              </w:rPr>
              <w:fldChar w:fldCharType="end"/>
            </w:r>
            <w:r w:rsidR="00B44615" w:rsidRPr="0091450A">
              <w:rPr>
                <w:szCs w:val="20"/>
                <w:lang w:eastAsia="en-NZ"/>
              </w:rPr>
              <w:t>.</w:t>
            </w:r>
          </w:p>
        </w:tc>
      </w:tr>
    </w:tbl>
    <w:p w14:paraId="7D867068" w14:textId="77777777" w:rsidR="002766C0" w:rsidRPr="0091450A" w:rsidRDefault="002766C0" w:rsidP="002D613F">
      <w:pPr>
        <w:spacing w:after="0" w:line="240" w:lineRule="auto"/>
      </w:pPr>
    </w:p>
    <w:tbl>
      <w:tblPr>
        <w:tblStyle w:val="TableGrid"/>
        <w:tblW w:w="9209" w:type="dxa"/>
        <w:tblLook w:val="04A0" w:firstRow="1" w:lastRow="0" w:firstColumn="1" w:lastColumn="0" w:noHBand="0" w:noVBand="1"/>
      </w:tblPr>
      <w:tblGrid>
        <w:gridCol w:w="9209"/>
      </w:tblGrid>
      <w:tr w:rsidR="002766C0" w:rsidRPr="0091450A" w14:paraId="42B12FB7" w14:textId="77777777" w:rsidTr="00090A17">
        <w:tc>
          <w:tcPr>
            <w:tcW w:w="9209" w:type="dxa"/>
          </w:tcPr>
          <w:p w14:paraId="1802E8FF" w14:textId="05DB98B1" w:rsidR="002766C0" w:rsidRPr="0091450A" w:rsidRDefault="002766C0" w:rsidP="002D613F">
            <w:pPr>
              <w:shd w:val="clear" w:color="auto" w:fill="FFFFFF" w:themeFill="background1"/>
              <w:spacing w:before="40" w:after="40"/>
              <w:rPr>
                <w:rFonts w:cs="Times New Roman"/>
                <w:bCs/>
                <w:szCs w:val="20"/>
              </w:rPr>
            </w:pPr>
            <w:bookmarkStart w:id="27" w:name="_Toc31623725"/>
            <w:r w:rsidRPr="0091450A">
              <w:rPr>
                <w:rStyle w:val="Heading2Char"/>
              </w:rPr>
              <w:t>4 FOOD PRICES</w:t>
            </w:r>
            <w:bookmarkEnd w:id="27"/>
            <w:r w:rsidRPr="0091450A">
              <w:rPr>
                <w:rFonts w:cs="Times New Roman"/>
                <w:b/>
                <w:color w:val="1F497D" w:themeColor="text2"/>
                <w:sz w:val="28"/>
                <w:szCs w:val="28"/>
              </w:rPr>
              <w:t xml:space="preserve">: </w:t>
            </w:r>
            <w:r w:rsidRPr="0091450A">
              <w:rPr>
                <w:rFonts w:cs="Times New Roman"/>
                <w:bCs/>
                <w:szCs w:val="20"/>
              </w:rPr>
              <w:t>Food pricing policies (e.g., taxes and subsidies) are aligned with health outcomes by helping to make the healthy eating choices the easier, cheaper choices</w:t>
            </w:r>
          </w:p>
        </w:tc>
      </w:tr>
      <w:tr w:rsidR="002766C0" w:rsidRPr="0091450A" w14:paraId="30CA1225" w14:textId="77777777" w:rsidTr="00090A17">
        <w:tc>
          <w:tcPr>
            <w:tcW w:w="9209" w:type="dxa"/>
          </w:tcPr>
          <w:p w14:paraId="22805859" w14:textId="427C1C3F" w:rsidR="002766C0" w:rsidRPr="0091450A" w:rsidRDefault="002766C0" w:rsidP="002D613F">
            <w:pPr>
              <w:spacing w:before="40" w:after="40"/>
              <w:rPr>
                <w:rFonts w:cs="Times New Roman"/>
                <w:b/>
                <w:color w:val="1F497D" w:themeColor="text2"/>
                <w:sz w:val="28"/>
                <w:szCs w:val="28"/>
              </w:rPr>
            </w:pPr>
            <w:bookmarkStart w:id="28" w:name="_Toc31623726"/>
            <w:r w:rsidRPr="0091450A">
              <w:rPr>
                <w:rStyle w:val="Heading3Char"/>
              </w:rPr>
              <w:t>PRICES1</w:t>
            </w:r>
            <w:bookmarkEnd w:id="28"/>
            <w:r w:rsidRPr="0091450A">
              <w:rPr>
                <w:rFonts w:cs="Times New Roman"/>
                <w:b/>
                <w:color w:val="1F497D" w:themeColor="text2"/>
                <w:sz w:val="28"/>
                <w:szCs w:val="28"/>
              </w:rPr>
              <w:t xml:space="preserve">: </w:t>
            </w:r>
            <w:r w:rsidRPr="0091450A">
              <w:rPr>
                <w:rFonts w:cs="Times New Roman"/>
                <w:b/>
                <w:color w:val="000000"/>
                <w:lang w:eastAsia="en-NZ"/>
              </w:rPr>
              <w:t>Taxes on healthy foods are minimised to encourage healthy food choices where possible (e.g. low or no sales tax, excise, value-added or import duties on fruit and vegetables)</w:t>
            </w:r>
          </w:p>
        </w:tc>
      </w:tr>
      <w:tr w:rsidR="002766C0" w:rsidRPr="0091450A" w14:paraId="7FAF3F88" w14:textId="77777777" w:rsidTr="00090A17">
        <w:tc>
          <w:tcPr>
            <w:tcW w:w="9209" w:type="dxa"/>
          </w:tcPr>
          <w:p w14:paraId="37577557" w14:textId="2EEAB7BA" w:rsidR="002766C0" w:rsidRPr="0091450A" w:rsidRDefault="002766C0"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 of implementation</w:t>
            </w:r>
          </w:p>
          <w:p w14:paraId="1C2248D9" w14:textId="07BB27CC" w:rsidR="002766C0" w:rsidRPr="0091450A" w:rsidRDefault="002766C0" w:rsidP="002D613F">
            <w:pPr>
              <w:pStyle w:val="ListParagraph"/>
              <w:numPr>
                <w:ilvl w:val="0"/>
                <w:numId w:val="5"/>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rPr>
              <w:t>Goods and services tax (GST) appl</w:t>
            </w:r>
            <w:r w:rsidR="00B06FD7">
              <w:rPr>
                <w:rFonts w:cs="Times New Roman"/>
                <w:szCs w:val="20"/>
              </w:rPr>
              <w:t>ies</w:t>
            </w:r>
            <w:r w:rsidR="00A94A0A" w:rsidRPr="0091450A">
              <w:rPr>
                <w:rFonts w:cs="Times New Roman"/>
                <w:szCs w:val="20"/>
              </w:rPr>
              <w:t xml:space="preserve"> </w:t>
            </w:r>
            <w:r w:rsidRPr="0091450A">
              <w:rPr>
                <w:rFonts w:cs="Times New Roman"/>
                <w:szCs w:val="20"/>
              </w:rPr>
              <w:t>equally to all foods in</w:t>
            </w:r>
            <w:r w:rsidRPr="0091450A">
              <w:rPr>
                <w:rFonts w:cs="Times New Roman"/>
                <w:b/>
                <w:szCs w:val="20"/>
              </w:rPr>
              <w:t xml:space="preserve"> </w:t>
            </w:r>
            <w:r w:rsidRPr="0091450A">
              <w:rPr>
                <w:rFonts w:cs="Times New Roman"/>
                <w:szCs w:val="20"/>
              </w:rPr>
              <w:t>NZ</w:t>
            </w:r>
            <w:r w:rsidRPr="0091450A">
              <w:rPr>
                <w:rFonts w:cs="Times New Roman"/>
                <w:b/>
                <w:szCs w:val="20"/>
              </w:rPr>
              <w:t xml:space="preserve">. </w:t>
            </w:r>
            <w:r w:rsidRPr="0091450A">
              <w:rPr>
                <w:rFonts w:cs="Times New Roman"/>
                <w:szCs w:val="20"/>
              </w:rPr>
              <w:t>There is</w:t>
            </w:r>
            <w:r w:rsidRPr="0091450A">
              <w:rPr>
                <w:rFonts w:cs="Times New Roman"/>
                <w:b/>
                <w:szCs w:val="20"/>
              </w:rPr>
              <w:t xml:space="preserve"> </w:t>
            </w:r>
            <w:r w:rsidRPr="0091450A">
              <w:rPr>
                <w:rFonts w:cs="Times New Roman"/>
                <w:color w:val="000000"/>
                <w:szCs w:val="20"/>
                <w:lang w:eastAsia="en-NZ"/>
              </w:rPr>
              <w:t xml:space="preserve">no reduction of taxes on healthy foods in NZ, and it was never actively considered by the government due to complexity and potential revenue shortfall. The current government policy is not in favour of introducing exemptions. </w:t>
            </w:r>
            <w:r w:rsidRPr="0091450A">
              <w:rPr>
                <w:rFonts w:cs="Times New Roman"/>
                <w:szCs w:val="20"/>
              </w:rPr>
              <w:t>There has been no change since 2013.</w:t>
            </w:r>
          </w:p>
          <w:p w14:paraId="2F6DFB87" w14:textId="77777777" w:rsidR="002766C0" w:rsidRPr="0091450A" w:rsidRDefault="002766C0" w:rsidP="002D613F">
            <w:pPr>
              <w:shd w:val="clear" w:color="auto" w:fill="FFFFFF" w:themeFill="background1"/>
              <w:spacing w:before="40" w:after="40"/>
              <w:rPr>
                <w:rFonts w:cs="Times New Roman"/>
                <w:b/>
                <w:color w:val="002060"/>
                <w:szCs w:val="20"/>
                <w:lang w:eastAsia="en-NZ"/>
              </w:rPr>
            </w:pPr>
          </w:p>
          <w:p w14:paraId="253CF75F" w14:textId="1B639453" w:rsidR="002766C0" w:rsidRPr="0091450A" w:rsidRDefault="002766C0" w:rsidP="002D613F">
            <w:pPr>
              <w:spacing w:before="40" w:after="40"/>
              <w:rPr>
                <w:b/>
                <w:color w:val="1F497D"/>
                <w:sz w:val="28"/>
                <w:szCs w:val="28"/>
              </w:rPr>
            </w:pPr>
            <w:r w:rsidRPr="0091450A">
              <w:rPr>
                <w:b/>
                <w:color w:val="1F497D"/>
                <w:sz w:val="28"/>
                <w:szCs w:val="28"/>
              </w:rPr>
              <w:t>International best practice examples (benchmarks)</w:t>
            </w:r>
          </w:p>
          <w:p w14:paraId="7C0A2C2D" w14:textId="5A4FDFF8" w:rsidR="002766C0" w:rsidRPr="0091450A" w:rsidRDefault="002766C0" w:rsidP="002D613F">
            <w:pPr>
              <w:pStyle w:val="ListParagraph"/>
              <w:keepNext/>
              <w:numPr>
                <w:ilvl w:val="0"/>
                <w:numId w:val="5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xml:space="preserve">: Goods and services tax (GST) exemption exists for basic foods (including fresh fruits and vegetables) </w:t>
            </w:r>
            <w:r w:rsidR="00314EF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{"citationItems":[{"id":"ITEM-1","itemData":{"ISBN":"1326-5377 (Electronic)\r0025-729X (Linking)","PMID":"24138373","author":[{"dropping-particle":"","family":"Veerman","given":"J L","non-dropping-particle":"","parse-names":false,"suffix":""},{"dropping-particle":"","family":"Cobiac","given":"L J","non-dropping-particle":"","parse-names":false,"suffix":""}],"container-title":"Med J Aust","id":"ITEM-1","issue":"8","issued":{"date-parts":[["2013"]]},"page":"534-535","title":"Removing the GST exemption for fresh fruits and vegetables could cost lives","type":"article-journal","volume":"199"},"uris":["http://www.mendeley.com/documents/?uuid=82949d39-ad13-333f-a708-8fa32ed1bc65","http://www.mendeley.com/documents/?uuid=61188819-a741-4586-90c8-b8ddc956dc1d"]}],"mendeley":{"formattedCitation":"(75)","plainTextFormattedCitation":"(75)","previouslyFormattedCitation":"(75)"},"properties":{"noteIndex":0},"schema":"https://github.com/citation-style-language/schema/raw/master/csl-citation.json"}</w:instrText>
            </w:r>
            <w:r w:rsidR="00314EF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(75)</w:t>
            </w:r>
            <w:r w:rsidR="00314EFD" w:rsidRPr="0091450A">
              <w:rPr>
                <w:rFonts w:eastAsia="Times New Roman" w:cs="Times New Roman"/>
                <w:szCs w:val="20"/>
                <w:lang w:eastAsia="en-NZ"/>
              </w:rPr>
              <w:fldChar w:fldCharType="end"/>
            </w:r>
            <w:r w:rsidR="00314EFD" w:rsidRPr="0091450A">
              <w:rPr>
                <w:rFonts w:eastAsia="Times New Roman" w:cs="Times New Roman"/>
                <w:szCs w:val="20"/>
                <w:lang w:eastAsia="en-NZ"/>
              </w:rPr>
              <w:t>.</w:t>
            </w:r>
          </w:p>
          <w:p w14:paraId="2D4DC75D" w14:textId="11C32D88" w:rsidR="002766C0" w:rsidRPr="0091450A" w:rsidRDefault="002766C0" w:rsidP="002D613F">
            <w:pPr>
              <w:pStyle w:val="ListParagraph"/>
              <w:keepNext/>
              <w:numPr>
                <w:ilvl w:val="0"/>
                <w:numId w:val="5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Tonga</w:t>
            </w:r>
            <w:r w:rsidRPr="0091450A">
              <w:rPr>
                <w:rFonts w:eastAsia="Times New Roman" w:cs="Times New Roman"/>
                <w:szCs w:val="20"/>
                <w:lang w:eastAsia="en-NZ"/>
              </w:rPr>
              <w:t xml:space="preserve">:  In 2013, as part of a broader package of fiscal measures, import duties were lowered from 20% to 5% for imported fresh, tinned or frozen fish in order to increase affordability and promote healthier diets </w:t>
            </w:r>
            <w:r w:rsidR="00314EF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d45fcb80-f971-3087-8f08-e58e11e88e0a","http://www.mendeley.com/documents/?uuid=3bff0db1-87b2-4706-95c5-a529c6224f78"]}],"mendeley":{"formattedCitation":"(76)","plainTextFormattedCitation":"(76)","previouslyFormattedCitation":"(76)"},"properties":{"noteIndex":0},"schema":"https://github.com/citation-style-language/schema/raw/master/csl-citation.json"}</w:instrText>
            </w:r>
            <w:r w:rsidR="00314EF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314EFD" w:rsidRPr="0091450A">
              <w:rPr>
                <w:rFonts w:eastAsia="Times New Roman" w:cs="Times New Roman"/>
                <w:szCs w:val="20"/>
                <w:lang w:eastAsia="en-NZ"/>
              </w:rPr>
              <w:fldChar w:fldCharType="end"/>
            </w:r>
            <w:r w:rsidR="00314EFD" w:rsidRPr="0091450A">
              <w:rPr>
                <w:rFonts w:eastAsia="Times New Roman" w:cs="Times New Roman"/>
                <w:szCs w:val="20"/>
                <w:lang w:eastAsia="en-NZ"/>
              </w:rPr>
              <w:t>.</w:t>
            </w:r>
          </w:p>
          <w:p w14:paraId="13D3FA8B" w14:textId="3E2A0E21" w:rsidR="002766C0" w:rsidRPr="0091450A" w:rsidRDefault="002766C0" w:rsidP="002D613F">
            <w:pPr>
              <w:pStyle w:val="ListParagraph"/>
              <w:keepNext/>
              <w:numPr>
                <w:ilvl w:val="0"/>
                <w:numId w:val="5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Fiji</w:t>
            </w:r>
            <w:r w:rsidRPr="0091450A">
              <w:rPr>
                <w:rFonts w:eastAsia="Times New Roman" w:cs="Times New Roman"/>
                <w:szCs w:val="20"/>
                <w:lang w:eastAsia="en-NZ"/>
              </w:rPr>
              <w:t xml:space="preserve">: To promote fruit and vegetable consumption, Fiji has removed the excise duty on imported fruits, vegetables and legumes.  It has also decreased the import tax for most varieties from the original 32% to 5% (exceptions: 32% remains on tomatoes, cucumbers, potatoes, squash, pumpkin and 15% remains on coconuts, pineapples, guavas, </w:t>
            </w:r>
            <w:proofErr w:type="spellStart"/>
            <w:r w:rsidRPr="0091450A">
              <w:rPr>
                <w:rFonts w:eastAsia="Times New Roman" w:cs="Times New Roman"/>
                <w:szCs w:val="20"/>
                <w:lang w:eastAsia="en-NZ"/>
              </w:rPr>
              <w:t>mangosteens</w:t>
            </w:r>
            <w:proofErr w:type="spellEnd"/>
            <w:r w:rsidRPr="0091450A">
              <w:rPr>
                <w:rFonts w:eastAsia="Times New Roman" w:cs="Times New Roman"/>
                <w:szCs w:val="20"/>
                <w:lang w:eastAsia="en-NZ"/>
              </w:rPr>
              <w:t xml:space="preserve">) and removed it for garlic and onions </w:t>
            </w:r>
            <w:r w:rsidR="00D664F8"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D664F8"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D664F8" w:rsidRPr="0091450A">
              <w:rPr>
                <w:rFonts w:eastAsia="Times New Roman" w:cs="Times New Roman"/>
                <w:szCs w:val="20"/>
                <w:lang w:eastAsia="en-NZ"/>
              </w:rPr>
              <w:fldChar w:fldCharType="end"/>
            </w:r>
            <w:r w:rsidR="00D664F8" w:rsidRPr="0091450A">
              <w:rPr>
                <w:rFonts w:eastAsia="Times New Roman" w:cs="Times New Roman"/>
                <w:szCs w:val="20"/>
                <w:lang w:eastAsia="en-NZ"/>
              </w:rPr>
              <w:t>.</w:t>
            </w:r>
          </w:p>
          <w:p w14:paraId="2AEA75A0" w14:textId="00437352" w:rsidR="002766C0" w:rsidRPr="0091450A" w:rsidRDefault="002766C0" w:rsidP="002D613F">
            <w:pPr>
              <w:pStyle w:val="ListParagraph"/>
              <w:keepNext/>
              <w:numPr>
                <w:ilvl w:val="0"/>
                <w:numId w:val="5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Poland</w:t>
            </w:r>
            <w:r w:rsidRPr="0091450A">
              <w:rPr>
                <w:rFonts w:eastAsia="Times New Roman" w:cs="Times New Roman"/>
                <w:szCs w:val="20"/>
                <w:lang w:eastAsia="en-NZ"/>
              </w:rPr>
              <w:t xml:space="preserve">: In Poland, the basic rate of tax on goods and services is 22%, while the rate is lower (7%) for goods related to farming and forestry and even lower (3%) for unprocessed and minimally processed food products </w:t>
            </w:r>
            <w:r w:rsidR="0090139C"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{"citationItems":[{"id":"ITEM-1","itemData":{"DOI":"http://dx.doi.org/10.1111/j.1753-4887.2011.00442.x","ISBN":"0029-6643\r1753-4887","container-title":"Nutrition Reviews","id":"ITEM-1","issue":"3","issued":{"date-parts":[["2012"]]},"language":"English","page":"188-200","title":"Policies to promote healthy eating in Europe: A structured review of policies and their effectiveness","type":"article-journal","volume":"70"},"uris":["http://www.mendeley.com/documents/?uuid=52f7a470-0459-35ad-a8a2-fae40ed48bb1","http://www.mendeley.com/documents/?uuid=9c3f4a82-6903-44d0-acc9-78cd9383284d"]}],"mendeley":{"formattedCitation":"(77)","plainTextFormattedCitation":"(77)","previouslyFormattedCitation":"(77)"},"properties":{"noteIndex":0},"schema":"https://github.com/citation-style-language/schema/raw/master/csl-citation.json"}</w:instrText>
            </w:r>
            <w:r w:rsidR="0090139C"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(77)</w:t>
            </w:r>
            <w:r w:rsidR="0090139C" w:rsidRPr="0091450A">
              <w:rPr>
                <w:rFonts w:eastAsia="Times New Roman" w:cs="Times New Roman"/>
                <w:szCs w:val="20"/>
                <w:lang w:eastAsia="en-NZ"/>
              </w:rPr>
              <w:fldChar w:fldCharType="end"/>
            </w:r>
            <w:r w:rsidR="0090139C" w:rsidRPr="0091450A">
              <w:rPr>
                <w:rFonts w:eastAsia="Times New Roman" w:cs="Times New Roman"/>
                <w:szCs w:val="20"/>
                <w:lang w:eastAsia="en-NZ"/>
              </w:rPr>
              <w:t>.</w:t>
            </w:r>
          </w:p>
        </w:tc>
      </w:tr>
    </w:tbl>
    <w:p w14:paraId="1EA983D3" w14:textId="77777777" w:rsidR="00A778A6" w:rsidRPr="0091450A" w:rsidRDefault="00A778A6" w:rsidP="002D613F">
      <w:pPr>
        <w:spacing w:line="240" w:lineRule="auto"/>
      </w:pPr>
    </w:p>
    <w:tbl>
      <w:tblPr>
        <w:tblStyle w:val="TableGrid"/>
        <w:tblW w:w="9209" w:type="dxa"/>
        <w:tblLook w:val="04A0" w:firstRow="1" w:lastRow="0" w:firstColumn="1" w:lastColumn="0" w:noHBand="0" w:noVBand="1"/>
      </w:tblPr>
      <w:tblGrid>
        <w:gridCol w:w="9209"/>
      </w:tblGrid>
      <w:tr w:rsidR="002E08DF" w:rsidRPr="0091450A" w14:paraId="3B4E426F" w14:textId="77777777" w:rsidTr="00090A17">
        <w:tc>
          <w:tcPr>
            <w:tcW w:w="9209" w:type="dxa"/>
          </w:tcPr>
          <w:p w14:paraId="0CD75115" w14:textId="6C71463A" w:rsidR="002E08DF"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4 </w:t>
            </w:r>
            <w:r w:rsidR="002E08DF" w:rsidRPr="0091450A">
              <w:rPr>
                <w:rFonts w:cs="Times New Roman"/>
                <w:b/>
                <w:color w:val="1F497D" w:themeColor="text2"/>
                <w:sz w:val="28"/>
                <w:szCs w:val="28"/>
              </w:rPr>
              <w:t xml:space="preserve">FOOD PRICES: </w:t>
            </w:r>
            <w:r w:rsidR="00922FD6" w:rsidRPr="0091450A">
              <w:rPr>
                <w:rFonts w:cs="Times New Roman"/>
                <w:bCs/>
                <w:szCs w:val="20"/>
              </w:rPr>
              <w:t>Food pricing policies (</w:t>
            </w:r>
            <w:r w:rsidR="00BE5B01" w:rsidRPr="0091450A">
              <w:rPr>
                <w:rFonts w:cs="Times New Roman"/>
                <w:bCs/>
                <w:szCs w:val="20"/>
              </w:rPr>
              <w:t>e.g.</w:t>
            </w:r>
            <w:r w:rsidR="00922FD6" w:rsidRPr="0091450A">
              <w:rPr>
                <w:rFonts w:cs="Times New Roman"/>
                <w:bCs/>
                <w:szCs w:val="20"/>
              </w:rPr>
              <w:t>, taxes and subsidies) are aligned with health outcomes by helping to make the healthy eating choices the easier, cheaper choices</w:t>
            </w:r>
          </w:p>
        </w:tc>
      </w:tr>
      <w:tr w:rsidR="002E08DF" w:rsidRPr="0091450A" w14:paraId="6B6F7E9D" w14:textId="77777777" w:rsidTr="00090A17">
        <w:tc>
          <w:tcPr>
            <w:tcW w:w="9209" w:type="dxa"/>
          </w:tcPr>
          <w:p w14:paraId="44577D52" w14:textId="2468B9BB" w:rsidR="002E08DF" w:rsidRPr="0091450A" w:rsidRDefault="00F86A73" w:rsidP="002D613F">
            <w:pPr>
              <w:spacing w:before="40" w:after="40"/>
              <w:rPr>
                <w:rFonts w:cs="Times New Roman"/>
                <w:b/>
                <w:color w:val="1F497D" w:themeColor="text2"/>
                <w:sz w:val="28"/>
                <w:szCs w:val="28"/>
              </w:rPr>
            </w:pPr>
            <w:bookmarkStart w:id="29" w:name="_Toc31623727"/>
            <w:r w:rsidRPr="0091450A">
              <w:rPr>
                <w:rStyle w:val="Heading3Char"/>
              </w:rPr>
              <w:t>PRICES2</w:t>
            </w:r>
            <w:bookmarkEnd w:id="29"/>
            <w:r w:rsidR="002E08DF" w:rsidRPr="0091450A">
              <w:rPr>
                <w:rFonts w:cs="Times New Roman"/>
                <w:b/>
                <w:color w:val="1F497D" w:themeColor="text2"/>
                <w:sz w:val="28"/>
                <w:szCs w:val="28"/>
              </w:rPr>
              <w:t xml:space="preserve">: </w:t>
            </w:r>
            <w:r w:rsidR="00046833" w:rsidRPr="0091450A">
              <w:rPr>
                <w:rFonts w:cs="Times New Roman"/>
                <w:b/>
                <w:color w:val="000000"/>
                <w:lang w:eastAsia="en-NZ"/>
              </w:rPr>
              <w:t>Taxes on unhealthy foods (</w:t>
            </w:r>
            <w:r w:rsidR="00BE5B01" w:rsidRPr="0091450A">
              <w:rPr>
                <w:rFonts w:cs="Times New Roman"/>
                <w:b/>
                <w:color w:val="000000"/>
                <w:lang w:eastAsia="en-NZ"/>
              </w:rPr>
              <w:t>e.g.</w:t>
            </w:r>
            <w:r w:rsidR="00922FD6" w:rsidRPr="0091450A">
              <w:rPr>
                <w:rFonts w:cs="Times New Roman"/>
                <w:b/>
                <w:color w:val="000000"/>
                <w:lang w:eastAsia="en-NZ"/>
              </w:rPr>
              <w:t xml:space="preserve"> sugar-sweetened beverages</w:t>
            </w:r>
            <w:r w:rsidR="00C45A36" w:rsidRPr="0091450A">
              <w:rPr>
                <w:rFonts w:cs="Times New Roman"/>
                <w:b/>
                <w:color w:val="000000"/>
                <w:lang w:eastAsia="en-NZ"/>
              </w:rPr>
              <w:t>, foods high in nutrients of concern</w:t>
            </w:r>
            <w:r w:rsidR="00922FD6" w:rsidRPr="0091450A">
              <w:rPr>
                <w:rFonts w:cs="Times New Roman"/>
                <w:b/>
                <w:color w:val="000000"/>
                <w:lang w:eastAsia="en-NZ"/>
              </w:rPr>
              <w:t>)</w:t>
            </w:r>
            <w:r w:rsidR="00BE1375" w:rsidRPr="0091450A">
              <w:rPr>
                <w:rFonts w:cs="Times New Roman"/>
                <w:b/>
                <w:color w:val="000000"/>
                <w:lang w:eastAsia="en-NZ"/>
              </w:rPr>
              <w:t xml:space="preserve"> </w:t>
            </w:r>
            <w:r w:rsidR="00922FD6" w:rsidRPr="0091450A">
              <w:rPr>
                <w:rFonts w:cs="Times New Roman"/>
                <w:b/>
                <w:color w:val="000000"/>
                <w:lang w:eastAsia="en-NZ"/>
              </w:rPr>
              <w:t>are in place to discourage unhealthy food choices where possible, and these taxes are reinvested to improve population health</w:t>
            </w:r>
          </w:p>
        </w:tc>
      </w:tr>
      <w:tr w:rsidR="002E08DF" w:rsidRPr="0091450A" w14:paraId="5C53AD85" w14:textId="77777777" w:rsidTr="00090A17">
        <w:tc>
          <w:tcPr>
            <w:tcW w:w="9209" w:type="dxa"/>
          </w:tcPr>
          <w:p w14:paraId="313D4EA4" w14:textId="2AD6E7EF"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32F052A7" w14:textId="50021DC9" w:rsidR="00DA48A4" w:rsidRPr="003C52CF" w:rsidRDefault="004B4F3F" w:rsidP="002D613F">
            <w:pPr>
              <w:pStyle w:val="ListParagraph"/>
              <w:numPr>
                <w:ilvl w:val="0"/>
                <w:numId w:val="6"/>
              </w:numPr>
              <w:shd w:val="clear" w:color="auto" w:fill="FFFFFF" w:themeFill="background1"/>
              <w:spacing w:before="40" w:after="40"/>
              <w:ind w:left="284" w:hanging="284"/>
              <w:contextualSpacing w:val="0"/>
              <w:rPr>
                <w:rFonts w:cs="Times New Roman"/>
                <w:color w:val="000000"/>
                <w:szCs w:val="20"/>
                <w:lang w:eastAsia="en-NZ"/>
              </w:rPr>
            </w:pPr>
            <w:r w:rsidRPr="003C52CF">
              <w:rPr>
                <w:rFonts w:cs="Times New Roman"/>
                <w:color w:val="000000"/>
                <w:szCs w:val="20"/>
                <w:lang w:eastAsia="en-NZ"/>
              </w:rPr>
              <w:t>There is no</w:t>
            </w:r>
            <w:r w:rsidRPr="0091450A">
              <w:rPr>
                <w:rFonts w:cs="Times New Roman"/>
                <w:color w:val="000000"/>
                <w:szCs w:val="20"/>
                <w:lang w:eastAsia="en-NZ"/>
              </w:rPr>
              <w:t xml:space="preserve"> increase in</w:t>
            </w:r>
            <w:r w:rsidR="002E08DF" w:rsidRPr="0091450A">
              <w:rPr>
                <w:rFonts w:cs="Times New Roman"/>
                <w:color w:val="000000"/>
                <w:szCs w:val="20"/>
                <w:lang w:eastAsia="en-NZ"/>
              </w:rPr>
              <w:t xml:space="preserve"> taxes on unhealthy foods in NZ. The current government policy i</w:t>
            </w:r>
            <w:r w:rsidR="00A155BC" w:rsidRPr="0091450A">
              <w:rPr>
                <w:rFonts w:cs="Times New Roman"/>
                <w:color w:val="000000"/>
                <w:szCs w:val="20"/>
                <w:lang w:eastAsia="en-NZ"/>
              </w:rPr>
              <w:t>s not in favour of introducing taxes on specific foods</w:t>
            </w:r>
            <w:r w:rsidR="002C3F6F" w:rsidRPr="0091450A">
              <w:rPr>
                <w:rFonts w:cs="Times New Roman"/>
                <w:color w:val="000000"/>
                <w:szCs w:val="20"/>
                <w:lang w:eastAsia="en-NZ"/>
              </w:rPr>
              <w:t xml:space="preserve">. </w:t>
            </w:r>
            <w:r w:rsidRPr="0091450A">
              <w:rPr>
                <w:rFonts w:cs="Times New Roman"/>
                <w:color w:val="000000"/>
                <w:szCs w:val="20"/>
                <w:lang w:eastAsia="en-NZ"/>
              </w:rPr>
              <w:t xml:space="preserve">This </w:t>
            </w:r>
            <w:r w:rsidRPr="003C52CF">
              <w:rPr>
                <w:rFonts w:cs="Times New Roman"/>
                <w:color w:val="000000"/>
                <w:szCs w:val="20"/>
                <w:lang w:eastAsia="en-NZ"/>
              </w:rPr>
              <w:t>situation has not changed since 2014</w:t>
            </w:r>
            <w:r w:rsidR="00047C75" w:rsidRPr="003C52CF">
              <w:rPr>
                <w:rFonts w:cs="Times New Roman"/>
                <w:color w:val="000000"/>
                <w:szCs w:val="20"/>
                <w:lang w:eastAsia="en-NZ"/>
              </w:rPr>
              <w:t xml:space="preserve">. The possibility of a sugar tax was ruled out by </w:t>
            </w:r>
            <w:r w:rsidR="00B06FD7" w:rsidRPr="003C52CF">
              <w:rPr>
                <w:rFonts w:cs="Times New Roman"/>
                <w:color w:val="000000"/>
                <w:szCs w:val="20"/>
                <w:lang w:eastAsia="en-NZ"/>
              </w:rPr>
              <w:t xml:space="preserve">the </w:t>
            </w:r>
            <w:r w:rsidR="00047C75" w:rsidRPr="003C52CF">
              <w:rPr>
                <w:rFonts w:cs="Times New Roman"/>
                <w:color w:val="000000"/>
                <w:szCs w:val="20"/>
                <w:lang w:eastAsia="en-NZ"/>
              </w:rPr>
              <w:t>government in 2019</w:t>
            </w:r>
            <w:r w:rsidR="00FB5269" w:rsidRPr="003C52CF">
              <w:rPr>
                <w:rFonts w:cs="Times New Roman"/>
                <w:color w:val="000000"/>
                <w:szCs w:val="20"/>
                <w:lang w:eastAsia="en-NZ"/>
              </w:rPr>
              <w:t xml:space="preserve"> </w:t>
            </w:r>
            <w:r w:rsidR="00D073AB" w:rsidRPr="003C52CF">
              <w:rPr>
                <w:rFonts w:cs="Times New Roman"/>
                <w:color w:val="000000"/>
                <w:szCs w:val="20"/>
                <w:lang w:eastAsia="en-NZ"/>
              </w:rPr>
              <w:fldChar w:fldCharType="begin" w:fldLock="1"/>
            </w:r>
            <w:r w:rsidR="002B6CB8" w:rsidRPr="003C52CF">
              <w:rPr>
                <w:rFonts w:cs="Times New Roman"/>
                <w:color w:val="000000"/>
                <w:szCs w:val="20"/>
                <w:lang w:eastAsia="en-NZ"/>
              </w:rPr>
              <w:instrText>ADDIN CSL_CITATION {"citationItems":[{"id":"ITEM-1","itemData":{"author":[{"dropping-particle":"","family":"Walls","given":"Jason","non-dropping-particle":"","parse-names":false,"suffix":""}],"container-title":"New Zealand Herald","id":"ITEM-1","issued":{"date-parts":[["2019","1","29"]]},"title":"Ministry of Health is exploring the feasibility of a sugar tax but Govt says it won't implement one this term","type":"article-newspaper"},"uris":["http://www.mendeley.com/documents/?uuid=9262bd47-e8c2-47a5-a8b2-64fc80c91f4b"]}],"mendeley":{"formattedCitation":"(78)","plainTextFormattedCitation":"(78)","previouslyFormattedCitation":"(78)"},"properties":{"noteIndex":0},"schema":"https://github.com/citation-style-language/schema/raw/master/csl-citation.json"}</w:instrText>
            </w:r>
            <w:r w:rsidR="00D073AB" w:rsidRPr="003C52CF">
              <w:rPr>
                <w:rFonts w:cs="Times New Roman"/>
                <w:color w:val="000000"/>
                <w:szCs w:val="20"/>
                <w:lang w:eastAsia="en-NZ"/>
              </w:rPr>
              <w:fldChar w:fldCharType="separate"/>
            </w:r>
            <w:r w:rsidR="00A90C92" w:rsidRPr="003C52CF">
              <w:rPr>
                <w:rFonts w:cs="Times New Roman"/>
                <w:noProof/>
                <w:color w:val="000000"/>
                <w:szCs w:val="20"/>
                <w:lang w:eastAsia="en-NZ"/>
              </w:rPr>
              <w:t>(78)</w:t>
            </w:r>
            <w:r w:rsidR="00D073AB" w:rsidRPr="003C52CF">
              <w:rPr>
                <w:rFonts w:cs="Times New Roman"/>
                <w:color w:val="000000"/>
                <w:szCs w:val="20"/>
                <w:lang w:eastAsia="en-NZ"/>
              </w:rPr>
              <w:fldChar w:fldCharType="end"/>
            </w:r>
            <w:r w:rsidRPr="003C52CF">
              <w:rPr>
                <w:rFonts w:cs="Times New Roman"/>
                <w:color w:val="000000"/>
                <w:szCs w:val="20"/>
                <w:lang w:eastAsia="en-NZ"/>
              </w:rPr>
              <w:t>.</w:t>
            </w:r>
            <w:r w:rsidR="00E6178F" w:rsidRPr="003C52CF">
              <w:rPr>
                <w:rFonts w:cs="Times New Roman"/>
                <w:color w:val="000000"/>
                <w:szCs w:val="20"/>
                <w:lang w:eastAsia="en-NZ"/>
              </w:rPr>
              <w:t xml:space="preserve"> </w:t>
            </w:r>
            <w:r w:rsidR="0091450A" w:rsidRPr="003C52CF">
              <w:rPr>
                <w:rFonts w:cs="Times New Roman"/>
                <w:color w:val="000000"/>
                <w:szCs w:val="20"/>
                <w:lang w:eastAsia="en-NZ"/>
              </w:rPr>
              <w:t>However,</w:t>
            </w:r>
            <w:r w:rsidR="00E6178F" w:rsidRPr="003C52CF">
              <w:rPr>
                <w:rFonts w:cs="Times New Roman"/>
                <w:color w:val="000000"/>
                <w:szCs w:val="20"/>
                <w:lang w:eastAsia="en-NZ"/>
              </w:rPr>
              <w:t xml:space="preserve"> in </w:t>
            </w:r>
            <w:r w:rsidR="00FB40BE" w:rsidRPr="003C52CF">
              <w:rPr>
                <w:rFonts w:cs="Times New Roman"/>
                <w:color w:val="000000"/>
                <w:szCs w:val="20"/>
                <w:lang w:eastAsia="en-NZ"/>
              </w:rPr>
              <w:t xml:space="preserve">Oct </w:t>
            </w:r>
            <w:r w:rsidR="00E6178F" w:rsidRPr="003C52CF">
              <w:rPr>
                <w:rFonts w:cs="Times New Roman"/>
                <w:color w:val="000000"/>
                <w:szCs w:val="20"/>
                <w:lang w:eastAsia="en-NZ"/>
              </w:rPr>
              <w:t>2019</w:t>
            </w:r>
            <w:r w:rsidR="00FB40BE" w:rsidRPr="003C52CF">
              <w:rPr>
                <w:rFonts w:cs="Times New Roman"/>
                <w:color w:val="000000"/>
                <w:szCs w:val="20"/>
                <w:lang w:eastAsia="en-NZ"/>
              </w:rPr>
              <w:t xml:space="preserve"> the Associate Minister of Health stated that sugar taxes and warning labels should be considered to turn the tide on diabetes</w:t>
            </w:r>
            <w:r w:rsidR="00DB262A" w:rsidRPr="003C52CF">
              <w:rPr>
                <w:rFonts w:cs="Times New Roman"/>
                <w:color w:val="000000"/>
                <w:szCs w:val="20"/>
                <w:lang w:eastAsia="en-NZ"/>
              </w:rPr>
              <w:t xml:space="preserve"> </w:t>
            </w:r>
            <w:r w:rsidR="00DB262A" w:rsidRPr="003C52CF">
              <w:rPr>
                <w:rFonts w:cs="Times New Roman"/>
                <w:color w:val="000000"/>
                <w:szCs w:val="20"/>
                <w:lang w:eastAsia="en-NZ"/>
              </w:rPr>
              <w:fldChar w:fldCharType="begin" w:fldLock="1"/>
            </w:r>
            <w:r w:rsidR="002B6CB8" w:rsidRPr="003C52CF">
              <w:rPr>
                <w:rFonts w:cs="Times New Roman"/>
                <w:color w:val="000000"/>
                <w:szCs w:val="20"/>
                <w:lang w:eastAsia="en-NZ"/>
              </w:rPr>
              <w:instrText>ADDIN CSL_CITATION {"citationItems":[{"id":"ITEM-1","itemData":{"author":[{"dropping-particle":"","family":"Jones","given":"Nicholas","non-dropping-particle":"","parse-names":false,"suffix":""}],"container-title":"New Zealand Herald","id":"ITEM-1","issued":{"date-parts":[["2019","10","9"]]},"title":"Exclusive: Crackdown on junk food, drink to 'turn tide' on diabetes: Associate Health Minister Peeni Henare","type":"article-newspaper"},"uris":["http://www.mendeley.com/documents/?uuid=0dc59a3a-9ded-4878-874e-3685d4833155"]}],"mendeley":{"formattedCitation":"(79)","plainTextFormattedCitation":"(79)","previouslyFormattedCitation":"(79)"},"properties":{"noteIndex":0},"schema":"https://github.com/citation-style-language/schema/raw/master/csl-citation.json"}</w:instrText>
            </w:r>
            <w:r w:rsidR="00DB262A" w:rsidRPr="003C52CF">
              <w:rPr>
                <w:rFonts w:cs="Times New Roman"/>
                <w:color w:val="000000"/>
                <w:szCs w:val="20"/>
                <w:lang w:eastAsia="en-NZ"/>
              </w:rPr>
              <w:fldChar w:fldCharType="separate"/>
            </w:r>
            <w:r w:rsidR="00A90C92" w:rsidRPr="003C52CF">
              <w:rPr>
                <w:rFonts w:cs="Times New Roman"/>
                <w:noProof/>
                <w:color w:val="000000"/>
                <w:szCs w:val="20"/>
                <w:lang w:eastAsia="en-NZ"/>
              </w:rPr>
              <w:t>(79)</w:t>
            </w:r>
            <w:r w:rsidR="00DB262A" w:rsidRPr="003C52CF">
              <w:rPr>
                <w:rFonts w:cs="Times New Roman"/>
                <w:color w:val="000000"/>
                <w:szCs w:val="20"/>
                <w:lang w:eastAsia="en-NZ"/>
              </w:rPr>
              <w:fldChar w:fldCharType="end"/>
            </w:r>
            <w:r w:rsidR="00FB40BE" w:rsidRPr="003C52CF">
              <w:rPr>
                <w:rFonts w:cs="Times New Roman"/>
                <w:color w:val="000000"/>
                <w:szCs w:val="20"/>
                <w:lang w:eastAsia="en-NZ"/>
              </w:rPr>
              <w:t>.</w:t>
            </w:r>
          </w:p>
          <w:p w14:paraId="08E43225" w14:textId="62B58C67" w:rsidR="002856A4" w:rsidRPr="003C52CF" w:rsidRDefault="00E97A87" w:rsidP="002D613F">
            <w:pPr>
              <w:pStyle w:val="ListParagraph"/>
              <w:numPr>
                <w:ilvl w:val="0"/>
                <w:numId w:val="6"/>
              </w:numPr>
              <w:shd w:val="clear" w:color="auto" w:fill="FFFFFF" w:themeFill="background1"/>
              <w:spacing w:before="40" w:after="40"/>
              <w:ind w:left="284" w:hanging="284"/>
              <w:contextualSpacing w:val="0"/>
              <w:rPr>
                <w:rFonts w:cs="Times New Roman"/>
                <w:szCs w:val="20"/>
                <w:lang w:eastAsia="en-NZ"/>
              </w:rPr>
            </w:pPr>
            <w:r w:rsidRPr="003C52CF">
              <w:rPr>
                <w:rFonts w:cs="Times New Roman"/>
                <w:szCs w:val="20"/>
                <w:lang w:eastAsia="en-NZ"/>
              </w:rPr>
              <w:t xml:space="preserve">In August 2017 the New Zealand Beverage Guidance Panel (NZBGP) </w:t>
            </w:r>
            <w:r w:rsidR="009A5022" w:rsidRPr="003C52CF">
              <w:rPr>
                <w:rFonts w:cs="Times New Roman"/>
                <w:szCs w:val="20"/>
                <w:lang w:eastAsia="en-NZ"/>
              </w:rPr>
              <w:t xml:space="preserve">presented a sugary drink tax policy brief </w:t>
            </w:r>
            <w:r w:rsidR="004B29B3" w:rsidRPr="003C52CF">
              <w:rPr>
                <w:rFonts w:cs="Times New Roman"/>
                <w:szCs w:val="20"/>
                <w:lang w:eastAsia="en-NZ"/>
              </w:rPr>
              <w:t>for New Zealand including a 10,000-strong petitio</w:t>
            </w:r>
            <w:r w:rsidR="00690AAA" w:rsidRPr="003C52CF">
              <w:rPr>
                <w:rFonts w:cs="Times New Roman"/>
                <w:szCs w:val="20"/>
                <w:lang w:eastAsia="en-NZ"/>
              </w:rPr>
              <w:t>n, however</w:t>
            </w:r>
            <w:r w:rsidR="00B06FD7" w:rsidRPr="003C52CF">
              <w:rPr>
                <w:rFonts w:cs="Times New Roman"/>
                <w:szCs w:val="20"/>
                <w:lang w:eastAsia="en-NZ"/>
              </w:rPr>
              <w:t>,</w:t>
            </w:r>
            <w:r w:rsidR="00690AAA" w:rsidRPr="003C52CF">
              <w:rPr>
                <w:rFonts w:cs="Times New Roman"/>
                <w:szCs w:val="20"/>
                <w:lang w:eastAsia="en-NZ"/>
              </w:rPr>
              <w:t xml:space="preserve"> this was </w:t>
            </w:r>
            <w:r w:rsidR="009D0A76" w:rsidRPr="003C52CF">
              <w:rPr>
                <w:rFonts w:cs="Times New Roman"/>
                <w:szCs w:val="20"/>
                <w:lang w:eastAsia="en-NZ"/>
              </w:rPr>
              <w:t xml:space="preserve">declined </w:t>
            </w:r>
            <w:r w:rsidR="00BE1F7E" w:rsidRPr="003C52CF">
              <w:rPr>
                <w:rFonts w:cs="Times New Roman"/>
                <w:szCs w:val="20"/>
                <w:lang w:eastAsia="en-NZ"/>
              </w:rPr>
              <w:t xml:space="preserve">by the 2017 government </w:t>
            </w:r>
            <w:r w:rsidR="00BE1F7E" w:rsidRPr="003C52CF">
              <w:rPr>
                <w:rFonts w:cs="Times New Roman"/>
                <w:szCs w:val="20"/>
                <w:lang w:eastAsia="en-NZ"/>
              </w:rPr>
              <w:fldChar w:fldCharType="begin" w:fldLock="1"/>
            </w:r>
            <w:r w:rsidR="002B6CB8" w:rsidRPr="003C52CF">
              <w:rPr>
                <w:rFonts w:cs="Times New Roman"/>
                <w:szCs w:val="20"/>
                <w:lang w:eastAsia="en-NZ"/>
              </w:rPr>
              <w:instrText>ADDIN CSL_CITATION {"citationItems":[{"id":"ITEM-1","itemData":{"abstract":"On Tuesday 8 August, the New Zealand Beverage Guidance Panel (NZBGP) with Niki Bezzant presented a policy brief titled: A Sugary Drink Tax for New Zealand and a petition calling for a sugary drink tax to parliamentary representatives.1 The policy brief outlined i) the rationale for a sugary drink tax in New Zealand, ii) a list of options on how the sugary drink tax could be structured, iii) an estimate on the amount of revenue it could generate, and iv) suggestions on how revenue could be used to prevent childhood obesity and dental caries.2 Recommendations from the policy brief were:  [...]the National Government and Minister of Health declined invitations to participate in panel discussions at research symposiums that considered the evidence linking sugar and sugary drinks to obesity, type 2 diabetes and dental caries, and solutions to address high sugar intake in 2014, 2015, 2016 and 2017.4 Some positive steps, however, have been made to address the issue of sugary drinks on this government's watch: removing them from hospitals and encouraging schools to do the same.  In 2011, then prime minister John Key and Gerry Brownlee visited a new Coca-Cola Amatil factory, and the party again visited in 2016, with Minister for Economic Development Stephen Joyce attending a function at a plant in Auckland.5'6 It seems our current government and Minister of Health value the interests of the sugary drink industry over those of 10,000 New Zealanders and the many voices from senior leaders from the health and community sectors that contributed to the tax policy brief.","author":[{"dropping-particle":"","family":"Sundborn","given":"Gerhard","non-dropping-particle":"","parse-names":false,"suffix":""},{"dropping-particle":"","family":"Thornley","given":"Simon","non-dropping-particle":"","parse-names":false,"suffix":""},{"dropping-particle":"","family":"Beaglehole","given":"Rob","non-dropping-particle":"","parse-names":false,"suffix":""},{"dropping-particle":"","family":"Bezzant","given":"Niki","non-dropping-particle":"","parse-names":false,"suffix":""}],"container-title":"The New Zealand Medical Journal (Online)","id":"ITEM-1","issue":"1462","issued":{"date-parts":[["2017","9","22"]]},"language":"English","note":"Name - University of Auckland; New Zealand Dental Association\n\nCopyright - Copyright New Zealand Medical Association (NZMA) Sep 22, 2017\n\nLast updated - 2017-09-28","page":"114-116","publisher":"New Zealand Medical Association (NZMA)","publisher-place":"Christchurch","title":"Policy brief: a sugary drink tax for New Zealand and 10,000-strong petition snubbed by Minister of Health and National Government","type":"article-journal","volume":"130"},"uris":["http://www.mendeley.com/documents/?uuid=562ebe18-7418-4470-b410-a9bae4da50a5"]}],"mendeley":{"formattedCitation":"(80)","plainTextFormattedCitation":"(80)","previouslyFormattedCitation":"(80)"},"properties":{"noteIndex":0},"schema":"https://github.com/citation-style-language/schema/raw/master/csl-citation.json"}</w:instrText>
            </w:r>
            <w:r w:rsidR="00BE1F7E" w:rsidRPr="003C52CF">
              <w:rPr>
                <w:rFonts w:cs="Times New Roman"/>
                <w:szCs w:val="20"/>
                <w:lang w:eastAsia="en-NZ"/>
              </w:rPr>
              <w:fldChar w:fldCharType="separate"/>
            </w:r>
            <w:r w:rsidR="00A90C92" w:rsidRPr="003C52CF">
              <w:rPr>
                <w:rFonts w:cs="Times New Roman"/>
                <w:noProof/>
                <w:szCs w:val="20"/>
                <w:lang w:eastAsia="en-NZ"/>
              </w:rPr>
              <w:t>(80)</w:t>
            </w:r>
            <w:r w:rsidR="00BE1F7E" w:rsidRPr="003C52CF">
              <w:rPr>
                <w:rFonts w:cs="Times New Roman"/>
                <w:szCs w:val="20"/>
                <w:lang w:eastAsia="en-NZ"/>
              </w:rPr>
              <w:fldChar w:fldCharType="end"/>
            </w:r>
            <w:r w:rsidR="00BE1F7E" w:rsidRPr="003C52CF">
              <w:rPr>
                <w:rFonts w:cs="Times New Roman"/>
                <w:szCs w:val="20"/>
                <w:lang w:eastAsia="en-NZ"/>
              </w:rPr>
              <w:t>.</w:t>
            </w:r>
          </w:p>
          <w:p w14:paraId="2E2BB0DF" w14:textId="63BB230C" w:rsidR="005F2D9A" w:rsidRPr="003C52CF" w:rsidRDefault="00024717" w:rsidP="002D613F">
            <w:pPr>
              <w:pStyle w:val="ListParagraph"/>
              <w:numPr>
                <w:ilvl w:val="0"/>
                <w:numId w:val="6"/>
              </w:numPr>
              <w:shd w:val="clear" w:color="auto" w:fill="FFFFFF" w:themeFill="background1"/>
              <w:spacing w:before="40" w:after="40"/>
              <w:ind w:left="284" w:hanging="284"/>
              <w:contextualSpacing w:val="0"/>
              <w:rPr>
                <w:rFonts w:cs="Times New Roman"/>
                <w:szCs w:val="20"/>
                <w:lang w:eastAsia="en-NZ"/>
              </w:rPr>
            </w:pPr>
            <w:r w:rsidRPr="003C52CF">
              <w:rPr>
                <w:rFonts w:cs="Times New Roman"/>
                <w:szCs w:val="20"/>
                <w:lang w:eastAsia="en-NZ"/>
              </w:rPr>
              <w:t>A review report of sugar taxes in New Zealand</w:t>
            </w:r>
            <w:r w:rsidR="008D172A" w:rsidRPr="003C52CF">
              <w:rPr>
                <w:rFonts w:cs="Times New Roman"/>
                <w:szCs w:val="20"/>
                <w:lang w:eastAsia="en-NZ"/>
              </w:rPr>
              <w:t xml:space="preserve"> was</w:t>
            </w:r>
            <w:r w:rsidRPr="003C52CF">
              <w:rPr>
                <w:rFonts w:cs="Times New Roman"/>
                <w:szCs w:val="20"/>
                <w:lang w:eastAsia="en-NZ"/>
              </w:rPr>
              <w:t xml:space="preserve"> completed by the New Zealand </w:t>
            </w:r>
            <w:r w:rsidR="00AD55C5" w:rsidRPr="003C52CF">
              <w:rPr>
                <w:rFonts w:cs="Times New Roman"/>
                <w:szCs w:val="20"/>
                <w:lang w:eastAsia="en-NZ"/>
              </w:rPr>
              <w:t>I</w:t>
            </w:r>
            <w:r w:rsidRPr="003C52CF">
              <w:rPr>
                <w:rFonts w:cs="Times New Roman"/>
                <w:szCs w:val="20"/>
                <w:lang w:eastAsia="en-NZ"/>
              </w:rPr>
              <w:t xml:space="preserve">nstitute of </w:t>
            </w:r>
            <w:r w:rsidR="00AD55C5" w:rsidRPr="003C52CF">
              <w:rPr>
                <w:rFonts w:cs="Times New Roman"/>
                <w:szCs w:val="20"/>
                <w:lang w:eastAsia="en-NZ"/>
              </w:rPr>
              <w:t>E</w:t>
            </w:r>
            <w:r w:rsidRPr="003C52CF">
              <w:rPr>
                <w:rFonts w:cs="Times New Roman"/>
                <w:szCs w:val="20"/>
                <w:lang w:eastAsia="en-NZ"/>
              </w:rPr>
              <w:t xml:space="preserve">conomic </w:t>
            </w:r>
            <w:r w:rsidR="00AD55C5" w:rsidRPr="003C52CF">
              <w:rPr>
                <w:rFonts w:cs="Times New Roman"/>
                <w:szCs w:val="20"/>
                <w:lang w:eastAsia="en-NZ"/>
              </w:rPr>
              <w:t>R</w:t>
            </w:r>
            <w:r w:rsidRPr="003C52CF">
              <w:rPr>
                <w:rFonts w:cs="Times New Roman"/>
                <w:szCs w:val="20"/>
                <w:lang w:eastAsia="en-NZ"/>
              </w:rPr>
              <w:t>esearch for the Ministry of Health in 2017</w:t>
            </w:r>
            <w:r w:rsidR="008D172A" w:rsidRPr="003C52CF">
              <w:rPr>
                <w:rFonts w:cs="Times New Roman"/>
                <w:szCs w:val="20"/>
                <w:lang w:eastAsia="en-NZ"/>
              </w:rPr>
              <w:t>.</w:t>
            </w:r>
            <w:r w:rsidR="00A87A89" w:rsidRPr="003C52CF">
              <w:rPr>
                <w:rFonts w:cs="Times New Roman"/>
                <w:szCs w:val="20"/>
                <w:lang w:eastAsia="en-NZ"/>
              </w:rPr>
              <w:t xml:space="preserve"> After reviewing </w:t>
            </w:r>
            <w:r w:rsidR="003E7BD8" w:rsidRPr="003C52CF">
              <w:rPr>
                <w:rFonts w:cs="Times New Roman"/>
                <w:szCs w:val="20"/>
                <w:lang w:eastAsia="en-NZ"/>
              </w:rPr>
              <w:t>47 peer-reviewed studies and working papers i</w:t>
            </w:r>
            <w:r w:rsidR="008D172A" w:rsidRPr="003C52CF">
              <w:rPr>
                <w:rFonts w:cs="Times New Roman"/>
                <w:szCs w:val="20"/>
                <w:lang w:eastAsia="en-NZ"/>
              </w:rPr>
              <w:t xml:space="preserve">t </w:t>
            </w:r>
            <w:r w:rsidRPr="003C52CF">
              <w:rPr>
                <w:rFonts w:cs="Times New Roman"/>
                <w:szCs w:val="20"/>
                <w:lang w:eastAsia="en-NZ"/>
              </w:rPr>
              <w:t>found that the evidence of sugar taxes improving health was considered weak</w:t>
            </w:r>
            <w:r w:rsidR="006669E3" w:rsidRPr="003C52CF">
              <w:rPr>
                <w:rFonts w:cs="Times New Roman"/>
                <w:szCs w:val="20"/>
                <w:lang w:eastAsia="en-NZ"/>
              </w:rPr>
              <w:t xml:space="preserve"> and the evidence remains inconclusive</w:t>
            </w:r>
            <w:r w:rsidRPr="003C52CF">
              <w:rPr>
                <w:rFonts w:cs="Times New Roman"/>
                <w:szCs w:val="20"/>
                <w:lang w:eastAsia="en-NZ"/>
              </w:rPr>
              <w:t>.</w:t>
            </w:r>
            <w:r w:rsidR="003E7BD8" w:rsidRPr="003C52CF">
              <w:rPr>
                <w:rFonts w:cs="Times New Roman"/>
                <w:szCs w:val="20"/>
                <w:lang w:eastAsia="en-NZ"/>
              </w:rPr>
              <w:t xml:space="preserve"> Th</w:t>
            </w:r>
            <w:r w:rsidR="000443E0" w:rsidRPr="003C52CF">
              <w:rPr>
                <w:rFonts w:cs="Times New Roman"/>
                <w:szCs w:val="20"/>
                <w:lang w:eastAsia="en-NZ"/>
              </w:rPr>
              <w:t>ese conclusions were</w:t>
            </w:r>
            <w:r w:rsidR="003E7BD8" w:rsidRPr="003C52CF">
              <w:rPr>
                <w:rFonts w:cs="Times New Roman"/>
                <w:szCs w:val="20"/>
                <w:lang w:eastAsia="en-NZ"/>
              </w:rPr>
              <w:t xml:space="preserve"> then passed onto the MoH</w:t>
            </w:r>
            <w:r w:rsidR="000443E0" w:rsidRPr="003C52CF">
              <w:rPr>
                <w:rFonts w:cs="Times New Roman"/>
                <w:szCs w:val="20"/>
                <w:lang w:eastAsia="en-NZ"/>
              </w:rPr>
              <w:t xml:space="preserve"> </w:t>
            </w:r>
            <w:r w:rsidR="007D7242" w:rsidRPr="003C52CF">
              <w:rPr>
                <w:rFonts w:cs="Times New Roman"/>
                <w:szCs w:val="20"/>
                <w:lang w:eastAsia="en-NZ"/>
              </w:rPr>
              <w:fldChar w:fldCharType="begin" w:fldLock="1"/>
            </w:r>
            <w:r w:rsidR="002B6CB8" w:rsidRPr="003C52CF">
              <w:rPr>
                <w:rFonts w:cs="Times New Roman"/>
                <w:szCs w:val="20"/>
                <w:lang w:eastAsia="en-NZ"/>
              </w:rPr>
              <w:instrText>ADDIN CSL_CITATION {"citationItems":[{"id":"ITEM-1","itemData":{"author":[{"dropping-particle":"","family":"New Zealand Institute of Economic Research","given":"","non-dropping-particle":"","parse-names":false,"suffix":""}],"id":"ITEM-1","issued":{"date-parts":[["2017"]]},"title":"Sugar taxes A review of the evidence NZIER report to Ministry of Health","type":"report"},"uris":["http://www.mendeley.com/documents/?uuid=98e93d61-7b7e-3653-8244-a707ca6a514c"]}],"mendeley":{"formattedCitation":"(81)","plainTextFormattedCitation":"(81)","previouslyFormattedCitation":"(81)"},"properties":{"noteIndex":0},"schema":"https://github.com/citation-style-language/schema/raw/master/csl-citation.json"}</w:instrText>
            </w:r>
            <w:r w:rsidR="007D7242" w:rsidRPr="003C52CF">
              <w:rPr>
                <w:rFonts w:cs="Times New Roman"/>
                <w:szCs w:val="20"/>
                <w:lang w:eastAsia="en-NZ"/>
              </w:rPr>
              <w:fldChar w:fldCharType="separate"/>
            </w:r>
            <w:r w:rsidR="00A90C92" w:rsidRPr="003C52CF">
              <w:rPr>
                <w:rFonts w:cs="Times New Roman"/>
                <w:noProof/>
                <w:szCs w:val="20"/>
                <w:lang w:eastAsia="en-NZ"/>
              </w:rPr>
              <w:t>(81)</w:t>
            </w:r>
            <w:r w:rsidR="007D7242" w:rsidRPr="003C52CF">
              <w:rPr>
                <w:rFonts w:cs="Times New Roman"/>
                <w:szCs w:val="20"/>
                <w:lang w:eastAsia="en-NZ"/>
              </w:rPr>
              <w:fldChar w:fldCharType="end"/>
            </w:r>
            <w:r w:rsidR="003E7BD8" w:rsidRPr="003C52CF">
              <w:rPr>
                <w:rFonts w:cs="Times New Roman"/>
                <w:szCs w:val="20"/>
                <w:lang w:eastAsia="en-NZ"/>
              </w:rPr>
              <w:t>.</w:t>
            </w:r>
          </w:p>
          <w:p w14:paraId="6FD24914" w14:textId="77777777" w:rsidR="003405BB" w:rsidRPr="0091450A" w:rsidRDefault="003405BB" w:rsidP="002D613F">
            <w:pPr>
              <w:shd w:val="clear" w:color="auto" w:fill="FFFFFF" w:themeFill="background1"/>
              <w:rPr>
                <w:rFonts w:cs="Times New Roman"/>
                <w:b/>
                <w:color w:val="000000"/>
                <w:szCs w:val="20"/>
                <w:lang w:eastAsia="en-NZ"/>
              </w:rPr>
            </w:pPr>
          </w:p>
          <w:p w14:paraId="118C7D17" w14:textId="57B9EF38" w:rsidR="00C04080" w:rsidRPr="0091450A" w:rsidRDefault="00A778A6" w:rsidP="002D613F">
            <w:pPr>
              <w:spacing w:before="40" w:after="40"/>
              <w:rPr>
                <w:b/>
                <w:color w:val="1F497D"/>
                <w:sz w:val="28"/>
                <w:szCs w:val="28"/>
              </w:rPr>
            </w:pPr>
            <w:r w:rsidRPr="0091450A">
              <w:rPr>
                <w:b/>
                <w:color w:val="1F497D"/>
                <w:sz w:val="28"/>
                <w:szCs w:val="28"/>
              </w:rPr>
              <w:t>Int</w:t>
            </w:r>
            <w:r w:rsidR="00C04080" w:rsidRPr="0091450A">
              <w:rPr>
                <w:b/>
                <w:color w:val="1F497D"/>
                <w:sz w:val="28"/>
                <w:szCs w:val="28"/>
              </w:rPr>
              <w:t xml:space="preserve">ernational best practice </w:t>
            </w:r>
            <w:r w:rsidR="00BE5B01" w:rsidRPr="0091450A">
              <w:rPr>
                <w:b/>
                <w:color w:val="1F497D"/>
                <w:sz w:val="28"/>
                <w:szCs w:val="28"/>
              </w:rPr>
              <w:t>examples</w:t>
            </w:r>
            <w:r w:rsidR="00C04080" w:rsidRPr="0091450A">
              <w:rPr>
                <w:b/>
                <w:color w:val="1F497D"/>
                <w:sz w:val="28"/>
                <w:szCs w:val="28"/>
              </w:rPr>
              <w:t xml:space="preserve"> (benchmarks)</w:t>
            </w:r>
          </w:p>
          <w:p w14:paraId="7516BDD0" w14:textId="0DF02E5A" w:rsidR="003A2BED" w:rsidRPr="0091450A" w:rsidRDefault="003A2BED" w:rsidP="002D613F">
            <w:pPr>
              <w:pStyle w:val="ListParagraph"/>
              <w:keepNext/>
              <w:numPr>
                <w:ilvl w:val="0"/>
                <w:numId w:val="59"/>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lastRenderedPageBreak/>
              <w:t>Mexico</w:t>
            </w:r>
            <w:r w:rsidRPr="0091450A">
              <w:rPr>
                <w:rFonts w:eastAsia="Times New Roman" w:cs="Times New Roman"/>
                <w:szCs w:val="20"/>
                <w:lang w:eastAsia="en-NZ"/>
              </w:rPr>
              <w:t xml:space="preserve">: In December 2013, the Mexican legislature passed two new taxes as part of the national strategy for the prevention of overweight, obesity and diabetes. An excise duty of 1 peso ($0.80) per litre applies to sugary drinks. Sugary drinks are defined under the new law as all drinks with added sugar, excluding </w:t>
            </w:r>
            <w:r w:rsidR="001751AF">
              <w:rPr>
                <w:rFonts w:eastAsia="Times New Roman" w:cs="Times New Roman"/>
                <w:szCs w:val="20"/>
                <w:lang w:eastAsia="en-NZ"/>
              </w:rPr>
              <w:t>kinds of milk</w:t>
            </w:r>
            <w:r w:rsidRPr="0091450A">
              <w:rPr>
                <w:rFonts w:eastAsia="Times New Roman" w:cs="Times New Roman"/>
                <w:szCs w:val="20"/>
                <w:lang w:eastAsia="en-NZ"/>
              </w:rPr>
              <w:t xml:space="preserve"> or yoghurts. This is expected to increase the price of sugary drinks by around 10%. An ad valorem excise duty of 8% applies to foods with high caloric density, defined as equal to or more than 275 calories per 100 grams. The food product categories that are affected by the tax include chips and snacks; confectionary; chocolate and </w:t>
            </w:r>
            <w:r w:rsidR="00E5276B" w:rsidRPr="0091450A">
              <w:rPr>
                <w:rFonts w:eastAsia="Times New Roman" w:cs="Times New Roman"/>
                <w:szCs w:val="20"/>
                <w:lang w:eastAsia="en-NZ"/>
              </w:rPr>
              <w:t>cacao-based</w:t>
            </w:r>
            <w:r w:rsidRPr="0091450A">
              <w:rPr>
                <w:rFonts w:eastAsia="Times New Roman" w:cs="Times New Roman"/>
                <w:szCs w:val="20"/>
                <w:lang w:eastAsia="en-NZ"/>
              </w:rPr>
              <w:t xml:space="preserve"> products; puddings; peanut and hazelnut butters. The taxes entered into force on 1 January 2014. The aim is for the revenue of taxes to be reinvested in population health, namely providing safe drinking water in schools, but there is no evidence (yet) that this is the case as the taxes are not earmarked </w:t>
            </w:r>
            <w:r w:rsidR="00F67B8F"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tools","type":"webpage"},"uris":["http://www.mendeley.com/documents/?uuid=3bff0db1-87b2-4706-95c5-a529c6224f78","http://www.mendeley.com/documents/?uuid=d45fcb80-f971-3087-8f08-e58e11e88e0a"]},{"id":"ITEM-2","itemData":{"DOI":"10.1136/bmj.h6704","ISBN":"1756-1833 (Electronic)\r0959-535X (Linking)","PMID":"26738745","author":[{"dropping-particle":"","family":"Colchero","given":"M A","non-dropping-particle":"","parse-names":false,"suffix":""},{"dropping-particle":"","family":"Popkin","given":"B M","non-dropping-particle":"","parse-names":false,"suffix":""},{"dropping-particle":"","family":"Rivera","given":"J A","non-dropping-particle":"","parse-names":false,"suffix":""},{"dropping-particle":"","family":"Ng","given":"S W","non-dropping-particle":"","parse-names":false,"suffix":""}],"container-title":"BMJ","id":"ITEM-2","issued":{"date-parts":[["2016"]]},"page":"h6704","title":"Beverage purchases from stores in Mexico under the excise tax on sugar sweetened beverages: observational study","type":"article-journal","volume":"352"},"uris":["http://www.mendeley.com/documents/?uuid=24f7c1b3-15c8-404b-8a8b-ab26f0981c24","http://www.mendeley.com/documents/?uuid=99ab3eb2-1e3c-39e8-9866-88f750abd829","http://www.mendeley.com/documents/?uuid=7f5b0ffd-0807-4818-9dff-8ed142e9cad8"]}],"mendeley":{"formattedCitation":"(76,82)","plainTextFormattedCitation":"(76,82)","previouslyFormattedCitation":"(76,82)"},"properties":{"noteIndex":0},"schema":"https://github.com/citation-style-language/schema/raw/master/csl-citation.json"}</w:instrText>
            </w:r>
            <w:r w:rsidR="00F67B8F"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(76,82)</w:t>
            </w:r>
            <w:r w:rsidR="00F67B8F" w:rsidRPr="0091450A">
              <w:rPr>
                <w:rFonts w:eastAsia="Times New Roman" w:cs="Times New Roman"/>
                <w:szCs w:val="20"/>
                <w:lang w:eastAsia="en-NZ"/>
              </w:rPr>
              <w:fldChar w:fldCharType="end"/>
            </w:r>
            <w:r w:rsidR="00F67B8F" w:rsidRPr="0091450A">
              <w:rPr>
                <w:rFonts w:eastAsia="Times New Roman" w:cs="Times New Roman"/>
                <w:szCs w:val="20"/>
                <w:lang w:eastAsia="en-NZ"/>
              </w:rPr>
              <w:t>.</w:t>
            </w:r>
          </w:p>
          <w:p w14:paraId="41DBED51" w14:textId="311CA8A5" w:rsidR="003A2BED" w:rsidRPr="0091450A" w:rsidRDefault="003A2BED" w:rsidP="002D613F">
            <w:pPr>
              <w:pStyle w:val="ListParagraph"/>
              <w:keepNext/>
              <w:numPr>
                <w:ilvl w:val="0"/>
                <w:numId w:val="59"/>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Hungary</w:t>
            </w:r>
            <w:r w:rsidR="000E462E" w:rsidRPr="0091450A">
              <w:rPr>
                <w:rFonts w:eastAsia="Times New Roman" w:cs="Times New Roman"/>
                <w:szCs w:val="20"/>
                <w:lang w:eastAsia="en-NZ"/>
              </w:rPr>
              <w:t>:  A ‘public health tax’</w:t>
            </w:r>
            <w:r w:rsidRPr="0091450A">
              <w:rPr>
                <w:rFonts w:eastAsia="Times New Roman" w:cs="Times New Roman"/>
                <w:szCs w:val="20"/>
                <w:lang w:eastAsia="en-NZ"/>
              </w:rPr>
              <w:t xml:space="preserve"> adopted in 2012 is applied on the salt, sugar and caffeine content of various categories of ready-to-eat foods, including soft drinks (both sugar- and </w:t>
            </w:r>
            <w:r w:rsidR="00E5276B" w:rsidRPr="0091450A">
              <w:rPr>
                <w:rFonts w:eastAsia="Times New Roman" w:cs="Times New Roman"/>
                <w:szCs w:val="20"/>
                <w:lang w:eastAsia="en-NZ"/>
              </w:rPr>
              <w:t>artificially sweetened</w:t>
            </w:r>
            <w:r w:rsidRPr="0091450A">
              <w:rPr>
                <w:rFonts w:eastAsia="Times New Roman" w:cs="Times New Roman"/>
                <w:szCs w:val="20"/>
                <w:lang w:eastAsia="en-NZ"/>
              </w:rPr>
              <w:t>), energy drinks and pre-packaged sugar-sweetened products. The tax is applied at varying rates. Soft drinks, for example, are taxed at $0.24 per litre and ot</w:t>
            </w:r>
            <w:r w:rsidR="00404280" w:rsidRPr="0091450A">
              <w:rPr>
                <w:rFonts w:eastAsia="Times New Roman" w:cs="Times New Roman"/>
                <w:szCs w:val="20"/>
                <w:lang w:eastAsia="en-NZ"/>
              </w:rPr>
              <w:t>her sweetened products at $0.47/</w:t>
            </w:r>
            <w:r w:rsidRPr="0091450A">
              <w:rPr>
                <w:rFonts w:eastAsia="Times New Roman" w:cs="Times New Roman"/>
                <w:szCs w:val="20"/>
                <w:lang w:eastAsia="en-NZ"/>
              </w:rPr>
              <w:t>litre. The tax also applies to products high in salt, inclu</w:t>
            </w:r>
            <w:r w:rsidR="00404280" w:rsidRPr="0091450A">
              <w:rPr>
                <w:rFonts w:eastAsia="Times New Roman" w:cs="Times New Roman"/>
                <w:szCs w:val="20"/>
                <w:lang w:eastAsia="en-NZ"/>
              </w:rPr>
              <w:t>ding salty snacks with &gt;1g salt/100g, condiments with &gt;5g salt/100g and flavourings &gt;15g salt/</w:t>
            </w:r>
            <w:r w:rsidRPr="0091450A">
              <w:rPr>
                <w:rFonts w:eastAsia="Times New Roman" w:cs="Times New Roman"/>
                <w:szCs w:val="20"/>
                <w:lang w:eastAsia="en-NZ"/>
              </w:rPr>
              <w:t xml:space="preserve">100g </w:t>
            </w:r>
            <w:r w:rsidR="009F044F"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{"citationItems":[{"id":"ITEM-1","itemData":{"author":[{"dropping-particle":"","family":"Biro","given":"A","non-dropping-particle":"","parse-names":false,"suffix":""}],"container-title":"Food Policy","id":"ITEM-1","issued":{"date-parts":[["2015"]]},"page":"107-115","title":"Did the junk food tax make the Hungarians eat healthier?","type":"article-journal","volume":"54"},"uris":["http://www.mendeley.com/documents/?uuid=1992b042-167a-363c-be2f-02c2e4eb22af","http://www.mendeley.com/documents/?uuid=d5045707-dba0-4fac-b8aa-5069c4e32072"]},{"id":"ITEM-2","itemData":{"URL":"http://www.wcrf.org/int/policy/nourishing-framework/use-economic-tools","author":[{"dropping-particle":"","family":"World Cancer Research Fund","given":"","non-dropping-particle":"","parse-names":false,"suffix":""}],"id":"ITEM-2","issue":"22/02/2016","issued":{"date-parts":[["2016"]]},"title":"NOURISHING Framework - Use economic tools","type":"webpage"},"uris":["http://www.mendeley.com/documents/?uuid=3bff0db1-87b2-4706-95c5-a529c6224f78","http://www.mendeley.com/documents/?uuid=d45fcb80-f971-3087-8f08-e58e11e88e0a"]},{"id":"ITEM-3","itemData":{"DOI":"10.1136/bmj.h6704","ISBN":"1756-1833 (Electronic)\r0959-535X (Linking)","PMID":"26738745","author":[{"dropping-particle":"","family":"Colchero","given":"M A","non-dropping-particle":"","parse-names":false,"suffix":""},{"dropping-particle":"","family":"Popkin","given":"B M","non-dropping-particle":"","parse-names":false,"suffix":""},{"dropping-particle":"","family":"Rivera","given":"J A","non-dropping-particle":"","parse-names":false,"suffix":""},{"dropping-particle":"","family":"Ng","given":"S W","non-dropping-particle":"","parse-names":false,"suffix":""}],"container-title":"BMJ","id":"ITEM-3","issued":{"date-parts":[["2016"]]},"page":"h6704","title":"Beverage purchases from stores in Mexico under the excise tax on sugar sweetened beverages: observational study","type":"article-journal","volume":"352"},"uris":["http://www.mendeley.com/documents/?uuid=24f7c1b3-15c8-404b-8a8b-ab26f0981c24","http://www.mendeley.com/documents/?uuid=99ab3eb2-1e3c-39e8-9866-88f750abd829","http://www.mendeley.com/documents/?uuid=c80ca54f-99c8-40be-9512-9625b97c9f92"]}],"mendeley":{"formattedCitation":"(76,82,83)","manualFormatting":"(71,77)","plainTextFormattedCitation":"(76,82,83)","previouslyFormattedCitation":"(76,82,83)"},"properties":{"noteIndex":0},"schema":"https://github.com/citation-style-language/schema/raw/master/csl-citation.json"}</w:instrText>
            </w:r>
            <w:r w:rsidR="009F044F" w:rsidRPr="0091450A">
              <w:rPr>
                <w:rFonts w:eastAsia="Times New Roman" w:cs="Times New Roman"/>
                <w:szCs w:val="20"/>
                <w:lang w:eastAsia="en-NZ"/>
              </w:rPr>
              <w:fldChar w:fldCharType="separate"/>
            </w:r>
            <w:r w:rsidR="003E6C9F" w:rsidRPr="0091450A">
              <w:rPr>
                <w:rFonts w:eastAsia="Times New Roman" w:cs="Times New Roman"/>
                <w:noProof/>
                <w:szCs w:val="20"/>
                <w:lang w:eastAsia="en-NZ"/>
              </w:rPr>
              <w:t>(71,77)</w:t>
            </w:r>
            <w:r w:rsidR="009F044F" w:rsidRPr="0091450A">
              <w:rPr>
                <w:rFonts w:eastAsia="Times New Roman" w:cs="Times New Roman"/>
                <w:szCs w:val="20"/>
                <w:lang w:eastAsia="en-NZ"/>
              </w:rPr>
              <w:fldChar w:fldCharType="end"/>
            </w:r>
            <w:r w:rsidR="009F044F" w:rsidRPr="0091450A">
              <w:rPr>
                <w:rFonts w:eastAsia="Times New Roman" w:cs="Times New Roman"/>
                <w:szCs w:val="20"/>
                <w:lang w:eastAsia="en-NZ"/>
              </w:rPr>
              <w:t>.</w:t>
            </w:r>
          </w:p>
          <w:p w14:paraId="609A0A82" w14:textId="436CAAB5" w:rsidR="003A2BED" w:rsidRPr="0091450A" w:rsidRDefault="003A2BED" w:rsidP="002D613F">
            <w:pPr>
              <w:pStyle w:val="ListParagraph"/>
              <w:keepNext/>
              <w:numPr>
                <w:ilvl w:val="0"/>
                <w:numId w:val="59"/>
              </w:numPr>
              <w:spacing w:before="40" w:after="40"/>
              <w:ind w:left="284" w:hanging="284"/>
              <w:contextualSpacing w:val="0"/>
              <w:rPr>
                <w:rFonts w:eastAsia="Times New Roman" w:cs="Times New Roman"/>
                <w:lang w:eastAsia="en-NZ"/>
              </w:rPr>
            </w:pPr>
            <w:r w:rsidRPr="0091450A">
              <w:rPr>
                <w:rFonts w:eastAsia="Times New Roman" w:cs="Times New Roman"/>
                <w:b/>
                <w:szCs w:val="20"/>
                <w:lang w:eastAsia="en-NZ"/>
              </w:rPr>
              <w:t>French Polynesia</w:t>
            </w:r>
            <w:r w:rsidRPr="0091450A">
              <w:rPr>
                <w:rFonts w:eastAsia="Times New Roman" w:cs="Times New Roman"/>
                <w:szCs w:val="20"/>
                <w:lang w:eastAsia="en-NZ"/>
              </w:rPr>
              <w:t xml:space="preserve">: Various food and beverage taxes have been in place since 2002 to discourage </w:t>
            </w:r>
            <w:r w:rsidR="006F7072" w:rsidRPr="0091450A">
              <w:rPr>
                <w:rFonts w:eastAsia="Times New Roman" w:cs="Times New Roman"/>
                <w:szCs w:val="20"/>
                <w:lang w:eastAsia="en-NZ"/>
              </w:rPr>
              <w:t xml:space="preserve">consumption and raise revenue </w:t>
            </w:r>
            <w:r w:rsidR="00404280" w:rsidRPr="0091450A">
              <w:rPr>
                <w:rFonts w:eastAsia="Times New Roman" w:cs="Times New Roman"/>
                <w:szCs w:val="20"/>
                <w:lang w:eastAsia="en-NZ"/>
              </w:rPr>
              <w:t>(</w:t>
            </w:r>
            <w:r w:rsidR="00BE5B01" w:rsidRPr="0091450A">
              <w:rPr>
                <w:rFonts w:eastAsia="Times New Roman" w:cs="Times New Roman"/>
                <w:szCs w:val="20"/>
                <w:lang w:eastAsia="en-NZ"/>
              </w:rPr>
              <w:t>e.g.</w:t>
            </w:r>
            <w:r w:rsidRPr="0091450A">
              <w:rPr>
                <w:rFonts w:eastAsia="Times New Roman" w:cs="Times New Roman"/>
                <w:szCs w:val="20"/>
                <w:lang w:eastAsia="en-NZ"/>
              </w:rPr>
              <w:t xml:space="preserve"> domestic excise duty on sweetened drinks and beer; import tax on sweetened drinks, beer and confectionery; tax on ice cream</w:t>
            </w:r>
            <w:r w:rsidR="00404280" w:rsidRPr="0091450A">
              <w:rPr>
                <w:rFonts w:eastAsia="Times New Roman" w:cs="Times New Roman"/>
                <w:szCs w:val="20"/>
                <w:lang w:eastAsia="en-NZ"/>
              </w:rPr>
              <w:t>)</w:t>
            </w:r>
            <w:r w:rsidRPr="0091450A">
              <w:rPr>
                <w:rFonts w:eastAsia="Times New Roman" w:cs="Times New Roman"/>
                <w:szCs w:val="20"/>
                <w:lang w:eastAsia="en-NZ"/>
              </w:rPr>
              <w:t>. Between 2002 and 2006, tax revenue</w:t>
            </w:r>
            <w:r w:rsidR="00404280" w:rsidRPr="0091450A">
              <w:rPr>
                <w:rFonts w:eastAsia="Times New Roman" w:cs="Times New Roman"/>
                <w:szCs w:val="20"/>
                <w:lang w:eastAsia="en-NZ"/>
              </w:rPr>
              <w:t>s</w:t>
            </w:r>
            <w:r w:rsidRPr="0091450A">
              <w:rPr>
                <w:rFonts w:eastAsia="Times New Roman" w:cs="Times New Roman"/>
                <w:szCs w:val="20"/>
                <w:lang w:eastAsia="en-NZ"/>
              </w:rPr>
              <w:t xml:space="preserve"> went to a preventive health fund; from 2006, 80% has been allocated to the general budget and earmarked for health. The tax is 40 CFP (around $0.44) per litre on domestically-produced sweet drinks, and 60 CFP (around $0.68) per litre on imported sweet drinks </w:t>
            </w:r>
            <w:r w:rsidR="008B714C"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8B714C"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8B714C" w:rsidRPr="0091450A">
              <w:rPr>
                <w:rFonts w:eastAsia="Times New Roman" w:cs="Times New Roman"/>
                <w:szCs w:val="20"/>
                <w:lang w:eastAsia="en-NZ"/>
              </w:rPr>
              <w:fldChar w:fldCharType="end"/>
            </w:r>
            <w:r w:rsidR="008B714C" w:rsidRPr="0091450A">
              <w:rPr>
                <w:rFonts w:eastAsia="Times New Roman" w:cs="Times New Roman"/>
                <w:szCs w:val="20"/>
                <w:lang w:eastAsia="en-NZ"/>
              </w:rPr>
              <w:t>.</w:t>
            </w:r>
            <w:r w:rsidRPr="0091450A">
              <w:rPr>
                <w:rFonts w:eastAsia="Times New Roman" w:cs="Times New Roman"/>
                <w:szCs w:val="20"/>
                <w:lang w:eastAsia="en-NZ"/>
              </w:rPr>
              <w:t xml:space="preserve"> </w:t>
            </w:r>
          </w:p>
          <w:p w14:paraId="22762CBD" w14:textId="08773B09" w:rsidR="00D3556A" w:rsidRPr="00A04D07" w:rsidRDefault="003A2BED" w:rsidP="00A04D07">
            <w:pPr>
              <w:pStyle w:val="ListParagraph"/>
              <w:keepNext/>
              <w:numPr>
                <w:ilvl w:val="0"/>
                <w:numId w:val="59"/>
              </w:numPr>
              <w:spacing w:before="40" w:after="40"/>
              <w:ind w:left="284" w:hanging="284"/>
              <w:contextualSpacing w:val="0"/>
              <w:rPr>
                <w:rFonts w:eastAsia="Times New Roman" w:cs="Times New Roman"/>
                <w:szCs w:val="20"/>
                <w:lang w:eastAsia="en-NZ"/>
              </w:rPr>
            </w:pPr>
            <w:r w:rsidRPr="00A04D07">
              <w:rPr>
                <w:rFonts w:eastAsia="Times New Roman" w:cs="Times New Roman"/>
                <w:b/>
                <w:szCs w:val="20"/>
                <w:lang w:eastAsia="en-NZ"/>
              </w:rPr>
              <w:t>UK</w:t>
            </w:r>
            <w:r w:rsidRPr="00A04D07">
              <w:rPr>
                <w:rFonts w:eastAsia="Times New Roman" w:cs="Times New Roman"/>
                <w:szCs w:val="20"/>
                <w:lang w:eastAsia="en-NZ"/>
              </w:rPr>
              <w:t>:</w:t>
            </w:r>
            <w:r w:rsidR="007637D3" w:rsidRPr="00D9647F">
              <w:rPr>
                <w:rFonts w:eastAsia="Times New Roman" w:cs="Times New Roman"/>
                <w:szCs w:val="20"/>
                <w:lang w:eastAsia="en-NZ"/>
              </w:rPr>
              <w:t xml:space="preserve"> In April 2018 the UK government’s Soft Drinks Industry Levy</w:t>
            </w:r>
            <w:r w:rsidR="008A08C2">
              <w:rPr>
                <w:rFonts w:eastAsia="Times New Roman" w:cs="Times New Roman"/>
                <w:szCs w:val="20"/>
                <w:lang w:eastAsia="en-NZ"/>
              </w:rPr>
              <w:t xml:space="preserve"> (SDIL)</w:t>
            </w:r>
            <w:r w:rsidR="007637D3" w:rsidRPr="00D9647F">
              <w:rPr>
                <w:rFonts w:eastAsia="Times New Roman" w:cs="Times New Roman"/>
                <w:szCs w:val="20"/>
                <w:lang w:eastAsia="en-NZ"/>
              </w:rPr>
              <w:t xml:space="preserve"> came into force (as outlined in the Finance Act 2017). The Soft Drink Industry Levy applies to any pre-packaged soft drink with added sugar, containing at least 5g of total sugars per 100mL of prepared drink. Soft drinks that have a total sugar content of more than 5g and less than 8g per 100mL are taxed 0.18 British pounds ($0.25) per litre and drinks that have a total sugar content of 8g or more per 100mL are taxed 0.24 British pounds ($0.34) per litre. Milk-based drinks, milk substitute drinks, pure fruit juices, or any other drinks with no added sugar, alcohol substitute drinks, and soft drinks of a specified description which are for use for medicinal or other specified purposes are exempt from the levy</w:t>
            </w:r>
            <w:r w:rsidR="001B14AC">
              <w:rPr>
                <w:rFonts w:eastAsia="Times New Roman" w:cs="Times New Roman"/>
                <w:szCs w:val="20"/>
                <w:lang w:eastAsia="en-NZ"/>
              </w:rPr>
              <w:t xml:space="preserve"> </w:t>
            </w:r>
            <w:r w:rsidR="001B14AC">
              <w:rPr>
                <w:rFonts w:eastAsia="Times New Roman" w:cs="Times New Roman"/>
                <w:szCs w:val="20"/>
                <w:lang w:eastAsia="en-NZ"/>
              </w:rPr>
              <w:fldChar w:fldCharType="begin" w:fldLock="1"/>
            </w:r>
            <w:r w:rsidR="00C25661">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90a383d1-406d-370e-96f0-e635e6650f51"]}],"mendeley":{"formattedCitation":"(76)","plainTextFormattedCitation":"(76)","previouslyFormattedCitation":"(76)"},"properties":{"noteIndex":0},"schema":"https://github.com/citation-style-language/schema/raw/master/csl-citation.json"}</w:instrText>
            </w:r>
            <w:r w:rsidR="001B14AC">
              <w:rPr>
                <w:rFonts w:eastAsia="Times New Roman" w:cs="Times New Roman"/>
                <w:szCs w:val="20"/>
                <w:lang w:eastAsia="en-NZ"/>
              </w:rPr>
              <w:fldChar w:fldCharType="separate"/>
            </w:r>
            <w:r w:rsidR="001B14AC" w:rsidRPr="001B14AC">
              <w:rPr>
                <w:rFonts w:eastAsia="Times New Roman" w:cs="Times New Roman"/>
                <w:noProof/>
                <w:szCs w:val="20"/>
                <w:lang w:eastAsia="en-NZ"/>
              </w:rPr>
              <w:t>(76)</w:t>
            </w:r>
            <w:r w:rsidR="001B14AC">
              <w:rPr>
                <w:rFonts w:eastAsia="Times New Roman" w:cs="Times New Roman"/>
                <w:szCs w:val="20"/>
                <w:lang w:eastAsia="en-NZ"/>
              </w:rPr>
              <w:fldChar w:fldCharType="end"/>
            </w:r>
            <w:r w:rsidR="007637D3" w:rsidRPr="00D9647F">
              <w:rPr>
                <w:rFonts w:eastAsia="Times New Roman" w:cs="Times New Roman"/>
                <w:szCs w:val="20"/>
                <w:lang w:eastAsia="en-NZ"/>
              </w:rPr>
              <w:t xml:space="preserve">. The levy applies to soft drinks produced and packaged in the UK and soft drinks imported into the UK. Manufacturers had two years to prepare ahead of this tax coming into effect and over 50% of them </w:t>
            </w:r>
            <w:r w:rsidR="00EF5D8E" w:rsidRPr="00D9647F">
              <w:rPr>
                <w:rFonts w:eastAsia="Times New Roman" w:cs="Times New Roman"/>
                <w:szCs w:val="20"/>
                <w:lang w:eastAsia="en-NZ"/>
              </w:rPr>
              <w:t>acted</w:t>
            </w:r>
            <w:r w:rsidR="007637D3" w:rsidRPr="00D9647F">
              <w:rPr>
                <w:rFonts w:eastAsia="Times New Roman" w:cs="Times New Roman"/>
                <w:szCs w:val="20"/>
                <w:lang w:eastAsia="en-NZ"/>
              </w:rPr>
              <w:t xml:space="preserve"> to cut sugar in their products during that period. It was forecasted that, the tax would bring in £520 million in its first year of operation, but this was revised down to £275 million as a result of company efforts to remove sugar from their products</w:t>
            </w:r>
            <w:r w:rsidR="00C25661">
              <w:rPr>
                <w:rFonts w:eastAsia="Times New Roman" w:cs="Times New Roman"/>
                <w:szCs w:val="20"/>
                <w:lang w:eastAsia="en-NZ"/>
              </w:rPr>
              <w:t xml:space="preserve"> </w:t>
            </w:r>
            <w:r w:rsidR="004C06EB">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{"citationItems":[{"id":"ITEM-1","itemData":{"URL":"https://www.rathbonegreenbank.com/insight/uk-sugar-tax-one-year","accessed":{"date-parts":[["2020","2","10"]]},"author":[{"dropping-particle":"","family":"Rathbone Greenbank Investments","given":"","non-dropping-particle":"","parse-names":false,"suffix":""}],"id":"ITEM-1","issued":{"date-parts":[["2019"]]},"title":"The UK sugar tax: one year on | Rathbone Greenbank Investment","type":"webpage"},"uris":["http://www.mendeley.com/documents/?uuid=9bfddbf2-30f7-3e41-adf2-d735673fff5d"]},{"id":"ITEM-2","itemData":{"URL":"https://hansard.parliament.uk/Commons/2017-03-08/debates/9128238B-4A1C-4EEA-A6F0-6FEB0B5024D8/FinancialStatement#contribution-7B30FFC0-4B7A-4D63-8075-3C7F83EDC5","accessed":{"date-parts":[["2020","2","10"]]},"author":[{"dropping-particle":"","family":"UK Parliment","given":"","non-dropping-particle":"","parse-names":false,"suffix":""}],"id":"ITEM-2","issued":{"date-parts":[["2017"]]},"title":"Financial Statement Volume 622 - Hansard","type":"webpage"},"uris":["http://www.mendeley.com/documents/?uuid=94435f46-7af8-393c-9b24-a8a20898c4fe"]}],"mendeley":{"formattedCitation":"(84,85)","plainTextFormattedCitation":"(84,85)","previouslyFormattedCitation":"(84,85)"},"properties":{"noteIndex":0},"schema":"https://github.com/citation-style-language/schema/raw/master/csl-citation.json"}</w:instrText>
            </w:r>
            <w:r w:rsidR="004C06EB">
              <w:rPr>
                <w:rFonts w:eastAsia="Times New Roman" w:cs="Times New Roman"/>
                <w:szCs w:val="20"/>
                <w:lang w:eastAsia="en-NZ"/>
              </w:rPr>
              <w:fldChar w:fldCharType="separate"/>
            </w:r>
            <w:r w:rsidR="004C06EB" w:rsidRPr="004C06EB">
              <w:rPr>
                <w:rFonts w:eastAsia="Times New Roman" w:cs="Times New Roman"/>
                <w:noProof/>
                <w:szCs w:val="20"/>
                <w:lang w:eastAsia="en-NZ"/>
              </w:rPr>
              <w:t>(84,85)</w:t>
            </w:r>
            <w:r w:rsidR="004C06EB">
              <w:rPr>
                <w:rFonts w:eastAsia="Times New Roman" w:cs="Times New Roman"/>
                <w:szCs w:val="20"/>
                <w:lang w:eastAsia="en-NZ"/>
              </w:rPr>
              <w:fldChar w:fldCharType="end"/>
            </w:r>
            <w:r w:rsidR="007637D3" w:rsidRPr="00D9647F">
              <w:rPr>
                <w:rFonts w:eastAsia="Times New Roman" w:cs="Times New Roman"/>
                <w:szCs w:val="20"/>
                <w:lang w:eastAsia="en-NZ"/>
              </w:rPr>
              <w:t>. Data from the first full year of the tax is not yet available, but receipts from April to October 2018 totalled £154 million. It was confirmed that the Department for Education would receive the full £1 billion funding that had originally been expected from the sugar tax in this Parliament</w:t>
            </w:r>
            <w:r w:rsidR="00A04D07" w:rsidRPr="00D9647F">
              <w:rPr>
                <w:rFonts w:eastAsia="Times New Roman" w:cs="Times New Roman"/>
                <w:szCs w:val="20"/>
                <w:lang w:eastAsia="en-NZ"/>
              </w:rPr>
              <w:t>. For drinks subject to the SDIL, the average sugar content decreased by 28.8% between 2015 and 2018. The sugar sold in soft drinks subject to SDIL has decreased by 21.6%</w:t>
            </w:r>
            <w:r w:rsidR="00C25661">
              <w:rPr>
                <w:rFonts w:eastAsia="Times New Roman" w:cs="Times New Roman"/>
                <w:szCs w:val="20"/>
                <w:lang w:eastAsia="en-NZ"/>
              </w:rPr>
              <w:t xml:space="preserve"> </w:t>
            </w:r>
            <w:r w:rsidR="00C25661">
              <w:rPr>
                <w:rFonts w:eastAsia="Times New Roman" w:cs="Times New Roman"/>
                <w:szCs w:val="20"/>
                <w:lang w:eastAsia="en-NZ"/>
              </w:rPr>
              <w:fldChar w:fldCharType="begin" w:fldLock="1"/>
            </w:r>
            <w:r w:rsidR="004C06EB">
              <w:rPr>
                <w:rFonts w:eastAsia="Times New Roman" w:cs="Times New Roman"/>
                <w:szCs w:val="20"/>
                <w:lang w:eastAsia="en-NZ"/>
              </w:rPr>
              <w:instrText>ADDIN CSL_CITATION {"citationItems":[{"id":"ITEM-1","itemData":{"author":[{"dropping-particle":"","family":"Public Health England","given":"","non-dropping-particle":"","parse-names":false,"suffix":""}],"id":"ITEM-1","issued":{"date-parts":[["2019"]]},"title":"Sugar reduction. Report on progress between 2015 and 2018.","type":"report"},"uris":["http://www.mendeley.com/documents/?uuid=d052eb7d-74a5-405a-a650-a302f794ebd1"]}],"mendeley":{"formattedCitation":"(8)","plainTextFormattedCitation":"(8)","previouslyFormattedCitation":"(8)"},"properties":{"noteIndex":0},"schema":"https://github.com/citation-style-language/schema/raw/master/csl-citation.json"}</w:instrText>
            </w:r>
            <w:r w:rsidR="00C25661">
              <w:rPr>
                <w:rFonts w:eastAsia="Times New Roman" w:cs="Times New Roman"/>
                <w:szCs w:val="20"/>
                <w:lang w:eastAsia="en-NZ"/>
              </w:rPr>
              <w:fldChar w:fldCharType="separate"/>
            </w:r>
            <w:r w:rsidR="00C25661" w:rsidRPr="00C25661">
              <w:rPr>
                <w:rFonts w:eastAsia="Times New Roman" w:cs="Times New Roman"/>
                <w:noProof/>
                <w:szCs w:val="20"/>
                <w:lang w:eastAsia="en-NZ"/>
              </w:rPr>
              <w:t>(8)</w:t>
            </w:r>
            <w:r w:rsidR="00C25661">
              <w:rPr>
                <w:rFonts w:eastAsia="Times New Roman" w:cs="Times New Roman"/>
                <w:szCs w:val="20"/>
                <w:lang w:eastAsia="en-NZ"/>
              </w:rPr>
              <w:fldChar w:fldCharType="end"/>
            </w:r>
            <w:r w:rsidR="00A04D07" w:rsidRPr="00D9647F">
              <w:rPr>
                <w:rFonts w:eastAsia="Times New Roman" w:cs="Times New Roman"/>
                <w:szCs w:val="20"/>
                <w:lang w:eastAsia="en-NZ"/>
              </w:rPr>
              <w:t xml:space="preserve">. </w:t>
            </w:r>
          </w:p>
          <w:p w14:paraId="52E1A1BA" w14:textId="5B45CCD5" w:rsidR="00EF5D8E" w:rsidRPr="007159FF" w:rsidRDefault="5AC0CDEF" w:rsidP="002D613F">
            <w:pPr>
              <w:pStyle w:val="ListParagraph"/>
              <w:keepNext/>
              <w:numPr>
                <w:ilvl w:val="0"/>
                <w:numId w:val="59"/>
              </w:numPr>
              <w:spacing w:before="40" w:after="40"/>
              <w:ind w:left="284" w:hanging="284"/>
              <w:contextualSpacing w:val="0"/>
              <w:rPr>
                <w:rFonts w:eastAsia="Times New Roman" w:cs="Times New Roman"/>
                <w:lang w:eastAsia="en-NZ"/>
              </w:rPr>
            </w:pPr>
            <w:r w:rsidRPr="007159FF">
              <w:rPr>
                <w:rFonts w:eastAsia="Times New Roman" w:cs="Times New Roman"/>
                <w:b/>
                <w:bCs/>
                <w:lang w:eastAsia="en-NZ"/>
              </w:rPr>
              <w:t>Qatar:</w:t>
            </w:r>
            <w:r w:rsidRPr="007159FF">
              <w:rPr>
                <w:rFonts w:eastAsia="Times New Roman" w:cs="Times New Roman"/>
                <w:lang w:eastAsia="en-NZ"/>
              </w:rPr>
              <w:t xml:space="preserve"> In 2018, the Government of Qatar introduced Law No. (25) the ‘Qatar Excise Tax Law’ that came into effect on 1 January 2019. The Qatar Excise Tax Law introduced a 50% ad valorem tax on carbonated waters with added sugar, sweeteners or flavours, as well as concentrates, powders, gels or extracts intended to be made into a carbonated beverage. A tax rate of 100% is applied to beverages sold as energy drinks that contain stimulant substances (e.g. caffeine, taurine, ginseng, guarana). Carbonated non-flavoured waters, coffee and tea are excluded from the excise tax. The excise tax applies to all imported, produced or stockpiled aerated beverages (except unflavoured aerated water) and energy drinks</w:t>
            </w:r>
            <w:r w:rsidR="4A6AD59F" w:rsidRPr="007159FF">
              <w:rPr>
                <w:rFonts w:eastAsia="Times New Roman" w:cs="Times New Roman"/>
                <w:lang w:eastAsia="en-NZ"/>
              </w:rPr>
              <w:t xml:space="preserve"> </w:t>
            </w:r>
            <w:r w:rsidR="005D717A" w:rsidRPr="007159FF">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005D717A" w:rsidRPr="007159FF">
              <w:rPr>
                <w:rFonts w:eastAsia="Times New Roman" w:cs="Times New Roman"/>
                <w:szCs w:val="20"/>
                <w:lang w:eastAsia="en-NZ"/>
              </w:rPr>
              <w:fldChar w:fldCharType="separate"/>
            </w:r>
            <w:r w:rsidR="00A90C92" w:rsidRPr="00A90C92">
              <w:rPr>
                <w:rFonts w:eastAsia="Times New Roman" w:cs="Times New Roman"/>
                <w:noProof/>
                <w:szCs w:val="20"/>
                <w:lang w:eastAsia="en-NZ"/>
              </w:rPr>
              <w:t>(31)</w:t>
            </w:r>
            <w:r w:rsidR="005D717A" w:rsidRPr="007159FF">
              <w:rPr>
                <w:rFonts w:eastAsia="Times New Roman" w:cs="Times New Roman"/>
                <w:szCs w:val="20"/>
                <w:lang w:eastAsia="en-NZ"/>
              </w:rPr>
              <w:fldChar w:fldCharType="end"/>
            </w:r>
            <w:r w:rsidR="005D717A" w:rsidRPr="007159FF">
              <w:rPr>
                <w:rFonts w:eastAsia="Times New Roman" w:cs="Times New Roman"/>
                <w:szCs w:val="20"/>
                <w:lang w:eastAsia="en-NZ"/>
              </w:rPr>
              <w:t xml:space="preserve">. </w:t>
            </w:r>
          </w:p>
          <w:p w14:paraId="0505DE19" w14:textId="47F2E027" w:rsidR="006C19D1" w:rsidRPr="0091450A" w:rsidRDefault="006C19D1" w:rsidP="007159FF">
            <w:pPr>
              <w:pStyle w:val="ListParagraph"/>
              <w:keepNext/>
              <w:numPr>
                <w:ilvl w:val="0"/>
                <w:numId w:val="59"/>
              </w:numPr>
              <w:spacing w:before="40" w:after="40"/>
              <w:ind w:left="284" w:hanging="284"/>
              <w:contextualSpacing w:val="0"/>
              <w:rPr>
                <w:lang w:eastAsia="en-NZ"/>
              </w:rPr>
            </w:pPr>
            <w:r w:rsidRPr="007159FF">
              <w:rPr>
                <w:b/>
                <w:lang w:eastAsia="en-NZ"/>
              </w:rPr>
              <w:t>South Africa</w:t>
            </w:r>
            <w:r w:rsidRPr="00EF5D8E">
              <w:rPr>
                <w:b/>
                <w:lang w:eastAsia="en-NZ"/>
              </w:rPr>
              <w:t>:</w:t>
            </w:r>
            <w:r w:rsidRPr="0091450A">
              <w:rPr>
                <w:lang w:eastAsia="en-NZ"/>
              </w:rPr>
              <w:t xml:space="preserve"> In December 2017, the South African government passed the Rates and Monetary Amounts and Amendment of Revenue Laws Act 2017 - Act No. 14 which introduced a Sugary Beverages Levy. The Levy is fixed at 2.1 cents ($0.17) per gram of sugar content in a sugary beverage that exceeds 4g per 100mL. The first 4g of sugar content in sugary beverages are not subject to Levy. Sugary beverages include mineral waters and aerated waters, containing added sugar or other </w:t>
            </w:r>
            <w:r w:rsidR="4A6AD59F" w:rsidRPr="0091450A">
              <w:rPr>
                <w:lang w:eastAsia="en-NZ"/>
              </w:rPr>
              <w:t>sweeteners</w:t>
            </w:r>
            <w:r w:rsidRPr="0091450A">
              <w:rPr>
                <w:lang w:eastAsia="en-NZ"/>
              </w:rPr>
              <w:t xml:space="preserve"> or flavours, and other non-alcoholic beverages (excluding fruit or vegetable juices</w:t>
            </w:r>
            <w:r w:rsidR="005D717A" w:rsidRPr="0091450A">
              <w:rPr>
                <w:lang w:eastAsia="en-NZ"/>
              </w:rPr>
              <w:t xml:space="preserve">) </w:t>
            </w:r>
            <w:r w:rsidR="005D717A" w:rsidRPr="00FE41D4">
              <w:rPr>
                <w:rFonts w:eastAsia="Times New Roman" w:cs="Times New Roman"/>
                <w:lang w:eastAsia="en-NZ"/>
              </w:rPr>
              <w:fldChar w:fldCharType="begin" w:fldLock="1"/>
            </w:r>
            <w:r w:rsidR="002B6CB8" w:rsidRPr="00EF5D8E">
              <w:rPr>
                <w:rFonts w:eastAsia="Times New Roman" w:cs="Times New Roman"/>
                <w:lang w:eastAsia="en-NZ"/>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005D717A" w:rsidRPr="00FE41D4">
              <w:rPr>
                <w:rFonts w:eastAsia="Times New Roman" w:cs="Times New Roman"/>
                <w:lang w:eastAsia="en-NZ"/>
              </w:rPr>
              <w:fldChar w:fldCharType="separate"/>
            </w:r>
            <w:r w:rsidR="00A90C92" w:rsidRPr="00EF5D8E">
              <w:rPr>
                <w:rFonts w:eastAsia="Times New Roman" w:cs="Times New Roman"/>
                <w:noProof/>
                <w:lang w:eastAsia="en-NZ"/>
              </w:rPr>
              <w:t>(31)</w:t>
            </w:r>
            <w:r w:rsidR="005D717A" w:rsidRPr="00FE41D4">
              <w:rPr>
                <w:rFonts w:eastAsia="Times New Roman" w:cs="Times New Roman"/>
                <w:lang w:eastAsia="en-NZ"/>
              </w:rPr>
              <w:fldChar w:fldCharType="end"/>
            </w:r>
            <w:r w:rsidR="005D717A" w:rsidRPr="00EF5D8E">
              <w:rPr>
                <w:rFonts w:eastAsia="Times New Roman" w:cs="Times New Roman"/>
                <w:lang w:eastAsia="en-NZ"/>
              </w:rPr>
              <w:t xml:space="preserve">. </w:t>
            </w:r>
            <w:r w:rsidR="005D717A" w:rsidRPr="00EF5D8E">
              <w:rPr>
                <w:rFonts w:ascii="Franklin Gothic Book" w:hAnsi="Franklin Gothic Book"/>
                <w:i/>
                <w:iCs/>
                <w:color w:val="292929"/>
              </w:rPr>
              <w:t xml:space="preserve"> </w:t>
            </w:r>
          </w:p>
          <w:p w14:paraId="5541E74F" w14:textId="594471C1" w:rsidR="006C19D1" w:rsidRPr="0091450A" w:rsidRDefault="006C19D1" w:rsidP="002D613F">
            <w:pPr>
              <w:pStyle w:val="ListParagraph"/>
              <w:keepNext/>
              <w:spacing w:before="40" w:after="40"/>
              <w:ind w:left="284"/>
              <w:contextualSpacing w:val="0"/>
              <w:rPr>
                <w:rFonts w:eastAsia="Times New Roman" w:cs="Times New Roman"/>
                <w:szCs w:val="20"/>
                <w:lang w:eastAsia="en-NZ"/>
              </w:rPr>
            </w:pPr>
          </w:p>
        </w:tc>
      </w:tr>
    </w:tbl>
    <w:p w14:paraId="48837DCB" w14:textId="15D45B95" w:rsidR="00A12941" w:rsidRDefault="00A12941" w:rsidP="002D613F">
      <w:pPr>
        <w:shd w:val="clear" w:color="auto" w:fill="FFFFFF" w:themeFill="background1"/>
        <w:spacing w:line="240" w:lineRule="auto"/>
        <w:contextualSpacing/>
        <w:rPr>
          <w:rFonts w:cs="Times New Roman"/>
          <w:b/>
          <w:color w:val="1F497D" w:themeColor="text2"/>
          <w:sz w:val="24"/>
          <w:szCs w:val="24"/>
        </w:rPr>
      </w:pPr>
    </w:p>
    <w:p w14:paraId="0ECA2AB0" w14:textId="7CD46751" w:rsidR="003C52CF" w:rsidRDefault="003C52CF" w:rsidP="002D613F">
      <w:pPr>
        <w:shd w:val="clear" w:color="auto" w:fill="FFFFFF" w:themeFill="background1"/>
        <w:spacing w:line="240" w:lineRule="auto"/>
        <w:contextualSpacing/>
        <w:rPr>
          <w:rFonts w:cs="Times New Roman"/>
          <w:b/>
          <w:color w:val="1F497D" w:themeColor="text2"/>
          <w:sz w:val="24"/>
          <w:szCs w:val="24"/>
        </w:rPr>
      </w:pPr>
    </w:p>
    <w:p w14:paraId="7B8C9644" w14:textId="5B6DBB0B" w:rsidR="003C52CF" w:rsidRDefault="003C52CF" w:rsidP="002D613F">
      <w:pPr>
        <w:shd w:val="clear" w:color="auto" w:fill="FFFFFF" w:themeFill="background1"/>
        <w:spacing w:line="240" w:lineRule="auto"/>
        <w:contextualSpacing/>
        <w:rPr>
          <w:rFonts w:cs="Times New Roman"/>
          <w:b/>
          <w:color w:val="1F497D" w:themeColor="text2"/>
          <w:sz w:val="24"/>
          <w:szCs w:val="24"/>
        </w:rPr>
      </w:pPr>
    </w:p>
    <w:p w14:paraId="1BAD7714" w14:textId="68BE0B30" w:rsidR="003C52CF" w:rsidRDefault="003C52CF" w:rsidP="002D613F">
      <w:pPr>
        <w:shd w:val="clear" w:color="auto" w:fill="FFFFFF" w:themeFill="background1"/>
        <w:spacing w:line="240" w:lineRule="auto"/>
        <w:contextualSpacing/>
        <w:rPr>
          <w:rFonts w:cs="Times New Roman"/>
          <w:b/>
          <w:color w:val="1F497D" w:themeColor="text2"/>
          <w:sz w:val="24"/>
          <w:szCs w:val="24"/>
        </w:rPr>
      </w:pPr>
    </w:p>
    <w:p w14:paraId="5DC010DE" w14:textId="77777777" w:rsidR="003C52CF" w:rsidRPr="0091450A" w:rsidRDefault="003C52CF" w:rsidP="002D613F">
      <w:pPr>
        <w:shd w:val="clear" w:color="auto" w:fill="FFFFFF" w:themeFill="background1"/>
        <w:spacing w:line="240" w:lineRule="auto"/>
        <w:contextualSpacing/>
        <w:rPr>
          <w:rFonts w:cs="Times New Roman"/>
          <w:b/>
          <w:color w:val="1F497D" w:themeColor="text2"/>
          <w:sz w:val="24"/>
          <w:szCs w:val="24"/>
        </w:rPr>
      </w:pPr>
    </w:p>
    <w:tbl>
      <w:tblPr>
        <w:tblStyle w:val="TableGrid"/>
        <w:tblW w:w="9209" w:type="dxa"/>
        <w:tblLook w:val="04A0" w:firstRow="1" w:lastRow="0" w:firstColumn="1" w:lastColumn="0" w:noHBand="0" w:noVBand="1"/>
      </w:tblPr>
      <w:tblGrid>
        <w:gridCol w:w="9209"/>
      </w:tblGrid>
      <w:tr w:rsidR="002E08DF" w:rsidRPr="0091450A" w14:paraId="2BA541E8" w14:textId="77777777" w:rsidTr="00090A17">
        <w:tc>
          <w:tcPr>
            <w:tcW w:w="9209" w:type="dxa"/>
          </w:tcPr>
          <w:p w14:paraId="777DAEBB" w14:textId="297F92D8" w:rsidR="002E08DF"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4 </w:t>
            </w:r>
            <w:r w:rsidR="002E08DF" w:rsidRPr="0091450A">
              <w:rPr>
                <w:rFonts w:cs="Times New Roman"/>
                <w:b/>
                <w:color w:val="1F497D" w:themeColor="text2"/>
                <w:sz w:val="28"/>
                <w:szCs w:val="28"/>
              </w:rPr>
              <w:t xml:space="preserve">FOOD PRICES: </w:t>
            </w:r>
            <w:r w:rsidR="00922FD6" w:rsidRPr="0091450A">
              <w:rPr>
                <w:rFonts w:cs="Times New Roman"/>
                <w:bCs/>
                <w:color w:val="000000"/>
                <w:lang w:eastAsia="en-NZ"/>
              </w:rPr>
              <w:t>Food pricing policies (</w:t>
            </w:r>
            <w:r w:rsidR="00BE5B01" w:rsidRPr="0091450A">
              <w:rPr>
                <w:rFonts w:cs="Times New Roman"/>
                <w:bCs/>
                <w:color w:val="000000"/>
                <w:lang w:eastAsia="en-NZ"/>
              </w:rPr>
              <w:t>e.g.</w:t>
            </w:r>
            <w:r w:rsidR="00922FD6" w:rsidRPr="0091450A">
              <w:rPr>
                <w:rFonts w:cs="Times New Roman"/>
                <w:bCs/>
                <w:color w:val="000000"/>
                <w:lang w:eastAsia="en-NZ"/>
              </w:rPr>
              <w:t>, taxes and subsidies) are aligned with health outcomes by helping to make the healthy eating choices the easier, cheaper choices</w:t>
            </w:r>
          </w:p>
        </w:tc>
      </w:tr>
      <w:tr w:rsidR="002E08DF" w:rsidRPr="0091450A" w14:paraId="504174EF" w14:textId="77777777" w:rsidTr="00090A17">
        <w:tc>
          <w:tcPr>
            <w:tcW w:w="9209" w:type="dxa"/>
          </w:tcPr>
          <w:p w14:paraId="7DDE326D" w14:textId="4E829DE2" w:rsidR="002E08DF" w:rsidRPr="0091450A" w:rsidRDefault="00F86A73" w:rsidP="002D613F">
            <w:pPr>
              <w:spacing w:before="40" w:after="40"/>
              <w:rPr>
                <w:rFonts w:cs="Times New Roman"/>
                <w:b/>
                <w:color w:val="1F497D" w:themeColor="text2"/>
                <w:sz w:val="28"/>
                <w:szCs w:val="28"/>
              </w:rPr>
            </w:pPr>
            <w:bookmarkStart w:id="30" w:name="_Toc31623728"/>
            <w:r w:rsidRPr="0091450A">
              <w:rPr>
                <w:rStyle w:val="Heading3Char"/>
              </w:rPr>
              <w:t>PRICES3</w:t>
            </w:r>
            <w:bookmarkEnd w:id="30"/>
            <w:r w:rsidR="002E08DF" w:rsidRPr="0091450A">
              <w:rPr>
                <w:rFonts w:cs="Times New Roman"/>
                <w:b/>
                <w:color w:val="1F497D" w:themeColor="text2"/>
                <w:sz w:val="28"/>
                <w:szCs w:val="28"/>
              </w:rPr>
              <w:t xml:space="preserve">: </w:t>
            </w:r>
            <w:r w:rsidR="00922FD6" w:rsidRPr="0091450A">
              <w:rPr>
                <w:rFonts w:cs="Times New Roman"/>
                <w:b/>
                <w:color w:val="000000"/>
                <w:lang w:eastAsia="en-NZ"/>
              </w:rPr>
              <w:t>The intent of existing subsidies on foods, including in</w:t>
            </w:r>
            <w:r w:rsidR="006F7072" w:rsidRPr="0091450A">
              <w:rPr>
                <w:rFonts w:cs="Times New Roman"/>
                <w:b/>
                <w:color w:val="000000"/>
                <w:lang w:eastAsia="en-NZ"/>
              </w:rPr>
              <w:t>frastructure funding support (</w:t>
            </w:r>
            <w:r w:rsidR="00BE5B01" w:rsidRPr="0091450A">
              <w:rPr>
                <w:rFonts w:cs="Times New Roman"/>
                <w:b/>
                <w:color w:val="000000"/>
                <w:lang w:eastAsia="en-NZ"/>
              </w:rPr>
              <w:t>e.g.</w:t>
            </w:r>
            <w:r w:rsidR="00922FD6" w:rsidRPr="0091450A">
              <w:rPr>
                <w:rFonts w:cs="Times New Roman"/>
                <w:b/>
                <w:color w:val="000000"/>
                <w:lang w:eastAsia="en-NZ"/>
              </w:rPr>
              <w:t xml:space="preserve"> research and development, supporting markets or transport systems), is to favour healthy rather than unhealthy foods</w:t>
            </w:r>
          </w:p>
        </w:tc>
      </w:tr>
      <w:tr w:rsidR="002E08DF" w:rsidRPr="0091450A" w14:paraId="15EEEEBF" w14:textId="77777777" w:rsidTr="00090A17">
        <w:tc>
          <w:tcPr>
            <w:tcW w:w="9209" w:type="dxa"/>
          </w:tcPr>
          <w:p w14:paraId="23343633" w14:textId="007DF376"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19B3036E" w14:textId="6D9EFFDB" w:rsidR="00254A11" w:rsidRPr="0091450A" w:rsidRDefault="00254A11" w:rsidP="002D613F">
            <w:pPr>
              <w:pStyle w:val="ListParagraph"/>
              <w:numPr>
                <w:ilvl w:val="0"/>
                <w:numId w:val="25"/>
              </w:numPr>
              <w:shd w:val="clear" w:color="auto" w:fill="FFFFFF" w:themeFill="background1"/>
              <w:spacing w:before="40" w:after="40"/>
              <w:ind w:left="284" w:hanging="284"/>
              <w:contextualSpacing w:val="0"/>
              <w:rPr>
                <w:rFonts w:cs="Times New Roman"/>
                <w:szCs w:val="20"/>
              </w:rPr>
            </w:pPr>
            <w:r w:rsidRPr="0091450A">
              <w:rPr>
                <w:rFonts w:cs="Times New Roman"/>
                <w:szCs w:val="20"/>
              </w:rPr>
              <w:t>Su</w:t>
            </w:r>
            <w:r w:rsidR="00404280" w:rsidRPr="0091450A">
              <w:rPr>
                <w:rFonts w:cs="Times New Roman"/>
                <w:szCs w:val="20"/>
              </w:rPr>
              <w:t>bsidies on foods in New Zealand</w:t>
            </w:r>
            <w:r w:rsidRPr="0091450A">
              <w:rPr>
                <w:rFonts w:cs="Times New Roman"/>
                <w:szCs w:val="20"/>
              </w:rPr>
              <w:t xml:space="preserve"> are </w:t>
            </w:r>
            <w:r w:rsidR="000E36DF" w:rsidRPr="0091450A">
              <w:rPr>
                <w:rFonts w:cs="Times New Roman"/>
                <w:szCs w:val="20"/>
              </w:rPr>
              <w:t xml:space="preserve">quite </w:t>
            </w:r>
            <w:r w:rsidR="00867C03" w:rsidRPr="0091450A">
              <w:rPr>
                <w:rFonts w:cs="Times New Roman"/>
                <w:szCs w:val="20"/>
              </w:rPr>
              <w:t>small</w:t>
            </w:r>
            <w:r w:rsidR="00404280" w:rsidRPr="0091450A">
              <w:rPr>
                <w:rFonts w:cs="Times New Roman"/>
                <w:szCs w:val="20"/>
              </w:rPr>
              <w:t xml:space="preserve"> compared to other countries (</w:t>
            </w:r>
            <w:r w:rsidR="00A94A0A" w:rsidRPr="0091450A">
              <w:rPr>
                <w:rFonts w:cs="Times New Roman"/>
                <w:szCs w:val="20"/>
              </w:rPr>
              <w:t>e.g.</w:t>
            </w:r>
            <w:r w:rsidR="00404280" w:rsidRPr="0091450A">
              <w:rPr>
                <w:rFonts w:cs="Times New Roman"/>
                <w:szCs w:val="20"/>
              </w:rPr>
              <w:t xml:space="preserve"> agricultural subsidies in the US)</w:t>
            </w:r>
            <w:r w:rsidR="00867C03" w:rsidRPr="0091450A">
              <w:rPr>
                <w:rFonts w:cs="Times New Roman"/>
                <w:szCs w:val="20"/>
              </w:rPr>
              <w:t xml:space="preserve">. </w:t>
            </w:r>
          </w:p>
          <w:p w14:paraId="5DDD83B4" w14:textId="72C33251" w:rsidR="009B77C2" w:rsidRPr="0091450A" w:rsidRDefault="2EED30C6" w:rsidP="002D613F">
            <w:pPr>
              <w:pStyle w:val="ListParagraph"/>
              <w:numPr>
                <w:ilvl w:val="0"/>
                <w:numId w:val="25"/>
              </w:numPr>
              <w:shd w:val="clear" w:color="auto" w:fill="FFFFFF" w:themeFill="background1"/>
              <w:spacing w:before="40" w:after="40"/>
              <w:ind w:left="284" w:hanging="284"/>
              <w:contextualSpacing w:val="0"/>
              <w:rPr>
                <w:rFonts w:cs="Times New Roman"/>
                <w:color w:val="000000"/>
                <w:szCs w:val="20"/>
                <w:lang w:eastAsia="en-NZ"/>
              </w:rPr>
            </w:pPr>
            <w:r w:rsidRPr="0091450A">
              <w:rPr>
                <w:rFonts w:cs="Times New Roman"/>
                <w:color w:val="000000" w:themeColor="text1"/>
                <w:szCs w:val="20"/>
                <w:lang w:eastAsia="en-NZ"/>
              </w:rPr>
              <w:t xml:space="preserve">Councils can approve and encourage applications for farmers markets on Council owned land, remove any stall fees and charges at farmers markets, regional councils can ensure appropriate transport links are available to markets and other fruit and vegetable outlets, cycle pathways, lighting etc. for night markets (personal communication, Public Health Service Tauranga, 2017). Councils usually support farmers markets by land allocation and bus routes. Support for farmers markets is quite common by NZ Councils. </w:t>
            </w:r>
          </w:p>
          <w:p w14:paraId="1CABAE02" w14:textId="77777777" w:rsidR="009F2834" w:rsidRPr="0091450A" w:rsidRDefault="00AA7356" w:rsidP="002D613F">
            <w:pPr>
              <w:shd w:val="clear" w:color="auto" w:fill="FFFFFF" w:themeFill="background1"/>
              <w:spacing w:before="40" w:after="40"/>
              <w:ind w:left="284" w:hanging="284"/>
              <w:rPr>
                <w:rFonts w:cs="Times New Roman"/>
                <w:b/>
                <w:color w:val="1F497D" w:themeColor="text2"/>
                <w:szCs w:val="20"/>
              </w:rPr>
            </w:pPr>
            <w:r w:rsidRPr="0091450A">
              <w:rPr>
                <w:rFonts w:cs="Times New Roman"/>
                <w:b/>
                <w:color w:val="1F497D" w:themeColor="text2"/>
                <w:szCs w:val="20"/>
              </w:rPr>
              <w:t xml:space="preserve"> </w:t>
            </w:r>
          </w:p>
          <w:p w14:paraId="7AF1A212" w14:textId="132CEB96"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46A3D353" w14:textId="77ED1F2A" w:rsidR="003A2BED" w:rsidRPr="0091450A" w:rsidRDefault="003A2BED" w:rsidP="002D613F">
            <w:pPr>
              <w:pStyle w:val="ListParagraph"/>
              <w:numPr>
                <w:ilvl w:val="0"/>
                <w:numId w:val="60"/>
              </w:numPr>
              <w:shd w:val="clear" w:color="auto" w:fill="FFFFFF" w:themeFill="background1"/>
              <w:spacing w:before="40" w:after="40"/>
              <w:ind w:left="284" w:hanging="284"/>
              <w:contextualSpacing w:val="0"/>
              <w:rPr>
                <w:rFonts w:cs="Times New Roman"/>
                <w:b/>
                <w:color w:val="000000"/>
                <w:szCs w:val="20"/>
                <w:lang w:eastAsia="en-NZ"/>
              </w:rPr>
            </w:pPr>
            <w:r w:rsidRPr="0091450A">
              <w:rPr>
                <w:rFonts w:eastAsia="Times New Roman" w:cs="Times New Roman"/>
                <w:b/>
                <w:szCs w:val="20"/>
                <w:lang w:eastAsia="en-NZ"/>
              </w:rPr>
              <w:t>Singapore</w:t>
            </w:r>
            <w:r w:rsidRPr="0091450A">
              <w:rPr>
                <w:rFonts w:eastAsia="Times New Roman" w:cs="Times New Roman"/>
                <w:szCs w:val="20"/>
                <w:lang w:eastAsia="en-NZ"/>
              </w:rPr>
              <w:t xml:space="preserve">: The government, through the Health Promotion Board (HPB) increases the availability and use of healthier ingredients through the </w:t>
            </w:r>
            <w:r w:rsidR="00F13595" w:rsidRPr="0091450A">
              <w:rPr>
                <w:rFonts w:eastAsia="Times New Roman" w:cs="Times New Roman"/>
                <w:szCs w:val="20"/>
                <w:lang w:eastAsia="en-NZ"/>
              </w:rPr>
              <w:t>‘</w:t>
            </w:r>
            <w:r w:rsidRPr="0091450A">
              <w:rPr>
                <w:rFonts w:eastAsia="Times New Roman" w:cs="Times New Roman"/>
                <w:szCs w:val="20"/>
                <w:lang w:eastAsia="en-NZ"/>
              </w:rPr>
              <w:t>Healthier Ingredient Scheme</w:t>
            </w:r>
            <w:r w:rsidR="00F13595" w:rsidRPr="0091450A">
              <w:rPr>
                <w:rFonts w:eastAsia="Times New Roman" w:cs="Times New Roman"/>
                <w:szCs w:val="20"/>
                <w:lang w:eastAsia="en-NZ"/>
              </w:rPr>
              <w:t>’</w:t>
            </w:r>
            <w:r w:rsidRPr="0091450A">
              <w:rPr>
                <w:rFonts w:eastAsia="Times New Roman" w:cs="Times New Roman"/>
                <w:szCs w:val="20"/>
                <w:lang w:eastAsia="en-NZ"/>
              </w:rPr>
              <w:t xml:space="preserve"> (formerly part of the </w:t>
            </w:r>
            <w:r w:rsidR="00F13595" w:rsidRPr="0091450A">
              <w:rPr>
                <w:rFonts w:eastAsia="Times New Roman" w:cs="Times New Roman"/>
                <w:szCs w:val="20"/>
                <w:lang w:eastAsia="en-NZ"/>
              </w:rPr>
              <w:t>‘</w:t>
            </w:r>
            <w:r w:rsidRPr="0091450A">
              <w:rPr>
                <w:rFonts w:eastAsia="Times New Roman" w:cs="Times New Roman"/>
                <w:szCs w:val="20"/>
                <w:lang w:eastAsia="en-NZ"/>
              </w:rPr>
              <w:t>Healthier Hawker</w:t>
            </w:r>
            <w:r w:rsidR="00F13595" w:rsidRPr="0091450A">
              <w:rPr>
                <w:rFonts w:eastAsia="Times New Roman" w:cs="Times New Roman"/>
                <w:szCs w:val="20"/>
                <w:lang w:eastAsia="en-NZ"/>
              </w:rPr>
              <w:t>’</w:t>
            </w:r>
            <w:r w:rsidRPr="0091450A">
              <w:rPr>
                <w:rFonts w:eastAsia="Times New Roman" w:cs="Times New Roman"/>
                <w:szCs w:val="20"/>
                <w:lang w:eastAsia="en-NZ"/>
              </w:rPr>
              <w:t xml:space="preserve"> programme, launched in 2011), which provides in the first instance transitional support to oil manufacturers and importers to help them increase the sale of healthier oils to the food service industry </w:t>
            </w:r>
            <w:r w:rsidR="00DC3141"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{"citationItems":[{"id":"ITEM-1","itemData":{"URL":"http://www.wcrf.org/int/policy/nourishing-framework/harness-food-supply-chain","author":[{"dropping-particle":"","family":"World Cancer Research Fund","given":"","non-dropping-particle":"","parse-names":false,"suffix":""}],"id":"ITEM-1","issue":"22/02/2016","issued":{"date-parts":[["2016"]]},"title":"NOURISHING Framework - Harness food supply chain","type":"webpage"},"uris":["http://www.mendeley.com/documents/?uuid=07441826-c84f-356f-bc44-3a42b1b0e776","http://www.mendeley.com/documents/?uuid=64e2c13c-26e1-4cbb-ba18-6d58223a206a"]}],"mendeley":{"formattedCitation":"(86)","plainTextFormattedCitation":"(86)","previouslyFormattedCitation":"(86)"},"properties":{"noteIndex":0},"schema":"https://github.com/citation-style-language/schema/raw/master/csl-citation.json"}</w:instrText>
            </w:r>
            <w:r w:rsidR="00DC3141"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(86)</w:t>
            </w:r>
            <w:r w:rsidR="00DC3141" w:rsidRPr="0091450A">
              <w:rPr>
                <w:rFonts w:eastAsia="Times New Roman" w:cs="Times New Roman"/>
                <w:szCs w:val="20"/>
                <w:lang w:eastAsia="en-NZ"/>
              </w:rPr>
              <w:fldChar w:fldCharType="end"/>
            </w:r>
            <w:r w:rsidRPr="0091450A">
              <w:rPr>
                <w:rFonts w:eastAsia="Times New Roman" w:cs="Times New Roman"/>
                <w:szCs w:val="20"/>
                <w:lang w:eastAsia="en-NZ"/>
              </w:rPr>
              <w:t xml:space="preserve">. The Healthier Ingredient Subsidy Scheme offers a subsidy to suppliers stocking healthier items. Cooking oil is the first ingredient under the scheme, which subsidises oils with a saturated fat level of 35 </w:t>
            </w:r>
            <w:r w:rsidR="005B393C" w:rsidRPr="0091450A">
              <w:rPr>
                <w:rFonts w:eastAsia="Times New Roman" w:cs="Times New Roman"/>
                <w:szCs w:val="20"/>
                <w:lang w:eastAsia="en-NZ"/>
              </w:rPr>
              <w:t>%</w:t>
            </w:r>
            <w:r w:rsidRPr="0091450A">
              <w:rPr>
                <w:rFonts w:eastAsia="Times New Roman" w:cs="Times New Roman"/>
                <w:szCs w:val="20"/>
                <w:lang w:eastAsia="en-NZ"/>
              </w:rPr>
              <w:t xml:space="preserve"> or lower.</w:t>
            </w:r>
          </w:p>
        </w:tc>
      </w:tr>
    </w:tbl>
    <w:p w14:paraId="5FF38844" w14:textId="77777777" w:rsidR="005B393C" w:rsidRPr="0091450A" w:rsidRDefault="005B393C" w:rsidP="002D613F">
      <w:pPr>
        <w:spacing w:after="0" w:line="240" w:lineRule="auto"/>
      </w:pPr>
    </w:p>
    <w:tbl>
      <w:tblPr>
        <w:tblStyle w:val="TableGrid"/>
        <w:tblW w:w="9209" w:type="dxa"/>
        <w:tblLook w:val="04A0" w:firstRow="1" w:lastRow="0" w:firstColumn="1" w:lastColumn="0" w:noHBand="0" w:noVBand="1"/>
      </w:tblPr>
      <w:tblGrid>
        <w:gridCol w:w="9209"/>
      </w:tblGrid>
      <w:tr w:rsidR="002E08DF" w:rsidRPr="0091450A" w14:paraId="1686FA7B" w14:textId="77777777" w:rsidTr="00090A17">
        <w:tc>
          <w:tcPr>
            <w:tcW w:w="9209" w:type="dxa"/>
          </w:tcPr>
          <w:p w14:paraId="4D9CE195" w14:textId="6003A250" w:rsidR="002E08DF"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4 </w:t>
            </w:r>
            <w:r w:rsidR="002E08DF" w:rsidRPr="0091450A">
              <w:rPr>
                <w:rFonts w:cs="Times New Roman"/>
                <w:b/>
                <w:color w:val="1F497D" w:themeColor="text2"/>
                <w:sz w:val="28"/>
                <w:szCs w:val="28"/>
              </w:rPr>
              <w:t xml:space="preserve">FOOD PRICES: </w:t>
            </w:r>
            <w:r w:rsidR="003718D9" w:rsidRPr="0091450A">
              <w:rPr>
                <w:rFonts w:cs="Times New Roman"/>
                <w:bCs/>
                <w:color w:val="000000"/>
                <w:lang w:eastAsia="en-NZ"/>
              </w:rPr>
              <w:t>Food pricing policies (</w:t>
            </w:r>
            <w:r w:rsidR="00BE5B01" w:rsidRPr="0091450A">
              <w:rPr>
                <w:rFonts w:cs="Times New Roman"/>
                <w:bCs/>
                <w:color w:val="000000"/>
                <w:lang w:eastAsia="en-NZ"/>
              </w:rPr>
              <w:t>e.g.</w:t>
            </w:r>
            <w:r w:rsidR="00922FD6" w:rsidRPr="0091450A">
              <w:rPr>
                <w:rFonts w:cs="Times New Roman"/>
                <w:bCs/>
                <w:color w:val="000000"/>
                <w:lang w:eastAsia="en-NZ"/>
              </w:rPr>
              <w:t>, taxes and subsidies) are aligned with health outcomes by helping to make the healthy eating choices the easier, cheaper choices</w:t>
            </w:r>
          </w:p>
        </w:tc>
      </w:tr>
      <w:tr w:rsidR="002E08DF" w:rsidRPr="0091450A" w14:paraId="7333C0F5" w14:textId="77777777" w:rsidTr="00090A17">
        <w:tc>
          <w:tcPr>
            <w:tcW w:w="9209" w:type="dxa"/>
          </w:tcPr>
          <w:p w14:paraId="534402FF" w14:textId="0BE30867" w:rsidR="002E08DF" w:rsidRPr="0091450A" w:rsidRDefault="009B77C2" w:rsidP="002D613F">
            <w:pPr>
              <w:spacing w:before="40" w:after="40"/>
              <w:rPr>
                <w:rFonts w:cs="Times New Roman"/>
                <w:b/>
                <w:color w:val="1F497D" w:themeColor="text2"/>
                <w:sz w:val="28"/>
                <w:szCs w:val="28"/>
              </w:rPr>
            </w:pPr>
            <w:bookmarkStart w:id="31" w:name="_Toc31623729"/>
            <w:r w:rsidRPr="0091450A">
              <w:rPr>
                <w:rStyle w:val="Heading3Char"/>
              </w:rPr>
              <w:t>PRICES4</w:t>
            </w:r>
            <w:bookmarkEnd w:id="31"/>
            <w:r w:rsidR="002E08DF" w:rsidRPr="0091450A">
              <w:rPr>
                <w:rFonts w:cs="Times New Roman"/>
                <w:b/>
                <w:color w:val="1F497D" w:themeColor="text2"/>
                <w:sz w:val="28"/>
                <w:szCs w:val="28"/>
              </w:rPr>
              <w:t xml:space="preserve">: </w:t>
            </w:r>
            <w:r w:rsidR="00922FD6" w:rsidRPr="0091450A">
              <w:rPr>
                <w:rFonts w:cs="Times New Roman"/>
                <w:b/>
                <w:bCs/>
                <w:color w:val="000000"/>
                <w:lang w:eastAsia="en-NZ"/>
              </w:rPr>
              <w:t xml:space="preserve">The government ensures that food-related </w:t>
            </w:r>
            <w:r w:rsidR="00355313" w:rsidRPr="0091450A">
              <w:rPr>
                <w:rFonts w:cs="Times New Roman"/>
                <w:b/>
                <w:bCs/>
                <w:color w:val="000000"/>
                <w:lang w:eastAsia="en-NZ"/>
              </w:rPr>
              <w:t xml:space="preserve">income </w:t>
            </w:r>
            <w:r w:rsidR="00922FD6" w:rsidRPr="0091450A">
              <w:rPr>
                <w:rFonts w:cs="Times New Roman"/>
                <w:b/>
                <w:bCs/>
                <w:color w:val="000000"/>
                <w:lang w:eastAsia="en-NZ"/>
              </w:rPr>
              <w:t xml:space="preserve">support </w:t>
            </w:r>
            <w:r w:rsidR="00EE6D71" w:rsidRPr="0091450A">
              <w:rPr>
                <w:rFonts w:cs="Times New Roman"/>
                <w:b/>
                <w:bCs/>
                <w:color w:val="000000"/>
                <w:lang w:eastAsia="en-NZ"/>
              </w:rPr>
              <w:t>programs are for health</w:t>
            </w:r>
            <w:r w:rsidR="00D14AE2" w:rsidRPr="0091450A">
              <w:rPr>
                <w:rFonts w:cs="Times New Roman"/>
                <w:b/>
                <w:bCs/>
                <w:color w:val="000000"/>
                <w:lang w:eastAsia="en-NZ"/>
              </w:rPr>
              <w:t>y</w:t>
            </w:r>
            <w:r w:rsidR="00EE6D71" w:rsidRPr="0091450A">
              <w:rPr>
                <w:rFonts w:cs="Times New Roman"/>
                <w:b/>
                <w:bCs/>
                <w:color w:val="000000"/>
                <w:lang w:eastAsia="en-NZ"/>
              </w:rPr>
              <w:t xml:space="preserve"> foods</w:t>
            </w:r>
          </w:p>
        </w:tc>
      </w:tr>
      <w:tr w:rsidR="002E08DF" w:rsidRPr="0091450A" w14:paraId="2402675B" w14:textId="77777777" w:rsidTr="00090A17">
        <w:tc>
          <w:tcPr>
            <w:tcW w:w="9209" w:type="dxa"/>
          </w:tcPr>
          <w:p w14:paraId="17FEC0B9" w14:textId="1952E537"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19032C25" w14:textId="575880F8" w:rsidR="002D79D0" w:rsidRPr="0091450A" w:rsidRDefault="7515298B" w:rsidP="002D613F">
            <w:pPr>
              <w:pStyle w:val="ListParagraph"/>
              <w:numPr>
                <w:ilvl w:val="0"/>
                <w:numId w:val="60"/>
              </w:numPr>
              <w:shd w:val="clear" w:color="auto" w:fill="FFFFFF" w:themeFill="background1"/>
              <w:spacing w:before="40" w:after="40"/>
              <w:ind w:left="284" w:hanging="284"/>
              <w:contextualSpacing w:val="0"/>
              <w:rPr>
                <w:rFonts w:cs="Times New Roman"/>
                <w:szCs w:val="20"/>
                <w:lang w:eastAsia="en-NZ"/>
              </w:rPr>
            </w:pPr>
            <w:r w:rsidRPr="0091450A">
              <w:rPr>
                <w:rFonts w:cs="Times New Roman"/>
                <w:color w:val="000000" w:themeColor="text1"/>
                <w:szCs w:val="20"/>
                <w:lang w:eastAsia="en-NZ"/>
              </w:rPr>
              <w:t xml:space="preserve">The Ministry of Social Development, through Work and Income, can provide recoverable or non-recoverable financial assistance to people to meet an immediate need for essential items such as food, health costs, power and other costs. These payments are available to any person provided they meet the income and asset test, and they are unable to meet the cost from any other source. </w:t>
            </w:r>
            <w:r w:rsidRPr="0091450A">
              <w:rPr>
                <w:rFonts w:cs="Times New Roman"/>
                <w:szCs w:val="20"/>
                <w:lang w:eastAsia="en-NZ"/>
              </w:rPr>
              <w:t>A Disability Allowance may be available for someone on a limited income for additional, on-going costs of therapeutic value. This can include special foods which are beyond the normal costs of healthy eating, for example</w:t>
            </w:r>
            <w:r w:rsidR="0006378D">
              <w:rPr>
                <w:rFonts w:cs="Times New Roman"/>
                <w:szCs w:val="20"/>
                <w:lang w:eastAsia="en-NZ"/>
              </w:rPr>
              <w:t>,</w:t>
            </w:r>
            <w:r w:rsidRPr="0091450A">
              <w:rPr>
                <w:rFonts w:cs="Times New Roman"/>
                <w:szCs w:val="20"/>
                <w:lang w:eastAsia="en-NZ"/>
              </w:rPr>
              <w:t xml:space="preserve"> lactose</w:t>
            </w:r>
            <w:r w:rsidR="0006378D">
              <w:rPr>
                <w:rFonts w:cs="Times New Roman"/>
                <w:szCs w:val="20"/>
                <w:lang w:eastAsia="en-NZ"/>
              </w:rPr>
              <w:t>-</w:t>
            </w:r>
            <w:r w:rsidRPr="0091450A">
              <w:rPr>
                <w:rFonts w:cs="Times New Roman"/>
                <w:szCs w:val="20"/>
                <w:lang w:eastAsia="en-NZ"/>
              </w:rPr>
              <w:t xml:space="preserve">free diet, coeliac disease etc. </w:t>
            </w:r>
            <w:r w:rsidR="00616137" w:rsidRPr="0091450A">
              <w:rPr>
                <w:rFonts w:cs="Times New Roman"/>
                <w:szCs w:val="20"/>
                <w:lang w:eastAsia="en-NZ"/>
              </w:rPr>
              <w:fldChar w:fldCharType="begin" w:fldLock="1"/>
            </w:r>
            <w:r w:rsidR="009C4029">
              <w:rPr>
                <w:rFonts w:cs="Times New Roman"/>
                <w:szCs w:val="20"/>
                <w:lang w:eastAsia="en-NZ"/>
              </w:rPr>
              <w:instrText>ADDIN CSL_CITATION {"citationItems":[{"id":"ITEM-1","itemData":{"URL":"https://www.workandincome.govt.nz/products/a-z-benefits/disability-allowance.html","author":[{"dropping-particle":"","family":"Minsitry of Social Development","given":"","non-dropping-particle":"","parse-names":false,"suffix":""}],"id":"ITEM-1","issue":"21/2/2017","issued":{"date-parts":[["2017"]]},"title":"Disability Allowance","type":"webpage"},"uris":["http://www.mendeley.com/documents/?uuid=4a171f47-c5f1-34bc-80c8-4639738758a8","http://www.mendeley.com/documents/?uuid=b24fe26f-9c17-4aaf-9064-937ee9d37626"]}],"mendeley":{"formattedCitation":"(87)","plainTextFormattedCitation":"(87)","previouslyFormattedCitation":"(87)"},"properties":{"noteIndex":0},"schema":"https://github.com/citation-style-language/schema/raw/master/csl-citation.json"}</w:instrText>
            </w:r>
            <w:r w:rsidR="00616137" w:rsidRPr="0091450A">
              <w:rPr>
                <w:rFonts w:cs="Times New Roman"/>
                <w:szCs w:val="20"/>
                <w:lang w:eastAsia="en-NZ"/>
              </w:rPr>
              <w:fldChar w:fldCharType="separate"/>
            </w:r>
            <w:r w:rsidR="004C06EB" w:rsidRPr="004C06EB">
              <w:rPr>
                <w:rFonts w:cs="Times New Roman"/>
                <w:noProof/>
                <w:szCs w:val="20"/>
                <w:lang w:eastAsia="en-NZ"/>
              </w:rPr>
              <w:t>(87)</w:t>
            </w:r>
            <w:r w:rsidR="00616137" w:rsidRPr="0091450A">
              <w:rPr>
                <w:rFonts w:cs="Times New Roman"/>
                <w:szCs w:val="20"/>
                <w:lang w:eastAsia="en-NZ"/>
              </w:rPr>
              <w:fldChar w:fldCharType="end"/>
            </w:r>
            <w:r w:rsidRPr="0091450A">
              <w:rPr>
                <w:rFonts w:cs="Times New Roman"/>
                <w:szCs w:val="20"/>
                <w:lang w:eastAsia="en-NZ"/>
              </w:rPr>
              <w:t xml:space="preserve">. </w:t>
            </w:r>
          </w:p>
          <w:p w14:paraId="6713106B" w14:textId="2392339F" w:rsidR="00BF64DE" w:rsidRPr="003C52CF" w:rsidRDefault="00BF64DE" w:rsidP="002D613F">
            <w:pPr>
              <w:pStyle w:val="ListParagraph"/>
              <w:numPr>
                <w:ilvl w:val="0"/>
                <w:numId w:val="60"/>
              </w:numPr>
              <w:shd w:val="clear" w:color="auto" w:fill="FFFFFF" w:themeFill="background1"/>
              <w:spacing w:before="40" w:after="40"/>
              <w:ind w:left="284" w:hanging="284"/>
              <w:contextualSpacing w:val="0"/>
              <w:rPr>
                <w:rFonts w:cs="Times New Roman"/>
                <w:szCs w:val="20"/>
                <w:lang w:eastAsia="en-NZ"/>
              </w:rPr>
            </w:pPr>
            <w:r w:rsidRPr="003C52CF">
              <w:rPr>
                <w:rFonts w:cs="Times New Roman"/>
                <w:color w:val="000000" w:themeColor="text1"/>
                <w:szCs w:val="20"/>
                <w:lang w:eastAsia="en-NZ"/>
              </w:rPr>
              <w:t xml:space="preserve">In 2019 a trial </w:t>
            </w:r>
            <w:r w:rsidR="00FB40BE" w:rsidRPr="003C52CF">
              <w:rPr>
                <w:rFonts w:cs="Times New Roman"/>
                <w:color w:val="000000" w:themeColor="text1"/>
                <w:szCs w:val="20"/>
                <w:lang w:eastAsia="en-NZ"/>
              </w:rPr>
              <w:t>was held with</w:t>
            </w:r>
            <w:r w:rsidRPr="003C52CF">
              <w:rPr>
                <w:rFonts w:cs="Times New Roman"/>
                <w:color w:val="000000" w:themeColor="text1"/>
                <w:szCs w:val="20"/>
                <w:lang w:eastAsia="en-NZ"/>
              </w:rPr>
              <w:t xml:space="preserve"> My Food Bag</w:t>
            </w:r>
            <w:r w:rsidR="008B730A" w:rsidRPr="003C52CF">
              <w:rPr>
                <w:rFonts w:cs="Times New Roman"/>
                <w:color w:val="000000" w:themeColor="text1"/>
                <w:szCs w:val="20"/>
                <w:lang w:eastAsia="en-NZ"/>
              </w:rPr>
              <w:t xml:space="preserve"> </w:t>
            </w:r>
            <w:r w:rsidR="00FB40BE" w:rsidRPr="003C52CF">
              <w:rPr>
                <w:rFonts w:cs="Times New Roman"/>
                <w:color w:val="000000" w:themeColor="text1"/>
                <w:szCs w:val="20"/>
                <w:lang w:eastAsia="en-NZ"/>
              </w:rPr>
              <w:t xml:space="preserve">and the Ministry of Social Development to supply </w:t>
            </w:r>
            <w:r w:rsidR="008B730A" w:rsidRPr="003C52CF">
              <w:rPr>
                <w:rFonts w:cs="Times New Roman"/>
                <w:color w:val="000000" w:themeColor="text1"/>
                <w:szCs w:val="20"/>
                <w:lang w:eastAsia="en-NZ"/>
              </w:rPr>
              <w:t>bargain box meals to households requiring emergency food grants</w:t>
            </w:r>
            <w:r w:rsidR="00512F1A" w:rsidRPr="003C52CF">
              <w:rPr>
                <w:rFonts w:cs="Times New Roman"/>
                <w:color w:val="000000" w:themeColor="text1"/>
                <w:szCs w:val="20"/>
                <w:lang w:eastAsia="en-NZ"/>
              </w:rPr>
              <w:t xml:space="preserve"> instead of monies</w:t>
            </w:r>
            <w:r w:rsidR="00BE1CF2" w:rsidRPr="003C52CF">
              <w:rPr>
                <w:rFonts w:cs="Times New Roman"/>
                <w:color w:val="000000" w:themeColor="text1"/>
                <w:szCs w:val="20"/>
                <w:lang w:eastAsia="en-NZ"/>
              </w:rPr>
              <w:t xml:space="preserve"> and providing up to 1000 kits to those families who choose this option over the grants.</w:t>
            </w:r>
            <w:r w:rsidR="00BE1CF2" w:rsidRPr="003C52CF">
              <w:rPr>
                <w:rFonts w:cs="Times New Roman"/>
                <w:szCs w:val="20"/>
                <w:lang w:eastAsia="en-NZ"/>
              </w:rPr>
              <w:t xml:space="preserve"> </w:t>
            </w:r>
            <w:r w:rsidR="00FB40BE" w:rsidRPr="003C52CF">
              <w:rPr>
                <w:rFonts w:cs="Times New Roman"/>
                <w:szCs w:val="20"/>
                <w:lang w:eastAsia="en-NZ"/>
              </w:rPr>
              <w:t>Results</w:t>
            </w:r>
            <w:r w:rsidR="007A004D" w:rsidRPr="003C52CF">
              <w:rPr>
                <w:rFonts w:cs="Times New Roman"/>
                <w:szCs w:val="20"/>
                <w:lang w:eastAsia="en-NZ"/>
              </w:rPr>
              <w:t xml:space="preserve"> are </w:t>
            </w:r>
            <w:r w:rsidR="00BE1CF2" w:rsidRPr="003C52CF">
              <w:rPr>
                <w:rFonts w:cs="Times New Roman"/>
                <w:szCs w:val="20"/>
                <w:lang w:eastAsia="en-NZ"/>
              </w:rPr>
              <w:t>expect</w:t>
            </w:r>
            <w:r w:rsidR="007A004D" w:rsidRPr="003C52CF">
              <w:rPr>
                <w:rFonts w:cs="Times New Roman"/>
                <w:szCs w:val="20"/>
                <w:lang w:eastAsia="en-NZ"/>
              </w:rPr>
              <w:t xml:space="preserve">ed </w:t>
            </w:r>
            <w:r w:rsidR="00BE1CF2" w:rsidRPr="003C52CF">
              <w:rPr>
                <w:rFonts w:cs="Times New Roman"/>
                <w:szCs w:val="20"/>
                <w:lang w:eastAsia="en-NZ"/>
              </w:rPr>
              <w:t>by the end of 2020</w:t>
            </w:r>
            <w:r w:rsidR="008C41D2" w:rsidRPr="003C52CF">
              <w:rPr>
                <w:rFonts w:cs="Times New Roman"/>
                <w:szCs w:val="20"/>
                <w:lang w:eastAsia="en-NZ"/>
              </w:rPr>
              <w:t xml:space="preserve"> </w:t>
            </w:r>
            <w:r w:rsidR="007B14ED" w:rsidRPr="003C52CF">
              <w:rPr>
                <w:rFonts w:cs="Times New Roman"/>
                <w:szCs w:val="20"/>
                <w:lang w:eastAsia="en-NZ"/>
              </w:rPr>
              <w:fldChar w:fldCharType="begin" w:fldLock="1"/>
            </w:r>
            <w:r w:rsidR="009C4029" w:rsidRPr="003C52CF">
              <w:rPr>
                <w:rFonts w:cs="Times New Roman"/>
                <w:szCs w:val="20"/>
                <w:lang w:eastAsia="en-NZ"/>
              </w:rPr>
              <w:instrText>ADDIN CSL_CITATION {"citationItems":[{"id":"ITEM-1","itemData":{"author":[{"dropping-particle":"","family":"Edmunds","given":"Susan","non-dropping-particle":"","parse-names":false,"suffix":""}],"container-title":"stuff.co.nz","id":"ITEM-1","issued":{"date-parts":[["2019","12","12"]]},"title":"My Food Bag kits for beneficiaries 'a way to avoid giving people money' | Stuff.co.nz","type":"article-newspaper"},"uris":["http://www.mendeley.com/documents/?uuid=dd756450-f054-3db9-8f12-b318012d8676"]}],"mendeley":{"formattedCitation":"(88)","plainTextFormattedCitation":"(88)","previouslyFormattedCitation":"(88)"},"properties":{"noteIndex":0},"schema":"https://github.com/citation-style-language/schema/raw/master/csl-citation.json"}</w:instrText>
            </w:r>
            <w:r w:rsidR="007B14ED" w:rsidRPr="003C52CF">
              <w:rPr>
                <w:rFonts w:cs="Times New Roman"/>
                <w:szCs w:val="20"/>
                <w:lang w:eastAsia="en-NZ"/>
              </w:rPr>
              <w:fldChar w:fldCharType="separate"/>
            </w:r>
            <w:r w:rsidR="004C06EB" w:rsidRPr="003C52CF">
              <w:rPr>
                <w:rFonts w:cs="Times New Roman"/>
                <w:noProof/>
                <w:szCs w:val="20"/>
                <w:lang w:eastAsia="en-NZ"/>
              </w:rPr>
              <w:t>(88)</w:t>
            </w:r>
            <w:r w:rsidR="007B14ED" w:rsidRPr="003C52CF">
              <w:rPr>
                <w:rFonts w:cs="Times New Roman"/>
                <w:szCs w:val="20"/>
                <w:lang w:eastAsia="en-NZ"/>
              </w:rPr>
              <w:fldChar w:fldCharType="end"/>
            </w:r>
            <w:r w:rsidR="008C41D2" w:rsidRPr="003C52CF">
              <w:rPr>
                <w:rFonts w:cs="Times New Roman"/>
                <w:szCs w:val="20"/>
                <w:lang w:eastAsia="en-NZ"/>
              </w:rPr>
              <w:t>.</w:t>
            </w:r>
          </w:p>
          <w:p w14:paraId="6D23C799" w14:textId="0D66968A" w:rsidR="008A0CC5" w:rsidRPr="003C52CF" w:rsidRDefault="008A0CC5" w:rsidP="002D613F">
            <w:pPr>
              <w:pStyle w:val="ListParagraph"/>
              <w:numPr>
                <w:ilvl w:val="0"/>
                <w:numId w:val="60"/>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rPr>
              <w:t xml:space="preserve">The NZ Government joined </w:t>
            </w:r>
            <w:r w:rsidR="00BE5B01" w:rsidRPr="0091450A">
              <w:rPr>
                <w:rFonts w:cs="Times New Roman"/>
                <w:szCs w:val="20"/>
              </w:rPr>
              <w:t>Kick-start</w:t>
            </w:r>
            <w:r w:rsidRPr="0091450A">
              <w:rPr>
                <w:rFonts w:cs="Times New Roman"/>
                <w:szCs w:val="20"/>
              </w:rPr>
              <w:t xml:space="preserve"> breakfast as a supporter in May 2013</w:t>
            </w:r>
            <w:r w:rsidR="005B393C" w:rsidRPr="0091450A">
              <w:rPr>
                <w:rFonts w:cs="Times New Roman"/>
                <w:szCs w:val="20"/>
              </w:rPr>
              <w:t>,</w:t>
            </w:r>
            <w:r w:rsidRPr="0091450A">
              <w:rPr>
                <w:rFonts w:cs="Times New Roman"/>
                <w:szCs w:val="20"/>
              </w:rPr>
              <w:t xml:space="preserve"> allowing the </w:t>
            </w:r>
            <w:r w:rsidR="002D79D0" w:rsidRPr="0091450A">
              <w:rPr>
                <w:rFonts w:cs="Times New Roman"/>
                <w:szCs w:val="20"/>
              </w:rPr>
              <w:t xml:space="preserve">programme </w:t>
            </w:r>
            <w:r w:rsidRPr="0091450A">
              <w:rPr>
                <w:rFonts w:cs="Times New Roman"/>
                <w:szCs w:val="20"/>
              </w:rPr>
              <w:t>to extend</w:t>
            </w:r>
            <w:r w:rsidR="002D79D0" w:rsidRPr="0091450A">
              <w:rPr>
                <w:rFonts w:cs="Times New Roman"/>
                <w:szCs w:val="20"/>
              </w:rPr>
              <w:t xml:space="preserve"> from two to five days</w:t>
            </w:r>
            <w:r w:rsidR="005B393C" w:rsidRPr="0091450A">
              <w:rPr>
                <w:rFonts w:cs="Times New Roman"/>
                <w:szCs w:val="20"/>
              </w:rPr>
              <w:t xml:space="preserve"> and </w:t>
            </w:r>
            <w:r w:rsidRPr="00140C0D">
              <w:rPr>
                <w:rFonts w:cs="Times New Roman"/>
                <w:szCs w:val="20"/>
              </w:rPr>
              <w:t>committing $9.5 million over</w:t>
            </w:r>
            <w:r w:rsidRPr="0091450A">
              <w:rPr>
                <w:rFonts w:cs="Times New Roman"/>
                <w:szCs w:val="20"/>
              </w:rPr>
              <w:t xml:space="preserve"> 5 years to fund half the cost of the programme, </w:t>
            </w:r>
            <w:r w:rsidRPr="0091450A">
              <w:rPr>
                <w:rFonts w:cs="Times New Roman"/>
                <w:szCs w:val="20"/>
                <w:lang w:eastAsia="en-NZ"/>
              </w:rPr>
              <w:t xml:space="preserve">as part of Government's commitment to optimal outcomes for children and young people </w:t>
            </w:r>
            <w:r w:rsidR="00373B18" w:rsidRPr="0091450A">
              <w:rPr>
                <w:rFonts w:cs="Times New Roman"/>
                <w:szCs w:val="20"/>
                <w:lang w:eastAsia="en-NZ"/>
              </w:rPr>
              <w:fldChar w:fldCharType="begin" w:fldLock="1"/>
            </w:r>
            <w:r w:rsidR="009C4029">
              <w:rPr>
                <w:rFonts w:cs="Times New Roman"/>
                <w:szCs w:val="20"/>
                <w:lang w:eastAsia="en-NZ"/>
              </w:rPr>
              <w:instrText>ADDIN CSL_CITATION {"citationItems":[{"id":"ITEM-1","itemData":{"author":[{"dropping-particle":"","family":"NZ Government","given":"","non-dropping-particle":"","parse-names":false,"suffix":""}],"edition":"28 May 201","id":"ITEM-1","issued":{"date-parts":[["2013"]]},"title":"Funding boosts to help vulnerable children - PM","type":"article"},"uris":["http://www.mendeley.com/documents/?uuid=4e56b45c-1688-37e0-afb1-b4e6fd374999","http://www.mendeley.com/documents/?uuid=75198097-67b7-426e-bf12-ece8c3b75001"]}],"mendeley":{"formattedCitation":"(89)","plainTextFormattedCitation":"(89)","previouslyFormattedCitation":"(89)"},"properties":{"noteIndex":0},"schema":"https://github.com/citation-style-language/schema/raw/master/csl-citation.json"}</w:instrText>
            </w:r>
            <w:r w:rsidR="00373B18" w:rsidRPr="0091450A">
              <w:rPr>
                <w:rFonts w:cs="Times New Roman"/>
                <w:szCs w:val="20"/>
                <w:lang w:eastAsia="en-NZ"/>
              </w:rPr>
              <w:fldChar w:fldCharType="separate"/>
            </w:r>
            <w:r w:rsidR="004C06EB" w:rsidRPr="004C06EB">
              <w:rPr>
                <w:rFonts w:cs="Times New Roman"/>
                <w:noProof/>
                <w:szCs w:val="20"/>
                <w:lang w:eastAsia="en-NZ"/>
              </w:rPr>
              <w:t>(89)</w:t>
            </w:r>
            <w:r w:rsidR="00373B18" w:rsidRPr="0091450A">
              <w:rPr>
                <w:rFonts w:cs="Times New Roman"/>
                <w:szCs w:val="20"/>
                <w:lang w:eastAsia="en-NZ"/>
              </w:rPr>
              <w:fldChar w:fldCharType="end"/>
            </w:r>
            <w:r w:rsidR="00373B18" w:rsidRPr="0091450A">
              <w:rPr>
                <w:rFonts w:cs="Times New Roman"/>
                <w:szCs w:val="20"/>
                <w:lang w:eastAsia="en-NZ"/>
              </w:rPr>
              <w:t>.</w:t>
            </w:r>
            <w:r w:rsidRPr="0091450A">
              <w:rPr>
                <w:rFonts w:cs="Times New Roman"/>
                <w:szCs w:val="20"/>
              </w:rPr>
              <w:t xml:space="preserve"> </w:t>
            </w:r>
            <w:r w:rsidR="002D79D0" w:rsidRPr="0091450A">
              <w:rPr>
                <w:rFonts w:cs="Times New Roman"/>
                <w:szCs w:val="20"/>
              </w:rPr>
              <w:t>From term 1</w:t>
            </w:r>
            <w:r w:rsidR="005B393C" w:rsidRPr="0091450A">
              <w:rPr>
                <w:rFonts w:cs="Times New Roman"/>
                <w:szCs w:val="20"/>
              </w:rPr>
              <w:t xml:space="preserve"> in</w:t>
            </w:r>
            <w:r w:rsidR="002D79D0" w:rsidRPr="0091450A">
              <w:rPr>
                <w:rFonts w:cs="Times New Roman"/>
                <w:szCs w:val="20"/>
              </w:rPr>
              <w:t xml:space="preserve"> 2014</w:t>
            </w:r>
            <w:r w:rsidR="005B393C" w:rsidRPr="0091450A">
              <w:rPr>
                <w:rFonts w:cs="Times New Roman"/>
                <w:szCs w:val="20"/>
              </w:rPr>
              <w:t>,</w:t>
            </w:r>
            <w:r w:rsidR="002D79D0" w:rsidRPr="0091450A">
              <w:rPr>
                <w:rFonts w:cs="Times New Roman"/>
                <w:szCs w:val="20"/>
              </w:rPr>
              <w:t xml:space="preserve"> all schools were </w:t>
            </w:r>
            <w:r w:rsidR="00E27091" w:rsidRPr="0091450A">
              <w:rPr>
                <w:rFonts w:cs="Times New Roman"/>
                <w:szCs w:val="20"/>
              </w:rPr>
              <w:t>eligible</w:t>
            </w:r>
            <w:r w:rsidR="002D79D0" w:rsidRPr="0091450A">
              <w:rPr>
                <w:rFonts w:cs="Times New Roman"/>
                <w:szCs w:val="20"/>
              </w:rPr>
              <w:t xml:space="preserve"> to join. Fonterra and </w:t>
            </w:r>
            <w:proofErr w:type="spellStart"/>
            <w:r w:rsidR="00BE5B01" w:rsidRPr="0091450A">
              <w:rPr>
                <w:rFonts w:cs="Times New Roman"/>
                <w:szCs w:val="20"/>
              </w:rPr>
              <w:t>San</w:t>
            </w:r>
            <w:r w:rsidR="000E462E" w:rsidRPr="0091450A">
              <w:rPr>
                <w:rFonts w:cs="Times New Roman"/>
                <w:szCs w:val="20"/>
              </w:rPr>
              <w:t>itarium</w:t>
            </w:r>
            <w:proofErr w:type="spellEnd"/>
            <w:r w:rsidR="002D79D0" w:rsidRPr="0091450A">
              <w:rPr>
                <w:rFonts w:cs="Times New Roman"/>
                <w:szCs w:val="20"/>
              </w:rPr>
              <w:t xml:space="preserve"> provide the product. The school community provides plates </w:t>
            </w:r>
            <w:r w:rsidR="00BE5B01" w:rsidRPr="0091450A">
              <w:rPr>
                <w:rFonts w:cs="Times New Roman"/>
                <w:szCs w:val="20"/>
              </w:rPr>
              <w:t>etc.</w:t>
            </w:r>
            <w:r w:rsidR="002D79D0" w:rsidRPr="0091450A">
              <w:rPr>
                <w:rFonts w:cs="Times New Roman"/>
                <w:szCs w:val="20"/>
              </w:rPr>
              <w:t>, location, food storage facilities and volunteers.</w:t>
            </w:r>
            <w:r w:rsidR="00622E9D" w:rsidRPr="0091450A">
              <w:rPr>
                <w:rFonts w:cs="Times New Roman"/>
                <w:szCs w:val="20"/>
              </w:rPr>
              <w:t xml:space="preserve"> Statistics are publ</w:t>
            </w:r>
            <w:r w:rsidR="004745E3" w:rsidRPr="0091450A">
              <w:rPr>
                <w:rFonts w:cs="Times New Roman"/>
                <w:szCs w:val="20"/>
              </w:rPr>
              <w:t>ished every term on the website</w:t>
            </w:r>
            <w:r w:rsidR="00373B18" w:rsidRPr="003C52CF">
              <w:rPr>
                <w:rFonts w:cs="Times New Roman"/>
                <w:szCs w:val="20"/>
              </w:rPr>
              <w:t>.</w:t>
            </w:r>
            <w:r w:rsidR="00622E9D" w:rsidRPr="003C52CF">
              <w:rPr>
                <w:rFonts w:cs="Times New Roman"/>
                <w:szCs w:val="20"/>
              </w:rPr>
              <w:t xml:space="preserve"> </w:t>
            </w:r>
            <w:r w:rsidR="0024254D" w:rsidRPr="003C52CF">
              <w:rPr>
                <w:rFonts w:cs="Times New Roman"/>
                <w:szCs w:val="20"/>
              </w:rPr>
              <w:t>Currently</w:t>
            </w:r>
            <w:r w:rsidR="0006378D" w:rsidRPr="003C52CF">
              <w:rPr>
                <w:rFonts w:cs="Times New Roman"/>
                <w:szCs w:val="20"/>
              </w:rPr>
              <w:t>,</w:t>
            </w:r>
            <w:r w:rsidR="0024254D" w:rsidRPr="003C52CF">
              <w:rPr>
                <w:rFonts w:cs="Times New Roman"/>
                <w:szCs w:val="20"/>
              </w:rPr>
              <w:t xml:space="preserve"> over 30,000 children participate throughout New Zealand</w:t>
            </w:r>
            <w:r w:rsidR="00542CAA" w:rsidRPr="003C52CF">
              <w:rPr>
                <w:rFonts w:cs="Times New Roman"/>
                <w:szCs w:val="20"/>
              </w:rPr>
              <w:t xml:space="preserve"> in over 1</w:t>
            </w:r>
            <w:r w:rsidR="0051719A" w:rsidRPr="003C52CF">
              <w:rPr>
                <w:rFonts w:cs="Times New Roman"/>
                <w:szCs w:val="20"/>
              </w:rPr>
              <w:t>,000 schools</w:t>
            </w:r>
            <w:r w:rsidR="00614D40" w:rsidRPr="003C52CF">
              <w:rPr>
                <w:rFonts w:cs="Times New Roman"/>
                <w:szCs w:val="20"/>
              </w:rPr>
              <w:t xml:space="preserve"> </w:t>
            </w:r>
            <w:r w:rsidR="00614D40" w:rsidRPr="003C52CF">
              <w:rPr>
                <w:rFonts w:cs="Times New Roman"/>
                <w:szCs w:val="20"/>
              </w:rPr>
              <w:fldChar w:fldCharType="begin" w:fldLock="1"/>
            </w:r>
            <w:r w:rsidR="009C4029" w:rsidRPr="003C52CF">
              <w:rPr>
                <w:rFonts w:cs="Times New Roman"/>
                <w:szCs w:val="20"/>
              </w:rPr>
              <w:instrText>ADDIN CSL_CITATION {"citationItems":[{"id":"ITEM-1","itemData":{"URL":"https://kickstartbreakfast.co.nz/about","author":[{"dropping-particle":"","family":"KickStart Breakfast","given":"","non-dropping-particle":"","parse-names":false,"suffix":""}],"id":"ITEM-1","issue":"21/2/2017","issued":{"date-parts":[["2017"]]},"title":"About KickStart Breakfast","type":"webpage"},"uris":["http://www.mendeley.com/documents/?uuid=ef98b37d-1df5-3d27-a10c-1ef747c77490"]}],"mendeley":{"formattedCitation":"(90)","plainTextFormattedCitation":"(90)","previouslyFormattedCitation":"(90)"},"properties":{"noteIndex":0},"schema":"https://github.com/citation-style-language/schema/raw/master/csl-citation.json"}</w:instrText>
            </w:r>
            <w:r w:rsidR="00614D40" w:rsidRPr="003C52CF">
              <w:rPr>
                <w:rFonts w:cs="Times New Roman"/>
                <w:szCs w:val="20"/>
              </w:rPr>
              <w:fldChar w:fldCharType="separate"/>
            </w:r>
            <w:r w:rsidR="004C06EB" w:rsidRPr="003C52CF">
              <w:rPr>
                <w:rFonts w:cs="Times New Roman"/>
                <w:noProof/>
                <w:szCs w:val="20"/>
              </w:rPr>
              <w:t>(90)</w:t>
            </w:r>
            <w:r w:rsidR="00614D40" w:rsidRPr="003C52CF">
              <w:rPr>
                <w:rFonts w:cs="Times New Roman"/>
                <w:szCs w:val="20"/>
              </w:rPr>
              <w:fldChar w:fldCharType="end"/>
            </w:r>
            <w:r w:rsidR="000F2B2F" w:rsidRPr="003C52CF">
              <w:rPr>
                <w:rFonts w:cs="Times New Roman"/>
                <w:szCs w:val="20"/>
              </w:rPr>
              <w:t xml:space="preserve">. </w:t>
            </w:r>
          </w:p>
          <w:p w14:paraId="74B13F3D" w14:textId="1AD641AB" w:rsidR="00A25F28" w:rsidRPr="00B549E8" w:rsidRDefault="00A25F28" w:rsidP="002D613F">
            <w:pPr>
              <w:pStyle w:val="ListParagraph"/>
              <w:numPr>
                <w:ilvl w:val="0"/>
                <w:numId w:val="60"/>
              </w:numPr>
              <w:shd w:val="clear" w:color="auto" w:fill="FFFFFF" w:themeFill="background1"/>
              <w:spacing w:before="40" w:after="40"/>
              <w:ind w:left="284" w:hanging="284"/>
              <w:contextualSpacing w:val="0"/>
              <w:rPr>
                <w:rFonts w:cs="Times New Roman"/>
                <w:szCs w:val="20"/>
                <w:lang w:eastAsia="en-NZ"/>
              </w:rPr>
            </w:pPr>
            <w:r w:rsidRPr="00B549E8">
              <w:rPr>
                <w:rFonts w:ascii="Calibri" w:hAnsi="Calibri" w:cs="Calibri"/>
                <w:iCs/>
                <w:color w:val="212121"/>
                <w:shd w:val="clear" w:color="auto" w:fill="FFFFFF"/>
              </w:rPr>
              <w:t xml:space="preserve">The Government funds the Fruit in Schools programme, which all decile one and two primary and intermediate schools can opt into. At the end of term 4 2019, 551 schools and 121,870 students and staff </w:t>
            </w:r>
            <w:r w:rsidRPr="00B549E8">
              <w:rPr>
                <w:rFonts w:ascii="Calibri" w:hAnsi="Calibri" w:cs="Calibri"/>
                <w:iCs/>
                <w:color w:val="212121"/>
                <w:shd w:val="clear" w:color="auto" w:fill="FFFFFF"/>
              </w:rPr>
              <w:lastRenderedPageBreak/>
              <w:t>were receiving produce, (either fruit or vegetables) each day during the school term starting the second week of each term. The programme is funded by MoH and managed by United Fresh. The annual cost of FIS is approximately $8,124,000 million which covers both the management of the initiative and the supply of produce.</w:t>
            </w:r>
            <w:r w:rsidR="00444F3D" w:rsidRPr="00B549E8">
              <w:rPr>
                <w:rFonts w:ascii="Calibri" w:hAnsi="Calibri" w:cs="Calibri"/>
                <w:iCs/>
                <w:color w:val="212121"/>
                <w:shd w:val="clear" w:color="auto" w:fill="FFFFFF"/>
              </w:rPr>
              <w:t xml:space="preserve"> </w:t>
            </w:r>
            <w:r w:rsidRPr="00B549E8">
              <w:rPr>
                <w:rFonts w:ascii="Calibri" w:hAnsi="Calibri" w:cs="Calibri"/>
                <w:iCs/>
                <w:color w:val="212121"/>
                <w:shd w:val="clear" w:color="auto" w:fill="FFFFFF"/>
              </w:rPr>
              <w:t>An independent evaluation, July 2018, found FIS highly was valued by principals and aligned with international evidence on how to improve nutrition and reduce obesity in children</w:t>
            </w:r>
            <w:r w:rsidR="00444F3D" w:rsidRPr="00B549E8">
              <w:rPr>
                <w:rFonts w:ascii="Calibri" w:hAnsi="Calibri" w:cs="Calibri"/>
                <w:iCs/>
                <w:color w:val="212121"/>
                <w:shd w:val="clear" w:color="auto" w:fill="FFFFFF"/>
              </w:rPr>
              <w:t xml:space="preserve"> (personal communication, MoH, 2020)</w:t>
            </w:r>
            <w:r w:rsidRPr="00B549E8">
              <w:rPr>
                <w:rFonts w:ascii="Calibri" w:hAnsi="Calibri" w:cs="Calibri"/>
                <w:iCs/>
                <w:color w:val="212121"/>
                <w:shd w:val="clear" w:color="auto" w:fill="FFFFFF"/>
              </w:rPr>
              <w:t>.</w:t>
            </w:r>
          </w:p>
          <w:p w14:paraId="1CD6C4D1" w14:textId="5969360C" w:rsidR="00CC1376" w:rsidRPr="00B549E8" w:rsidRDefault="00D3474E" w:rsidP="002D613F">
            <w:pPr>
              <w:pStyle w:val="ListParagraph"/>
              <w:numPr>
                <w:ilvl w:val="0"/>
                <w:numId w:val="60"/>
              </w:numPr>
              <w:rPr>
                <w:rFonts w:cs="Times New Roman"/>
                <w:szCs w:val="20"/>
                <w:lang w:eastAsia="en-NZ"/>
              </w:rPr>
            </w:pPr>
            <w:r w:rsidRPr="00B549E8">
              <w:t>On the</w:t>
            </w:r>
            <w:r w:rsidR="00FB40BE" w:rsidRPr="00B549E8">
              <w:t xml:space="preserve"> </w:t>
            </w:r>
            <w:r w:rsidRPr="00B549E8">
              <w:t>29</w:t>
            </w:r>
            <w:r w:rsidRPr="00B549E8">
              <w:rPr>
                <w:vertAlign w:val="superscript"/>
              </w:rPr>
              <w:t>th</w:t>
            </w:r>
            <w:r w:rsidRPr="00B549E8">
              <w:t xml:space="preserve"> August</w:t>
            </w:r>
            <w:r w:rsidR="00FB40BE" w:rsidRPr="00B549E8">
              <w:t xml:space="preserve"> 2019, the </w:t>
            </w:r>
            <w:r w:rsidR="0079782D" w:rsidRPr="00B549E8">
              <w:t>Prime Minister</w:t>
            </w:r>
            <w:r w:rsidR="00FB40BE" w:rsidRPr="00B549E8">
              <w:t xml:space="preserve"> announced the free Healthy School Lunches programme for </w:t>
            </w:r>
            <w:r w:rsidR="0079782D" w:rsidRPr="00B549E8">
              <w:t>year 1 to 8 students in up to 30</w:t>
            </w:r>
            <w:r w:rsidR="00FB40BE" w:rsidRPr="00B549E8">
              <w:t xml:space="preserve"> schools </w:t>
            </w:r>
            <w:r w:rsidR="0079782D" w:rsidRPr="00B549E8">
              <w:t>in Bay of Plenty/</w:t>
            </w:r>
            <w:proofErr w:type="spellStart"/>
            <w:r w:rsidR="0079782D" w:rsidRPr="00B549E8">
              <w:t>Waiariki</w:t>
            </w:r>
            <w:proofErr w:type="spellEnd"/>
            <w:r w:rsidR="0079782D" w:rsidRPr="00B549E8">
              <w:t xml:space="preserve"> and Hawkes Bay/</w:t>
            </w:r>
            <w:proofErr w:type="spellStart"/>
            <w:r w:rsidR="0079782D" w:rsidRPr="00B549E8">
              <w:t>Tairawhiti</w:t>
            </w:r>
            <w:proofErr w:type="spellEnd"/>
            <w:r w:rsidR="0079782D" w:rsidRPr="00B549E8">
              <w:t xml:space="preserve"> </w:t>
            </w:r>
            <w:r w:rsidR="00FB40BE" w:rsidRPr="00B549E8">
              <w:t>to begin in Term 1, 2020</w:t>
            </w:r>
            <w:r w:rsidR="00A802A2" w:rsidRPr="00B549E8">
              <w:t xml:space="preserve"> </w:t>
            </w:r>
            <w:r w:rsidR="00A802A2" w:rsidRPr="00B549E8">
              <w:fldChar w:fldCharType="begin" w:fldLock="1"/>
            </w:r>
            <w:r w:rsidR="009C4029" w:rsidRPr="00B549E8">
              <w:instrText>ADDIN CSL_CITATION {"citationItems":[{"id":"ITEM-1","itemData":{"author":[{"dropping-particle":"","family":"Ardern","given":"Jacinda Hon RT","non-dropping-particle":"","parse-names":false,"suffix":""},{"dropping-particle":"","family":"Martin","given":"Tracey Hon","non-dropping-particle":"","parse-names":false,"suffix":""}],"container-title":"Beehive Media Releases","id":"ITEM-1","issued":{"date-parts":[["2019"]]},"title":"School lunch programme launched","type":"report"},"uris":["http://www.mendeley.com/documents/?uuid=ca4be439-b5a8-470c-83df-e7e59eba5cad"]}],"mendeley":{"formattedCitation":"(91)","plainTextFormattedCitation":"(91)","previouslyFormattedCitation":"(91)"},"properties":{"noteIndex":0},"schema":"https://github.com/citation-style-language/schema/raw/master/csl-citation.json"}</w:instrText>
            </w:r>
            <w:r w:rsidR="00A802A2" w:rsidRPr="00B549E8">
              <w:fldChar w:fldCharType="separate"/>
            </w:r>
            <w:r w:rsidR="004C06EB" w:rsidRPr="00B549E8">
              <w:rPr>
                <w:noProof/>
              </w:rPr>
              <w:t>(91)</w:t>
            </w:r>
            <w:r w:rsidR="00A802A2" w:rsidRPr="00B549E8">
              <w:fldChar w:fldCharType="end"/>
            </w:r>
            <w:r w:rsidR="00FB40BE" w:rsidRPr="00B549E8">
              <w:t xml:space="preserve">. </w:t>
            </w:r>
            <w:r w:rsidR="0079782D" w:rsidRPr="00B549E8">
              <w:t xml:space="preserve">Up to 21,000 students in around 120 schools will eventually benefit by 2021. </w:t>
            </w:r>
            <w:r w:rsidR="00984D3F" w:rsidRPr="00B549E8">
              <w:t>Minimum standards, including around health, nutrition, dietary and religious requirements, will be set by Government as the principal sponsor. Lunches will be required to be healthy and nutritious, based on the Ministry of Health’s “</w:t>
            </w:r>
            <w:r w:rsidR="00984D3F" w:rsidRPr="00B549E8">
              <w:rPr>
                <w:rStyle w:val="Hyperlink"/>
                <w:rFonts w:ascii="Calibri" w:hAnsi="Calibri" w:cs="Calibri"/>
                <w:color w:val="auto"/>
                <w:u w:val="none"/>
              </w:rPr>
              <w:t>Healthy Food and Drink Guidance – Schools</w:t>
            </w:r>
            <w:r w:rsidR="00984D3F" w:rsidRPr="00B549E8">
              <w:t>”</w:t>
            </w:r>
            <w:r w:rsidR="00702D68" w:rsidRPr="00B549E8">
              <w:fldChar w:fldCharType="begin" w:fldLock="1"/>
            </w:r>
            <w:r w:rsidR="009C4029" w:rsidRPr="00B549E8">
              <w:instrText>ADDIN CSL_CITATION {"citationItems":[{"id":"ITEM-1","itemData":{"ISBN":"978-1-98-859736-2","author":[{"dropping-particle":"","family":"Ministry of Health","given":"","non-dropping-particle":"","parse-names":false,"suffix":""}],"id":"ITEM-1","issued":{"date-parts":[["2019"]]},"title":"Healthy Food and Drink Guidance - Schools","type":"book"},"uris":["http://www.mendeley.com/documents/?uuid=7f4a7f4b-5d78-3681-af99-0053676eb90c"]}],"mendeley":{"formattedCitation":"(92)","plainTextFormattedCitation":"(92)","previouslyFormattedCitation":"(92)"},"properties":{"noteIndex":0},"schema":"https://github.com/citation-style-language/schema/raw/master/csl-citation.json"}</w:instrText>
            </w:r>
            <w:r w:rsidR="00702D68" w:rsidRPr="00B549E8">
              <w:fldChar w:fldCharType="separate"/>
            </w:r>
            <w:r w:rsidR="004C06EB" w:rsidRPr="00B549E8">
              <w:rPr>
                <w:noProof/>
              </w:rPr>
              <w:t>(92)</w:t>
            </w:r>
            <w:r w:rsidR="00702D68" w:rsidRPr="00B549E8">
              <w:fldChar w:fldCharType="end"/>
            </w:r>
            <w:r w:rsidR="00984D3F" w:rsidRPr="00B549E8">
              <w:t xml:space="preserve">. This includes offering foods from the four main food groups (vegetables and fruit, breads and cereals, milk and milk products, and lean meat, chicken, seafood, eggs, legumes, nuts and seeds. District Health Boards (DHBs) have offered their support and some schools have also taken guidance from nutritionists. The evaluation framework is currently being finalised and will commence with the start of the implementation. </w:t>
            </w:r>
            <w:r w:rsidR="00796198" w:rsidRPr="00B549E8">
              <w:t>The e</w:t>
            </w:r>
            <w:r w:rsidR="00984D3F" w:rsidRPr="00B549E8">
              <w:t xml:space="preserve">valuation will include gathering feedback from schools and suppliers on the operation and delivery of the programme (personal communication, </w:t>
            </w:r>
            <w:proofErr w:type="spellStart"/>
            <w:r w:rsidR="00984D3F" w:rsidRPr="00B549E8">
              <w:t>MoE</w:t>
            </w:r>
            <w:proofErr w:type="spellEnd"/>
            <w:r w:rsidR="00984D3F" w:rsidRPr="00B549E8">
              <w:t>, 2020).</w:t>
            </w:r>
          </w:p>
          <w:p w14:paraId="22E39330" w14:textId="5B15FD6F"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465ABB7A" w14:textId="64709BAF" w:rsidR="003A2BED" w:rsidRPr="0091450A" w:rsidRDefault="003A2BED" w:rsidP="002D613F">
            <w:pPr>
              <w:pStyle w:val="ListParagraph"/>
              <w:keepNext/>
              <w:numPr>
                <w:ilvl w:val="0"/>
                <w:numId w:val="60"/>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UK</w:t>
            </w:r>
            <w:r w:rsidRPr="0091450A">
              <w:rPr>
                <w:rFonts w:eastAsia="Times New Roman" w:cs="Times New Roman"/>
                <w:szCs w:val="20"/>
                <w:lang w:eastAsia="en-NZ"/>
              </w:rPr>
              <w:t>: The British Healthy Start programme provides pregnant women and/or families with children under the age of four with weekly vouchers to spend on foods including milk, plain yoghurt, and fresh and frozen fruit and vegetables. Participants or their family must be receiving income support/</w:t>
            </w:r>
            <w:r w:rsidR="001301F6" w:rsidRPr="0091450A">
              <w:rPr>
                <w:rFonts w:eastAsia="Times New Roman" w:cs="Times New Roman"/>
                <w:szCs w:val="20"/>
                <w:lang w:eastAsia="en-NZ"/>
              </w:rPr>
              <w:t>jobseekers’</w:t>
            </w:r>
            <w:r w:rsidRPr="0091450A">
              <w:rPr>
                <w:rFonts w:eastAsia="Times New Roman" w:cs="Times New Roman"/>
                <w:szCs w:val="20"/>
                <w:lang w:eastAsia="en-NZ"/>
              </w:rPr>
              <w:t xml:space="preserve"> allowance or child tax credits. Pregnant women under the age of 18 can also apply. Full national implementation of the programme began in 2006 </w:t>
            </w:r>
            <w:r w:rsidR="000A264B"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0A264B"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0A264B" w:rsidRPr="0091450A">
              <w:rPr>
                <w:rFonts w:eastAsia="Times New Roman" w:cs="Times New Roman"/>
                <w:szCs w:val="20"/>
                <w:lang w:eastAsia="en-NZ"/>
              </w:rPr>
              <w:fldChar w:fldCharType="end"/>
            </w:r>
            <w:r w:rsidR="007626C9" w:rsidRPr="0091450A">
              <w:rPr>
                <w:rFonts w:eastAsia="Times New Roman" w:cs="Times New Roman"/>
                <w:szCs w:val="20"/>
                <w:lang w:eastAsia="en-NZ"/>
              </w:rPr>
              <w:t>.</w:t>
            </w:r>
          </w:p>
          <w:p w14:paraId="384E6750" w14:textId="3BF39108" w:rsidR="003A2BED" w:rsidRPr="0091450A" w:rsidRDefault="003A2BED" w:rsidP="002D613F">
            <w:pPr>
              <w:pStyle w:val="ListParagraph"/>
              <w:keepNext/>
              <w:numPr>
                <w:ilvl w:val="0"/>
                <w:numId w:val="60"/>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In 2012, the USDA pilot</w:t>
            </w:r>
            <w:r w:rsidR="000E462E" w:rsidRPr="0091450A">
              <w:rPr>
                <w:rFonts w:eastAsia="Times New Roman" w:cs="Times New Roman"/>
                <w:szCs w:val="20"/>
                <w:lang w:eastAsia="en-NZ"/>
              </w:rPr>
              <w:t>ed a ‘Healthy Incentives Pilot’</w:t>
            </w:r>
            <w:r w:rsidRPr="0091450A">
              <w:rPr>
                <w:rFonts w:eastAsia="Times New Roman" w:cs="Times New Roman"/>
                <w:szCs w:val="20"/>
                <w:lang w:eastAsia="en-NZ"/>
              </w:rPr>
              <w:t xml:space="preserve"> as part of the Supplemental Nutrition Assistance Program (SNAP, formerly </w:t>
            </w:r>
            <w:r w:rsidR="000E462E" w:rsidRPr="0091450A">
              <w:rPr>
                <w:rFonts w:eastAsia="Times New Roman" w:cs="Times New Roman"/>
                <w:szCs w:val="20"/>
                <w:lang w:eastAsia="en-NZ"/>
              </w:rPr>
              <w:t>‘</w:t>
            </w:r>
            <w:r w:rsidRPr="0091450A">
              <w:rPr>
                <w:rFonts w:eastAsia="Times New Roman" w:cs="Times New Roman"/>
                <w:szCs w:val="20"/>
                <w:lang w:eastAsia="en-NZ"/>
              </w:rPr>
              <w:t>food stamps</w:t>
            </w:r>
            <w:r w:rsidR="000E462E" w:rsidRPr="0091450A">
              <w:rPr>
                <w:rFonts w:eastAsia="Times New Roman" w:cs="Times New Roman"/>
                <w:szCs w:val="20"/>
                <w:lang w:eastAsia="en-NZ"/>
              </w:rPr>
              <w:t>’</w:t>
            </w:r>
            <w:r w:rsidRPr="0091450A">
              <w:rPr>
                <w:rFonts w:eastAsia="Times New Roman" w:cs="Times New Roman"/>
                <w:szCs w:val="20"/>
                <w:lang w:eastAsia="en-NZ"/>
              </w:rPr>
              <w:t xml:space="preserve">). Participants received an incentive of 30 cents per US$ spent on targeted fruit and vegetables (transferred back onto their SNAP card). The Pilot included 7500 individuals </w:t>
            </w:r>
            <w:r w:rsidR="007626C9"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7626C9"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7626C9" w:rsidRPr="0091450A">
              <w:rPr>
                <w:rFonts w:eastAsia="Times New Roman" w:cs="Times New Roman"/>
                <w:szCs w:val="20"/>
                <w:lang w:eastAsia="en-NZ"/>
              </w:rPr>
              <w:fldChar w:fldCharType="end"/>
            </w:r>
            <w:r w:rsidR="007626C9" w:rsidRPr="0091450A">
              <w:rPr>
                <w:rFonts w:eastAsia="Times New Roman" w:cs="Times New Roman"/>
                <w:szCs w:val="20"/>
                <w:lang w:eastAsia="en-NZ"/>
              </w:rPr>
              <w:t>.</w:t>
            </w:r>
            <w:r w:rsidRPr="0091450A">
              <w:rPr>
                <w:rFonts w:eastAsia="Times New Roman" w:cs="Times New Roman"/>
                <w:szCs w:val="20"/>
                <w:lang w:eastAsia="en-NZ"/>
              </w:rPr>
              <w:t xml:space="preserve"> In N</w:t>
            </w:r>
            <w:r w:rsidR="000E462E" w:rsidRPr="0091450A">
              <w:rPr>
                <w:rFonts w:eastAsia="Times New Roman" w:cs="Times New Roman"/>
                <w:szCs w:val="20"/>
                <w:lang w:eastAsia="en-NZ"/>
              </w:rPr>
              <w:t>ew York City and Philadelphia, ‘Health Bucks’</w:t>
            </w:r>
            <w:r w:rsidRPr="0091450A">
              <w:rPr>
                <w:rFonts w:eastAsia="Times New Roman" w:cs="Times New Roman"/>
                <w:szCs w:val="20"/>
                <w:lang w:eastAsia="en-NZ"/>
              </w:rPr>
              <w:t xml:space="preserve"> are distributed to farmers markets. When </w:t>
            </w:r>
            <w:r w:rsidR="003718D9" w:rsidRPr="0091450A">
              <w:rPr>
                <w:rFonts w:eastAsia="Times New Roman" w:cs="Times New Roman"/>
                <w:szCs w:val="20"/>
                <w:lang w:eastAsia="en-NZ"/>
              </w:rPr>
              <w:t>customers use income support (</w:t>
            </w:r>
            <w:r w:rsidR="00BE5B01" w:rsidRPr="0091450A">
              <w:rPr>
                <w:rFonts w:eastAsia="Times New Roman" w:cs="Times New Roman"/>
                <w:szCs w:val="20"/>
                <w:lang w:eastAsia="en-NZ"/>
              </w:rPr>
              <w:t>e.g.</w:t>
            </w:r>
            <w:r w:rsidRPr="0091450A">
              <w:rPr>
                <w:rFonts w:eastAsia="Times New Roman" w:cs="Times New Roman"/>
                <w:szCs w:val="20"/>
                <w:lang w:eastAsia="en-NZ"/>
              </w:rPr>
              <w:t xml:space="preserve"> Food Stamps) to purchase food at farmers markets, they receive one Health Buck worth 2USD for each 5USD spent, which can then be sued to purchase fresh fruit and vegetable products at a farmers market </w:t>
            </w:r>
            <w:r w:rsidR="007626C9"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7626C9"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7626C9" w:rsidRPr="0091450A">
              <w:rPr>
                <w:rFonts w:eastAsia="Times New Roman" w:cs="Times New Roman"/>
                <w:szCs w:val="20"/>
                <w:lang w:eastAsia="en-NZ"/>
              </w:rPr>
              <w:fldChar w:fldCharType="end"/>
            </w:r>
            <w:r w:rsidRPr="0091450A">
              <w:rPr>
                <w:rFonts w:eastAsia="Times New Roman" w:cs="Times New Roman"/>
                <w:szCs w:val="20"/>
                <w:lang w:eastAsia="en-NZ"/>
              </w:rPr>
              <w:t>. In Philadelphia, the programme has been expanded to other retail settings like supermarkets and corner stores.</w:t>
            </w:r>
          </w:p>
          <w:p w14:paraId="384AAE02" w14:textId="33B549C6" w:rsidR="008B1D27" w:rsidRPr="0091450A" w:rsidRDefault="003A2BED" w:rsidP="002D613F">
            <w:pPr>
              <w:pStyle w:val="ListParagraph"/>
              <w:keepNext/>
              <w:numPr>
                <w:ilvl w:val="0"/>
                <w:numId w:val="60"/>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xml:space="preserve">: In 2009, the U.S. Department of Agriculture's implemented revisions to the Special Supplemental Nutrition Program for Women, Infants, and Children (WIC) to improve the composition and quantities of WIC-provided foods from a health perspective. The revisions include: Increase the dollar amount for purchases of fruits and vegetables, expand whole-grain options, allow for yoghurt as a partial milk substitute, allow parents of older infants to buy fresh produce instead of jarred infant food and give states and local WIC agencies more flexibility in meeting the nutritional and cultural needs of WIC participants </w:t>
            </w:r>
            <w:r w:rsidR="00AB2032"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AB2032"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AB2032" w:rsidRPr="0091450A">
              <w:rPr>
                <w:rFonts w:eastAsia="Times New Roman" w:cs="Times New Roman"/>
                <w:szCs w:val="20"/>
                <w:lang w:eastAsia="en-NZ"/>
              </w:rPr>
              <w:fldChar w:fldCharType="end"/>
            </w:r>
            <w:r w:rsidR="00AB2032" w:rsidRPr="0091450A">
              <w:rPr>
                <w:rFonts w:eastAsia="Times New Roman" w:cs="Times New Roman"/>
                <w:szCs w:val="20"/>
                <w:lang w:eastAsia="en-NZ"/>
              </w:rPr>
              <w:t>.</w:t>
            </w:r>
          </w:p>
        </w:tc>
      </w:tr>
    </w:tbl>
    <w:p w14:paraId="10E9A61E" w14:textId="77777777" w:rsidR="00180D1E" w:rsidRPr="0091450A" w:rsidRDefault="00180D1E" w:rsidP="002D613F">
      <w:pPr>
        <w:spacing w:line="240" w:lineRule="auto"/>
      </w:pPr>
    </w:p>
    <w:tbl>
      <w:tblPr>
        <w:tblStyle w:val="TableGrid"/>
        <w:tblW w:w="9209" w:type="dxa"/>
        <w:tblLook w:val="04A0" w:firstRow="1" w:lastRow="0" w:firstColumn="1" w:lastColumn="0" w:noHBand="0" w:noVBand="1"/>
      </w:tblPr>
      <w:tblGrid>
        <w:gridCol w:w="9209"/>
      </w:tblGrid>
      <w:tr w:rsidR="002E08DF" w:rsidRPr="0091450A" w14:paraId="7A44F8A5" w14:textId="77777777" w:rsidTr="00A41587">
        <w:tc>
          <w:tcPr>
            <w:tcW w:w="9209" w:type="dxa"/>
          </w:tcPr>
          <w:p w14:paraId="6499C5C5" w14:textId="156CDD10" w:rsidR="002E08DF" w:rsidRPr="0091450A" w:rsidRDefault="008C0F53" w:rsidP="002D613F">
            <w:pPr>
              <w:shd w:val="clear" w:color="auto" w:fill="FFFFFF" w:themeFill="background1"/>
              <w:spacing w:before="40" w:after="40"/>
              <w:rPr>
                <w:rFonts w:cs="Times New Roman"/>
                <w:bCs/>
                <w:szCs w:val="20"/>
              </w:rPr>
            </w:pPr>
            <w:bookmarkStart w:id="32" w:name="_Toc31623730"/>
            <w:r w:rsidRPr="0091450A">
              <w:rPr>
                <w:rStyle w:val="Heading2Char"/>
              </w:rPr>
              <w:t xml:space="preserve">5 </w:t>
            </w:r>
            <w:r w:rsidR="002E08DF" w:rsidRPr="0091450A">
              <w:rPr>
                <w:rStyle w:val="Heading2Char"/>
              </w:rPr>
              <w:t>FOOD PROVISION</w:t>
            </w:r>
            <w:bookmarkEnd w:id="32"/>
            <w:r w:rsidR="002E08DF" w:rsidRPr="0091450A">
              <w:rPr>
                <w:rFonts w:cs="Times New Roman"/>
                <w:b/>
                <w:color w:val="1F497D" w:themeColor="text2"/>
                <w:sz w:val="28"/>
                <w:szCs w:val="28"/>
              </w:rPr>
              <w:t xml:space="preserve">: </w:t>
            </w:r>
            <w:r w:rsidR="00922FD6" w:rsidRPr="0091450A">
              <w:rPr>
                <w:rFonts w:cs="Times New Roman"/>
                <w:bCs/>
                <w:szCs w:val="20"/>
              </w:rPr>
              <w:t>The government ensures that there are healthy food service policies implemented in government-funded settings to ensure that food provision encourages healthy food choices, and th</w:t>
            </w:r>
            <w:r w:rsidR="000363B6" w:rsidRPr="0091450A">
              <w:rPr>
                <w:rFonts w:cs="Times New Roman"/>
                <w:bCs/>
                <w:szCs w:val="20"/>
              </w:rPr>
              <w:t>e</w:t>
            </w:r>
            <w:r w:rsidR="00922FD6" w:rsidRPr="0091450A">
              <w:rPr>
                <w:rFonts w:cs="Times New Roman"/>
                <w:bCs/>
                <w:szCs w:val="20"/>
              </w:rPr>
              <w:t xml:space="preserve"> government actively encourages and supports private companies to implement similar policies</w:t>
            </w:r>
          </w:p>
        </w:tc>
      </w:tr>
      <w:tr w:rsidR="002E08DF" w:rsidRPr="0091450A" w14:paraId="034B9682" w14:textId="77777777" w:rsidTr="00A41587">
        <w:tc>
          <w:tcPr>
            <w:tcW w:w="9209" w:type="dxa"/>
          </w:tcPr>
          <w:p w14:paraId="4303C93A" w14:textId="2A8B20B6" w:rsidR="002E08DF" w:rsidRPr="0091450A" w:rsidRDefault="003E26F2" w:rsidP="002D613F">
            <w:pPr>
              <w:spacing w:before="40" w:after="40"/>
              <w:rPr>
                <w:rFonts w:cs="Times New Roman"/>
                <w:b/>
                <w:color w:val="1F497D" w:themeColor="text2"/>
                <w:sz w:val="28"/>
                <w:szCs w:val="28"/>
              </w:rPr>
            </w:pPr>
            <w:bookmarkStart w:id="33" w:name="_Toc31623731"/>
            <w:r w:rsidRPr="0091450A">
              <w:rPr>
                <w:rStyle w:val="Heading3Char"/>
              </w:rPr>
              <w:t>PROV1</w:t>
            </w:r>
            <w:bookmarkEnd w:id="33"/>
            <w:r w:rsidR="002E08DF" w:rsidRPr="0091450A">
              <w:rPr>
                <w:rFonts w:cs="Times New Roman"/>
                <w:b/>
                <w:color w:val="1F497D" w:themeColor="text2"/>
                <w:sz w:val="28"/>
                <w:szCs w:val="28"/>
              </w:rPr>
              <w:t xml:space="preserve">: </w:t>
            </w:r>
            <w:r w:rsidR="000D1C6C" w:rsidRPr="0091450A">
              <w:rPr>
                <w:rFonts w:cs="Times New Roman"/>
                <w:b/>
                <w:color w:val="000000"/>
                <w:lang w:eastAsia="en-NZ"/>
              </w:rPr>
              <w:t>The government ensures that there are clear, consistent policies</w:t>
            </w:r>
            <w:r w:rsidR="0021556E" w:rsidRPr="0091450A">
              <w:rPr>
                <w:rFonts w:cs="Times New Roman"/>
                <w:b/>
                <w:color w:val="000000"/>
                <w:lang w:eastAsia="en-NZ"/>
              </w:rPr>
              <w:t xml:space="preserve"> (including nutrition standards)</w:t>
            </w:r>
            <w:r w:rsidR="000D1C6C" w:rsidRPr="0091450A">
              <w:rPr>
                <w:rFonts w:cs="Times New Roman"/>
                <w:b/>
                <w:color w:val="000000"/>
                <w:lang w:eastAsia="en-NZ"/>
              </w:rPr>
              <w:t xml:space="preserve"> implemented in schools and early childhood education services for food service activities (canteens, food at events, fundraising, promotions, vending machines etc.) to provide and promote healthy food choices</w:t>
            </w:r>
          </w:p>
        </w:tc>
      </w:tr>
      <w:tr w:rsidR="005E4F91" w:rsidRPr="0091450A" w14:paraId="3AE1A67E" w14:textId="77777777" w:rsidTr="00A41587">
        <w:tc>
          <w:tcPr>
            <w:tcW w:w="9209" w:type="dxa"/>
          </w:tcPr>
          <w:p w14:paraId="251016D3" w14:textId="7E87B2DC"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 of implement</w:t>
            </w:r>
            <w:r w:rsidR="00C04080" w:rsidRPr="0091450A">
              <w:rPr>
                <w:rFonts w:cs="Times New Roman"/>
                <w:b/>
                <w:color w:val="1F497D" w:themeColor="text2"/>
                <w:sz w:val="28"/>
                <w:szCs w:val="28"/>
              </w:rPr>
              <w:t>ation</w:t>
            </w:r>
          </w:p>
          <w:p w14:paraId="692C62ED" w14:textId="1D0BAA37" w:rsidR="000B035C" w:rsidRPr="0091450A" w:rsidRDefault="005E4F91" w:rsidP="002D613F">
            <w:pPr>
              <w:pStyle w:val="ListParagraph"/>
              <w:numPr>
                <w:ilvl w:val="0"/>
                <w:numId w:val="7"/>
              </w:numPr>
              <w:spacing w:before="40" w:after="40"/>
              <w:ind w:left="284" w:hanging="284"/>
              <w:contextualSpacing w:val="0"/>
              <w:rPr>
                <w:rFonts w:cs="Times New Roman"/>
                <w:szCs w:val="20"/>
              </w:rPr>
            </w:pPr>
            <w:r w:rsidRPr="0091450A">
              <w:rPr>
                <w:rFonts w:cs="Times New Roman"/>
                <w:color w:val="000000"/>
                <w:szCs w:val="20"/>
                <w:lang w:eastAsia="en-NZ"/>
              </w:rPr>
              <w:t xml:space="preserve">The National Administration Guidelines (NAG) for school administration set out statements of desirable principles of conduct or administration for specified personnel or bodies. The NAG 5 </w:t>
            </w:r>
            <w:r w:rsidR="004A48D0" w:rsidRPr="0091450A">
              <w:rPr>
                <w:rFonts w:cs="Times New Roman"/>
                <w:color w:val="000000"/>
                <w:szCs w:val="20"/>
                <w:lang w:eastAsia="en-NZ"/>
              </w:rPr>
              <w:fldChar w:fldCharType="begin" w:fldLock="1"/>
            </w:r>
            <w:r w:rsidR="009C4029">
              <w:rPr>
                <w:rFonts w:cs="Times New Roman"/>
                <w:color w:val="000000"/>
                <w:szCs w:val="20"/>
                <w:lang w:eastAsia="en-NZ"/>
              </w:rPr>
              <w:instrText>ADDIN CSL_CITATION {"citationItems":[{"id":"ITEM-1","itemData":{"URL":"http://www.education.govt.nz/our-work/legislation/nags/","accessed":{"date-parts":[["2020","1","15"]]},"author":[{"dropping-particle":"","family":"Ministry of Education","given":"","non-dropping-particle":"","parse-names":false,"suffix":""}],"id":"ITEM-1","issued":{"date-parts":[["2017"]]},"title":"The National Administration Guidelines (NAGs) | Education in New Zealand","type":"webpage"},"uris":["http://www.mendeley.com/documents/?uuid=83aba2e7-3b67-3e6f-a23b-0f6598e4c3e7","http://www.mendeley.com/documents/?uuid=8fc6f1a6-95c2-4c88-b05b-30ce8d4ecded"]}],"mendeley":{"formattedCitation":"(93)","plainTextFormattedCitation":"(93)","previouslyFormattedCitation":"(93)"},"properties":{"noteIndex":0},"schema":"https://github.com/citation-style-language/schema/raw/master/csl-citation.json"}</w:instrText>
            </w:r>
            <w:r w:rsidR="004A48D0" w:rsidRPr="0091450A">
              <w:rPr>
                <w:rFonts w:cs="Times New Roman"/>
                <w:color w:val="000000"/>
                <w:szCs w:val="20"/>
                <w:lang w:eastAsia="en-NZ"/>
              </w:rPr>
              <w:fldChar w:fldCharType="separate"/>
            </w:r>
            <w:r w:rsidR="004C06EB" w:rsidRPr="004C06EB">
              <w:rPr>
                <w:rFonts w:cs="Times New Roman"/>
                <w:noProof/>
                <w:color w:val="000000"/>
                <w:szCs w:val="20"/>
                <w:lang w:eastAsia="en-NZ"/>
              </w:rPr>
              <w:t>(93)</w:t>
            </w:r>
            <w:r w:rsidR="004A48D0" w:rsidRPr="0091450A">
              <w:rPr>
                <w:rFonts w:cs="Times New Roman"/>
                <w:color w:val="000000"/>
                <w:szCs w:val="20"/>
                <w:lang w:eastAsia="en-NZ"/>
              </w:rPr>
              <w:fldChar w:fldCharType="end"/>
            </w:r>
            <w:r w:rsidR="004A48D0" w:rsidRPr="0091450A">
              <w:rPr>
                <w:rFonts w:cs="Times New Roman"/>
                <w:color w:val="000000"/>
                <w:szCs w:val="20"/>
                <w:lang w:eastAsia="en-NZ"/>
              </w:rPr>
              <w:t xml:space="preserve"> </w:t>
            </w:r>
            <w:r w:rsidRPr="0091450A">
              <w:rPr>
                <w:rFonts w:cs="Times New Roman"/>
                <w:color w:val="000000"/>
                <w:szCs w:val="20"/>
                <w:lang w:eastAsia="en-NZ"/>
              </w:rPr>
              <w:t xml:space="preserve">states that each board of trustees is required to promote healthy food and nutrition for all students. </w:t>
            </w:r>
            <w:r w:rsidR="00170E7F" w:rsidRPr="0091450A">
              <w:rPr>
                <w:rFonts w:cs="Times New Roman"/>
                <w:color w:val="000000"/>
                <w:szCs w:val="20"/>
                <w:lang w:eastAsia="en-NZ"/>
              </w:rPr>
              <w:t>There</w:t>
            </w:r>
            <w:r w:rsidRPr="0091450A">
              <w:rPr>
                <w:rFonts w:cs="Times New Roman"/>
                <w:color w:val="000000"/>
                <w:szCs w:val="20"/>
                <w:lang w:eastAsia="en-NZ"/>
              </w:rPr>
              <w:t xml:space="preserve"> is no minimum nutritional standard for school canteens in New Zealand.</w:t>
            </w:r>
            <w:r w:rsidRPr="0091450A">
              <w:rPr>
                <w:rFonts w:cs="Times New Roman"/>
                <w:szCs w:val="20"/>
              </w:rPr>
              <w:t xml:space="preserve"> The responsibility for complying with that requirement rests with the board of trustees, not with ERO or the Ministry of Education. ERO does not </w:t>
            </w:r>
            <w:r w:rsidRPr="0091450A">
              <w:rPr>
                <w:rFonts w:cs="Times New Roman"/>
                <w:szCs w:val="20"/>
              </w:rPr>
              <w:lastRenderedPageBreak/>
              <w:t xml:space="preserve">have any powers other than its ability to publish reports, and any powers of ‘enforcement’ would be through the Ministry. </w:t>
            </w:r>
          </w:p>
          <w:p w14:paraId="028CC644" w14:textId="562D613A" w:rsidR="000B035C" w:rsidRPr="007159FF" w:rsidRDefault="000B035C" w:rsidP="002D613F">
            <w:pPr>
              <w:pStyle w:val="ListParagraph"/>
              <w:numPr>
                <w:ilvl w:val="0"/>
                <w:numId w:val="7"/>
              </w:numPr>
              <w:spacing w:before="40" w:after="40"/>
              <w:ind w:left="284" w:hanging="284"/>
              <w:contextualSpacing w:val="0"/>
              <w:rPr>
                <w:rFonts w:cs="Times New Roman"/>
                <w:szCs w:val="20"/>
              </w:rPr>
            </w:pPr>
            <w:r w:rsidRPr="0091450A">
              <w:rPr>
                <w:rFonts w:cs="Times New Roman"/>
                <w:bCs/>
                <w:color w:val="000000"/>
                <w:szCs w:val="20"/>
                <w:lang w:eastAsia="en-NZ"/>
              </w:rPr>
              <w:t>From June 2008 to February 2009 there was an additional clause that schools should only sell healthy food on their premises, removed by the National Government</w:t>
            </w:r>
            <w:r w:rsidRPr="0091450A">
              <w:rPr>
                <w:rFonts w:cs="Times New Roman"/>
                <w:color w:val="000000"/>
                <w:szCs w:val="20"/>
                <w:lang w:eastAsia="en-NZ"/>
              </w:rPr>
              <w:t xml:space="preserve">. </w:t>
            </w:r>
          </w:p>
          <w:p w14:paraId="597C4CC1" w14:textId="2D70F53A" w:rsidR="00927B4B" w:rsidRPr="00B549E8" w:rsidRDefault="000B035C" w:rsidP="002D613F">
            <w:pPr>
              <w:pStyle w:val="ListParagraph"/>
              <w:numPr>
                <w:ilvl w:val="0"/>
                <w:numId w:val="7"/>
              </w:numPr>
              <w:spacing w:before="40" w:after="40"/>
              <w:ind w:left="284" w:hanging="284"/>
              <w:contextualSpacing w:val="0"/>
              <w:rPr>
                <w:rFonts w:cs="Times New Roman"/>
                <w:bCs/>
                <w:color w:val="000000"/>
                <w:szCs w:val="20"/>
                <w:lang w:eastAsia="en-NZ"/>
              </w:rPr>
            </w:pPr>
            <w:r w:rsidRPr="0091450A">
              <w:rPr>
                <w:rFonts w:cs="Times New Roman"/>
                <w:bCs/>
                <w:color w:val="000000"/>
                <w:szCs w:val="20"/>
                <w:lang w:eastAsia="en-NZ"/>
              </w:rPr>
              <w:t xml:space="preserve">The </w:t>
            </w:r>
            <w:r w:rsidR="005E4F91" w:rsidRPr="0091450A">
              <w:rPr>
                <w:rFonts w:cs="Times New Roman"/>
                <w:bCs/>
                <w:color w:val="000000"/>
                <w:szCs w:val="20"/>
                <w:lang w:eastAsia="en-NZ"/>
              </w:rPr>
              <w:t xml:space="preserve">Food and Beverage Classification System </w:t>
            </w:r>
            <w:r w:rsidRPr="0091450A">
              <w:rPr>
                <w:rFonts w:cs="Times New Roman"/>
                <w:bCs/>
                <w:color w:val="000000"/>
                <w:szCs w:val="20"/>
                <w:lang w:eastAsia="en-NZ"/>
              </w:rPr>
              <w:t xml:space="preserve">was </w:t>
            </w:r>
            <w:r w:rsidR="005E4F91" w:rsidRPr="0091450A">
              <w:rPr>
                <w:rFonts w:cs="Times New Roman"/>
                <w:bCs/>
                <w:color w:val="000000"/>
                <w:szCs w:val="20"/>
                <w:lang w:eastAsia="en-NZ"/>
              </w:rPr>
              <w:t xml:space="preserve">updated </w:t>
            </w:r>
            <w:r w:rsidRPr="0091450A">
              <w:rPr>
                <w:rFonts w:cs="Times New Roman"/>
                <w:bCs/>
                <w:color w:val="000000"/>
                <w:szCs w:val="20"/>
                <w:lang w:eastAsia="en-NZ"/>
              </w:rPr>
              <w:t xml:space="preserve">in </w:t>
            </w:r>
            <w:r w:rsidR="005E4F91" w:rsidRPr="0091450A">
              <w:rPr>
                <w:rFonts w:cs="Times New Roman"/>
                <w:bCs/>
                <w:color w:val="000000"/>
                <w:szCs w:val="20"/>
                <w:lang w:eastAsia="en-NZ"/>
              </w:rPr>
              <w:t>March 2016</w:t>
            </w:r>
            <w:r w:rsidR="00673F18" w:rsidRPr="0091450A">
              <w:rPr>
                <w:rFonts w:cs="Times New Roman"/>
                <w:bCs/>
                <w:color w:val="000000"/>
                <w:szCs w:val="20"/>
                <w:lang w:eastAsia="en-NZ"/>
              </w:rPr>
              <w:t xml:space="preserve"> </w:t>
            </w:r>
            <w:r w:rsidR="009F359B" w:rsidRPr="0091450A">
              <w:rPr>
                <w:rFonts w:cs="Times New Roman"/>
                <w:bCs/>
                <w:color w:val="000000"/>
                <w:szCs w:val="20"/>
                <w:lang w:eastAsia="en-NZ"/>
              </w:rPr>
              <w:fldChar w:fldCharType="begin" w:fldLock="1"/>
            </w:r>
            <w:r w:rsidR="009C4029">
              <w:rPr>
                <w:rFonts w:cs="Times New Roman"/>
                <w:bCs/>
                <w:color w:val="000000"/>
                <w:szCs w:val="20"/>
                <w:lang w:eastAsia="en-NZ"/>
              </w:rPr>
              <w:instrText>ADDIN CSL_CITATION {"citationItems":[{"id":"ITEM-1","itemData":{"URL":"http://www.fuelled4life.org.nz/","author":[{"dropping-particle":"","family":"Fuelled for Life","given":"","non-dropping-particle":"","parse-names":false,"suffix":""}],"id":"ITEM-1","issued":{"date-parts":[["2016"]]},"title":"Food and beverage classification system nutrient framework for schools","type":"webpage"},"uris":["http://www.mendeley.com/documents/?uuid=0880d42e-c538-3aed-b10c-ac2b7011311e","http://www.mendeley.com/documents/?uuid=c0766dcb-498c-45f1-b11b-931b6cdb4a75"]}],"mendeley":{"formattedCitation":"(94)","plainTextFormattedCitation":"(94)","previouslyFormattedCitation":"(94)"},"properties":{"noteIndex":0},"schema":"https://github.com/citation-style-language/schema/raw/master/csl-citation.json"}</w:instrText>
            </w:r>
            <w:r w:rsidR="009F359B" w:rsidRPr="0091450A">
              <w:rPr>
                <w:rFonts w:cs="Times New Roman"/>
                <w:bCs/>
                <w:color w:val="000000"/>
                <w:szCs w:val="20"/>
                <w:lang w:eastAsia="en-NZ"/>
              </w:rPr>
              <w:fldChar w:fldCharType="separate"/>
            </w:r>
            <w:r w:rsidR="004C06EB" w:rsidRPr="004C06EB">
              <w:rPr>
                <w:rFonts w:cs="Times New Roman"/>
                <w:bCs/>
                <w:noProof/>
                <w:color w:val="000000"/>
                <w:szCs w:val="20"/>
                <w:lang w:eastAsia="en-NZ"/>
              </w:rPr>
              <w:t>(94)</w:t>
            </w:r>
            <w:r w:rsidR="009F359B" w:rsidRPr="0091450A">
              <w:rPr>
                <w:rFonts w:cs="Times New Roman"/>
                <w:bCs/>
                <w:color w:val="000000"/>
                <w:szCs w:val="20"/>
                <w:lang w:eastAsia="en-NZ"/>
              </w:rPr>
              <w:fldChar w:fldCharType="end"/>
            </w:r>
            <w:r w:rsidR="009F359B" w:rsidRPr="0091450A">
              <w:rPr>
                <w:rFonts w:cs="Times New Roman"/>
                <w:bCs/>
                <w:color w:val="000000"/>
                <w:szCs w:val="20"/>
                <w:lang w:eastAsia="en-NZ"/>
              </w:rPr>
              <w:t>.</w:t>
            </w:r>
            <w:r w:rsidRPr="0091450A">
              <w:rPr>
                <w:rFonts w:cs="Times New Roman"/>
                <w:bCs/>
                <w:color w:val="000000"/>
                <w:szCs w:val="20"/>
                <w:lang w:eastAsia="en-NZ"/>
              </w:rPr>
              <w:t xml:space="preserve"> It is</w:t>
            </w:r>
            <w:r w:rsidR="005E4F91" w:rsidRPr="0091450A">
              <w:rPr>
                <w:rFonts w:cs="Times New Roman"/>
                <w:bCs/>
                <w:color w:val="000000"/>
                <w:szCs w:val="20"/>
                <w:lang w:eastAsia="en-NZ"/>
              </w:rPr>
              <w:t xml:space="preserve"> more stringent</w:t>
            </w:r>
            <w:r w:rsidRPr="0091450A">
              <w:rPr>
                <w:rFonts w:cs="Times New Roman"/>
                <w:bCs/>
                <w:color w:val="000000"/>
                <w:szCs w:val="20"/>
                <w:lang w:eastAsia="en-NZ"/>
              </w:rPr>
              <w:t xml:space="preserve"> </w:t>
            </w:r>
            <w:r w:rsidR="00FF6B77" w:rsidRPr="0091450A">
              <w:rPr>
                <w:rFonts w:cs="Times New Roman"/>
                <w:bCs/>
                <w:color w:val="000000"/>
                <w:szCs w:val="20"/>
                <w:lang w:eastAsia="en-NZ"/>
              </w:rPr>
              <w:t xml:space="preserve">than the initial system </w:t>
            </w:r>
            <w:r w:rsidR="001416E3" w:rsidRPr="0091450A">
              <w:rPr>
                <w:rFonts w:cs="Times New Roman"/>
                <w:bCs/>
                <w:color w:val="000000"/>
                <w:szCs w:val="20"/>
                <w:lang w:eastAsia="en-NZ"/>
              </w:rPr>
              <w:t>with the only subcategories of beverages being plain water and milk. It</w:t>
            </w:r>
            <w:r w:rsidRPr="0091450A">
              <w:rPr>
                <w:rFonts w:cs="Times New Roman"/>
                <w:bCs/>
                <w:color w:val="000000"/>
                <w:szCs w:val="20"/>
                <w:lang w:eastAsia="en-NZ"/>
              </w:rPr>
              <w:t xml:space="preserve"> </w:t>
            </w:r>
            <w:r w:rsidR="005E4F91" w:rsidRPr="0091450A">
              <w:rPr>
                <w:rFonts w:cs="Times New Roman"/>
                <w:bCs/>
                <w:color w:val="000000"/>
                <w:szCs w:val="20"/>
                <w:lang w:eastAsia="en-NZ"/>
              </w:rPr>
              <w:t xml:space="preserve">includes a recommendation that ‘The </w:t>
            </w:r>
            <w:r w:rsidR="000E4D42" w:rsidRPr="0091450A">
              <w:rPr>
                <w:rFonts w:cs="Times New Roman"/>
                <w:bCs/>
                <w:color w:val="000000"/>
                <w:szCs w:val="20"/>
                <w:lang w:eastAsia="en-NZ"/>
              </w:rPr>
              <w:t>MoH</w:t>
            </w:r>
            <w:r w:rsidR="005E4F91" w:rsidRPr="0091450A">
              <w:rPr>
                <w:rFonts w:cs="Times New Roman"/>
                <w:bCs/>
                <w:color w:val="000000"/>
                <w:szCs w:val="20"/>
                <w:lang w:eastAsia="en-NZ"/>
              </w:rPr>
              <w:t xml:space="preserve"> and Ministry of Education recommend schools be plain water and reduced-fat milk only, and early learning services be plain water and plain milk only</w:t>
            </w:r>
            <w:r w:rsidRPr="0091450A">
              <w:rPr>
                <w:rFonts w:cs="Times New Roman"/>
                <w:bCs/>
                <w:color w:val="000000"/>
                <w:szCs w:val="20"/>
                <w:lang w:eastAsia="en-NZ"/>
              </w:rPr>
              <w:t xml:space="preserve"> </w:t>
            </w:r>
            <w:r w:rsidR="001416E3" w:rsidRPr="0091450A">
              <w:rPr>
                <w:rFonts w:cs="Times New Roman"/>
                <w:bCs/>
                <w:color w:val="000000"/>
                <w:szCs w:val="20"/>
                <w:lang w:eastAsia="en-NZ"/>
              </w:rPr>
              <w:t>as</w:t>
            </w:r>
            <w:r w:rsidR="005E4F91" w:rsidRPr="0091450A">
              <w:rPr>
                <w:rFonts w:cs="Times New Roman"/>
                <w:bCs/>
                <w:color w:val="000000"/>
                <w:szCs w:val="20"/>
                <w:lang w:eastAsia="en-NZ"/>
              </w:rPr>
              <w:t xml:space="preserve"> part of the national Childhood Obesity Plan </w:t>
            </w:r>
            <w:r w:rsidR="00B32DD8" w:rsidRPr="0091450A">
              <w:rPr>
                <w:rFonts w:cs="Times New Roman"/>
                <w:bCs/>
                <w:color w:val="000000"/>
                <w:szCs w:val="20"/>
                <w:lang w:eastAsia="en-NZ"/>
              </w:rPr>
              <w:fldChar w:fldCharType="begin" w:fldLock="1"/>
            </w:r>
            <w:r w:rsidR="009C4029">
              <w:rPr>
                <w:rFonts w:cs="Times New Roman"/>
                <w:bCs/>
                <w:color w:val="000000"/>
                <w:szCs w:val="20"/>
                <w:lang w:eastAsia="en-NZ"/>
              </w:rPr>
              <w:instrText>ADDIN CSL_CITATION {"citationItems":[{"id":"ITEM-1","itemData":{"author":[{"dropping-particle":"","family":"Ministry of Health","given":"","non-dropping-particle":"","parse-names":false,"suffix":""}],"id":"ITEM-1","issued":{"date-parts":[["2016"]]},"title":"Ministry of Health encourages schools to adopt water only policies","type":"article"},"uris":["http://www.mendeley.com/documents/?uuid=9ee5bfb1-4e56-3ce4-a413-a7d316042278","http://www.mendeley.com/documents/?uuid=a41a8420-8351-4ad5-a3c7-8cc018dda3e8"]}],"mendeley":{"formattedCitation":"(95)","plainTextFormattedCitation":"(95)","previouslyFormattedCitation":"(95)"},"properties":{"noteIndex":0},"schema":"https://github.com/citation-style-language/schema/raw/master/csl-citation.json"}</w:instrText>
            </w:r>
            <w:r w:rsidR="00B32DD8" w:rsidRPr="0091450A">
              <w:rPr>
                <w:rFonts w:cs="Times New Roman"/>
                <w:bCs/>
                <w:color w:val="000000"/>
                <w:szCs w:val="20"/>
                <w:lang w:eastAsia="en-NZ"/>
              </w:rPr>
              <w:fldChar w:fldCharType="separate"/>
            </w:r>
            <w:r w:rsidR="004C06EB" w:rsidRPr="004C06EB">
              <w:rPr>
                <w:rFonts w:cs="Times New Roman"/>
                <w:bCs/>
                <w:noProof/>
                <w:color w:val="000000"/>
                <w:szCs w:val="20"/>
                <w:lang w:eastAsia="en-NZ"/>
              </w:rPr>
              <w:t>(95)</w:t>
            </w:r>
            <w:r w:rsidR="00B32DD8" w:rsidRPr="0091450A">
              <w:rPr>
                <w:rFonts w:cs="Times New Roman"/>
                <w:bCs/>
                <w:color w:val="000000"/>
                <w:szCs w:val="20"/>
                <w:lang w:eastAsia="en-NZ"/>
              </w:rPr>
              <w:fldChar w:fldCharType="end"/>
            </w:r>
            <w:r w:rsidR="001416E3" w:rsidRPr="0091450A">
              <w:rPr>
                <w:rFonts w:cs="Times New Roman"/>
                <w:bCs/>
                <w:color w:val="000000"/>
                <w:szCs w:val="20"/>
                <w:lang w:eastAsia="en-NZ"/>
              </w:rPr>
              <w:t xml:space="preserve"> with information being provided to all schools by the Ministry of Education. The </w:t>
            </w:r>
            <w:r w:rsidR="000E4D42" w:rsidRPr="0091450A">
              <w:rPr>
                <w:rFonts w:cs="Times New Roman"/>
                <w:bCs/>
                <w:color w:val="000000"/>
                <w:szCs w:val="20"/>
                <w:lang w:eastAsia="en-NZ"/>
              </w:rPr>
              <w:t>Ministry of Education</w:t>
            </w:r>
            <w:r w:rsidR="001416E3" w:rsidRPr="0091450A">
              <w:rPr>
                <w:rFonts w:cs="Times New Roman"/>
                <w:bCs/>
                <w:color w:val="000000"/>
                <w:szCs w:val="20"/>
                <w:lang w:eastAsia="en-NZ"/>
              </w:rPr>
              <w:t xml:space="preserve"> promoting health lifestyles web page has resources for schools including a template for formulating a ‘water-only’ policy, link to healthy confident kids guidelines and </w:t>
            </w:r>
            <w:r w:rsidR="00FF6B77" w:rsidRPr="0091450A">
              <w:rPr>
                <w:rFonts w:cs="Times New Roman"/>
                <w:bCs/>
                <w:color w:val="000000"/>
                <w:szCs w:val="20"/>
                <w:lang w:eastAsia="en-NZ"/>
              </w:rPr>
              <w:t xml:space="preserve">the </w:t>
            </w:r>
            <w:r w:rsidR="001416E3" w:rsidRPr="0091450A">
              <w:rPr>
                <w:rFonts w:cs="Times New Roman"/>
                <w:bCs/>
                <w:color w:val="000000"/>
                <w:szCs w:val="20"/>
                <w:lang w:eastAsia="en-NZ"/>
              </w:rPr>
              <w:t>food and beverage classification system</w:t>
            </w:r>
            <w:r w:rsidR="002F1373" w:rsidRPr="0091450A">
              <w:rPr>
                <w:rFonts w:cs="Times New Roman"/>
                <w:bCs/>
                <w:color w:val="000000"/>
                <w:szCs w:val="20"/>
                <w:lang w:eastAsia="en-NZ"/>
              </w:rPr>
              <w:t xml:space="preserve"> </w:t>
            </w:r>
            <w:r w:rsidR="00BA33B4" w:rsidRPr="0091450A">
              <w:rPr>
                <w:rFonts w:cs="Times New Roman"/>
                <w:bCs/>
                <w:color w:val="000000"/>
                <w:szCs w:val="20"/>
                <w:lang w:eastAsia="en-NZ"/>
              </w:rPr>
              <w:fldChar w:fldCharType="begin" w:fldLock="1"/>
            </w:r>
            <w:r w:rsidR="009C4029">
              <w:rPr>
                <w:rFonts w:cs="Times New Roman"/>
                <w:bCs/>
                <w:color w:val="000000"/>
                <w:szCs w:val="20"/>
                <w:lang w:eastAsia="en-NZ"/>
              </w:rPr>
              <w:instrText>ADDIN CSL_CITATION {"citationItems":[{"id":"ITEM-1","itemData":{"URL":"http://www.rph.org.nz/public-health-topics/schools/water-only-schools/water-only-school-toolkit(d2520117-c76f-4453-b6ac-34eea383a883)/wateronlyschoolstoolkitupdated.pdf","accessed":{"date-parts":[["2020","1","16"]]},"author":[{"dropping-particle":"","family":"Regional Public Health &amp; Ministry of Health","given":"","non-dropping-particle":"","parse-names":false,"suffix":""}],"id":"ITEM-1","issued":{"date-parts":[["0"]]},"title":"Water-only School Toolkit","type":"webpage"},"uris":["http://www.mendeley.com/documents/?uuid=2092282f-81d9-386b-93c9-cdc63fb5623d","http://www.mendeley.com/documents/?uuid=174d3568-6708-4b2e-82ea-fb416195c285"]}],"mendeley":{"formattedCitation":"(96)","plainTextFormattedCitation":"(96)","previouslyFormattedCitation":"(96)"},"properties":{"noteIndex":0},"schema":"https://github.com/citation-style-language/schema/raw/master/csl-citation.json"}</w:instrText>
            </w:r>
            <w:r w:rsidR="00BA33B4" w:rsidRPr="0091450A">
              <w:rPr>
                <w:rFonts w:cs="Times New Roman"/>
                <w:bCs/>
                <w:color w:val="000000"/>
                <w:szCs w:val="20"/>
                <w:lang w:eastAsia="en-NZ"/>
              </w:rPr>
              <w:fldChar w:fldCharType="separate"/>
            </w:r>
            <w:r w:rsidR="004C06EB" w:rsidRPr="004C06EB">
              <w:rPr>
                <w:rFonts w:cs="Times New Roman"/>
                <w:bCs/>
                <w:noProof/>
                <w:color w:val="000000"/>
                <w:szCs w:val="20"/>
                <w:lang w:eastAsia="en-NZ"/>
              </w:rPr>
              <w:t>(96)</w:t>
            </w:r>
            <w:r w:rsidR="00BA33B4" w:rsidRPr="0091450A">
              <w:rPr>
                <w:rFonts w:cs="Times New Roman"/>
                <w:bCs/>
                <w:color w:val="000000"/>
                <w:szCs w:val="20"/>
                <w:lang w:eastAsia="en-NZ"/>
              </w:rPr>
              <w:fldChar w:fldCharType="end"/>
            </w:r>
            <w:r w:rsidR="00640BC0" w:rsidRPr="0091450A">
              <w:rPr>
                <w:rFonts w:cs="Times New Roman"/>
                <w:bCs/>
                <w:color w:val="000000"/>
                <w:szCs w:val="20"/>
                <w:lang w:eastAsia="en-NZ"/>
              </w:rPr>
              <w:t xml:space="preserve">. </w:t>
            </w:r>
            <w:r w:rsidR="00640BC0" w:rsidRPr="00B549E8">
              <w:rPr>
                <w:rFonts w:cs="Times New Roman"/>
                <w:bCs/>
                <w:color w:val="000000"/>
                <w:szCs w:val="20"/>
                <w:lang w:eastAsia="en-NZ"/>
              </w:rPr>
              <w:t xml:space="preserve">A </w:t>
            </w:r>
            <w:r w:rsidR="00006EE1" w:rsidRPr="00B549E8">
              <w:rPr>
                <w:rFonts w:cs="Times New Roman"/>
                <w:bCs/>
                <w:color w:val="000000"/>
                <w:szCs w:val="20"/>
                <w:lang w:eastAsia="en-NZ"/>
              </w:rPr>
              <w:t xml:space="preserve">resource </w:t>
            </w:r>
            <w:r w:rsidR="00640BC0" w:rsidRPr="00B549E8">
              <w:rPr>
                <w:rFonts w:cs="Times New Roman"/>
                <w:bCs/>
                <w:color w:val="000000"/>
                <w:szCs w:val="20"/>
                <w:lang w:eastAsia="en-NZ"/>
              </w:rPr>
              <w:t>tool kit</w:t>
            </w:r>
            <w:r w:rsidR="00006EE1" w:rsidRPr="00B549E8">
              <w:rPr>
                <w:rFonts w:cs="Times New Roman"/>
                <w:bCs/>
                <w:color w:val="000000"/>
                <w:szCs w:val="20"/>
                <w:lang w:eastAsia="en-NZ"/>
              </w:rPr>
              <w:t xml:space="preserve"> surrounding the Food and </w:t>
            </w:r>
            <w:r w:rsidR="00AD7DA0" w:rsidRPr="00B549E8">
              <w:rPr>
                <w:rFonts w:cs="Times New Roman"/>
                <w:bCs/>
                <w:color w:val="000000"/>
                <w:szCs w:val="20"/>
                <w:lang w:eastAsia="en-NZ"/>
              </w:rPr>
              <w:t>B</w:t>
            </w:r>
            <w:r w:rsidR="00006EE1" w:rsidRPr="00B549E8">
              <w:rPr>
                <w:rFonts w:cs="Times New Roman"/>
                <w:bCs/>
                <w:color w:val="000000"/>
                <w:szCs w:val="20"/>
                <w:lang w:eastAsia="en-NZ"/>
              </w:rPr>
              <w:t xml:space="preserve">everage Classification system </w:t>
            </w:r>
            <w:r w:rsidR="00AD7DA0" w:rsidRPr="00B549E8">
              <w:rPr>
                <w:rFonts w:cs="Times New Roman"/>
                <w:bCs/>
                <w:color w:val="000000"/>
                <w:szCs w:val="20"/>
                <w:lang w:eastAsia="en-NZ"/>
              </w:rPr>
              <w:t xml:space="preserve">is set to </w:t>
            </w:r>
            <w:r w:rsidR="00127FE2" w:rsidRPr="00B549E8">
              <w:rPr>
                <w:rFonts w:cs="Times New Roman"/>
                <w:bCs/>
                <w:color w:val="000000"/>
                <w:szCs w:val="20"/>
                <w:lang w:eastAsia="en-NZ"/>
              </w:rPr>
              <w:t>replace the Healthy Confident Kids resource in 2020</w:t>
            </w:r>
            <w:r w:rsidR="008946B1" w:rsidRPr="00B549E8">
              <w:rPr>
                <w:rFonts w:cs="Times New Roman"/>
                <w:bCs/>
                <w:color w:val="000000"/>
                <w:szCs w:val="20"/>
                <w:lang w:eastAsia="en-NZ"/>
              </w:rPr>
              <w:t xml:space="preserve"> (personal communication, MoH, 2020)</w:t>
            </w:r>
            <w:r w:rsidR="00127FE2" w:rsidRPr="00B549E8">
              <w:rPr>
                <w:rFonts w:cs="Times New Roman"/>
                <w:bCs/>
                <w:color w:val="000000"/>
                <w:szCs w:val="20"/>
                <w:lang w:eastAsia="en-NZ"/>
              </w:rPr>
              <w:t xml:space="preserve">. </w:t>
            </w:r>
            <w:r w:rsidR="001416E3" w:rsidRPr="00B549E8">
              <w:rPr>
                <w:rFonts w:cs="Times New Roman"/>
                <w:bCs/>
                <w:color w:val="000000"/>
                <w:szCs w:val="20"/>
                <w:lang w:eastAsia="en-NZ"/>
              </w:rPr>
              <w:t>There are guidelines on the Ministry of Education’s website for schools to develop policies related to the food environment in their school</w:t>
            </w:r>
            <w:r w:rsidR="004554F9" w:rsidRPr="00B549E8">
              <w:rPr>
                <w:rFonts w:cs="Times New Roman"/>
                <w:bCs/>
                <w:color w:val="000000"/>
                <w:szCs w:val="20"/>
                <w:lang w:eastAsia="en-NZ"/>
              </w:rPr>
              <w:t xml:space="preserve"> </w:t>
            </w:r>
            <w:r w:rsidR="004554F9" w:rsidRPr="00B549E8">
              <w:rPr>
                <w:rFonts w:cs="Times New Roman"/>
                <w:bCs/>
                <w:color w:val="000000"/>
                <w:szCs w:val="20"/>
                <w:lang w:eastAsia="en-NZ"/>
              </w:rPr>
              <w:fldChar w:fldCharType="begin" w:fldLock="1"/>
            </w:r>
            <w:r w:rsidR="009C4029" w:rsidRPr="00B549E8">
              <w:rPr>
                <w:rFonts w:cs="Times New Roman"/>
                <w:bCs/>
                <w:color w:val="000000"/>
                <w:szCs w:val="20"/>
                <w:lang w:eastAsia="en-NZ"/>
              </w:rPr>
              <w:instrText>ADDIN CSL_CITATION {"citationItems":[{"id":"ITEM-1","itemData":{"URL":"https://health.tki.org.nz/Key-collections/Healthy-lifestyles/Guidelines-for-school-food-programmes/Guideline-4-Healthy-nutrition-in-schools","accessed":{"date-parts":[["2020","2","5"]]},"author":[{"dropping-particle":"","family":"Ministry of Education","given":"","non-dropping-particle":"","parse-names":false,"suffix":""}],"id":"ITEM-1","issued":{"date-parts":[["0"]]},"title":"Guideline 4: Healthy nutrition in schools / Guidelines for school food programmes / Healthy lifestyles / Key collections / Home - Health &amp; PE","type":"webpage"},"uris":["http://www.mendeley.com/documents/?uuid=5a735b4a-7193-37b0-ad03-29876726c17f"]}],"mendeley":{"formattedCitation":"(97)","plainTextFormattedCitation":"(97)","previouslyFormattedCitation":"(97)"},"properties":{"noteIndex":0},"schema":"https://github.com/citation-style-language/schema/raw/master/csl-citation.json"}</w:instrText>
            </w:r>
            <w:r w:rsidR="004554F9" w:rsidRPr="00B549E8">
              <w:rPr>
                <w:rFonts w:cs="Times New Roman"/>
                <w:bCs/>
                <w:color w:val="000000"/>
                <w:szCs w:val="20"/>
                <w:lang w:eastAsia="en-NZ"/>
              </w:rPr>
              <w:fldChar w:fldCharType="separate"/>
            </w:r>
            <w:r w:rsidR="004C06EB" w:rsidRPr="00B549E8">
              <w:rPr>
                <w:rFonts w:cs="Times New Roman"/>
                <w:bCs/>
                <w:noProof/>
                <w:color w:val="000000"/>
                <w:szCs w:val="20"/>
                <w:lang w:eastAsia="en-NZ"/>
              </w:rPr>
              <w:t>(97)</w:t>
            </w:r>
            <w:r w:rsidR="004554F9" w:rsidRPr="00B549E8">
              <w:rPr>
                <w:rFonts w:cs="Times New Roman"/>
                <w:bCs/>
                <w:color w:val="000000"/>
                <w:szCs w:val="20"/>
                <w:lang w:eastAsia="en-NZ"/>
              </w:rPr>
              <w:fldChar w:fldCharType="end"/>
            </w:r>
            <w:r w:rsidR="004554F9" w:rsidRPr="00B549E8">
              <w:rPr>
                <w:rFonts w:cs="Times New Roman"/>
                <w:bCs/>
                <w:color w:val="000000"/>
                <w:szCs w:val="20"/>
                <w:lang w:eastAsia="en-NZ"/>
              </w:rPr>
              <w:t>.</w:t>
            </w:r>
          </w:p>
          <w:p w14:paraId="049CAA99" w14:textId="00A68A83" w:rsidR="00FF6B77" w:rsidRPr="0091450A" w:rsidRDefault="00FF6B77" w:rsidP="002D613F">
            <w:pPr>
              <w:pStyle w:val="ListParagraph"/>
              <w:numPr>
                <w:ilvl w:val="0"/>
                <w:numId w:val="7"/>
              </w:numPr>
              <w:shd w:val="clear" w:color="auto" w:fill="FFFFFF" w:themeFill="background1"/>
              <w:spacing w:before="40" w:after="40"/>
              <w:ind w:left="284" w:hanging="284"/>
              <w:contextualSpacing w:val="0"/>
              <w:rPr>
                <w:rFonts w:cs="Times New Roman"/>
                <w:szCs w:val="20"/>
              </w:rPr>
            </w:pPr>
            <w:r w:rsidRPr="0091450A">
              <w:rPr>
                <w:rFonts w:cs="Times New Roman"/>
                <w:szCs w:val="20"/>
              </w:rPr>
              <w:t>A survey by the University of Auckland (School-FERST) in 2016 found that of the 819 participating schools (33% response rate), 38.5% of primary and 44.8% of secondary schools reported having a written school food and nutrition policy. Policies received from 145 schools were analysed. Overall scores for the strength and comprehensiveness of the policies were very low across all school types</w:t>
            </w:r>
            <w:r w:rsidR="00DB1BA1" w:rsidRPr="0091450A">
              <w:rPr>
                <w:rFonts w:cs="Times New Roman"/>
                <w:szCs w:val="20"/>
              </w:rPr>
              <w:t>. Two-thirds of primary and intermediate schools and 23% of secondary and composite schools reported being ‘milk and water only’</w:t>
            </w:r>
            <w:r w:rsidR="007B578B">
              <w:rPr>
                <w:rFonts w:cs="Times New Roman"/>
                <w:szCs w:val="20"/>
              </w:rPr>
              <w:t xml:space="preserve"> </w:t>
            </w:r>
            <w:r w:rsidR="007B578B">
              <w:rPr>
                <w:rFonts w:cs="Times New Roman"/>
                <w:szCs w:val="20"/>
              </w:rPr>
              <w:fldChar w:fldCharType="begin" w:fldLock="1"/>
            </w:r>
            <w:r w:rsidR="009C4029">
              <w:rPr>
                <w:rFonts w:cs="Times New Roman"/>
                <w:szCs w:val="20"/>
              </w:rPr>
              <w:instrText>ADDIN CSL_CITATION {"citationItems":[{"id":"ITEM-1","itemData":{"URL":"https://www.informas.org/nz-food-environment-study/","accessed":{"date-parts":[["2020","2","5"]]},"author":[{"dropping-particle":"","family":"INFORMAS","given":"","non-dropping-particle":"","parse-names":false,"suffix":""}],"id":"ITEM-1","issued":{"date-parts":[["2017"]]},"title":"NZ Food Environment Survey | INFORMAS","type":"webpage"},"uris":["http://www.mendeley.com/documents/?uuid=d321f100-c3fa-3650-b390-918db8280a8e"]}],"mendeley":{"formattedCitation":"(98)","plainTextFormattedCitation":"(98)","previouslyFormattedCitation":"(98)"},"properties":{"noteIndex":0},"schema":"https://github.com/citation-style-language/schema/raw/master/csl-citation.json"}</w:instrText>
            </w:r>
            <w:r w:rsidR="007B578B">
              <w:rPr>
                <w:rFonts w:cs="Times New Roman"/>
                <w:szCs w:val="20"/>
              </w:rPr>
              <w:fldChar w:fldCharType="separate"/>
            </w:r>
            <w:r w:rsidR="004C06EB" w:rsidRPr="004C06EB">
              <w:rPr>
                <w:rFonts w:cs="Times New Roman"/>
                <w:noProof/>
                <w:szCs w:val="20"/>
              </w:rPr>
              <w:t>(98)</w:t>
            </w:r>
            <w:r w:rsidR="007B578B">
              <w:rPr>
                <w:rFonts w:cs="Times New Roman"/>
                <w:szCs w:val="20"/>
              </w:rPr>
              <w:fldChar w:fldCharType="end"/>
            </w:r>
            <w:r w:rsidRPr="0091450A">
              <w:rPr>
                <w:rFonts w:cs="Times New Roman"/>
                <w:szCs w:val="20"/>
              </w:rPr>
              <w:t>.</w:t>
            </w:r>
          </w:p>
          <w:p w14:paraId="29D16801" w14:textId="14D9632D" w:rsidR="005E4F91" w:rsidRPr="0091450A" w:rsidRDefault="005E4F91" w:rsidP="002D613F">
            <w:pPr>
              <w:pStyle w:val="ListParagraph"/>
              <w:numPr>
                <w:ilvl w:val="0"/>
                <w:numId w:val="7"/>
              </w:numPr>
              <w:shd w:val="clear" w:color="auto" w:fill="FFFFFF" w:themeFill="background1"/>
              <w:spacing w:before="40" w:after="40"/>
              <w:ind w:left="284" w:hanging="284"/>
              <w:contextualSpacing w:val="0"/>
              <w:rPr>
                <w:rFonts w:cs="Times New Roman"/>
                <w:szCs w:val="20"/>
              </w:rPr>
            </w:pPr>
            <w:r w:rsidRPr="0091450A">
              <w:rPr>
                <w:rFonts w:cs="Times New Roman"/>
                <w:color w:val="000000"/>
                <w:szCs w:val="20"/>
                <w:lang w:eastAsia="en-NZ"/>
              </w:rPr>
              <w:t xml:space="preserve">The Early Childhood Education (ECE) Services Regulations 2008 mention: </w:t>
            </w:r>
            <w:r w:rsidR="00087BB3" w:rsidRPr="0091450A">
              <w:rPr>
                <w:rFonts w:cs="Times New Roman"/>
                <w:color w:val="000000"/>
                <w:szCs w:val="20"/>
                <w:lang w:eastAsia="en-NZ"/>
              </w:rPr>
              <w:t xml:space="preserve">Regulation </w:t>
            </w:r>
            <w:r w:rsidRPr="0091450A">
              <w:rPr>
                <w:rFonts w:cs="Times New Roman"/>
                <w:color w:val="000000"/>
                <w:szCs w:val="20"/>
                <w:lang w:eastAsia="en-NZ"/>
              </w:rPr>
              <w:t xml:space="preserve">46 Health and safety </w:t>
            </w:r>
            <w:r w:rsidRPr="002D613F">
              <w:rPr>
                <w:rFonts w:cs="Times New Roman"/>
                <w:color w:val="000000"/>
                <w:szCs w:val="20"/>
                <w:lang w:eastAsia="en-NZ"/>
              </w:rPr>
              <w:t>practices standard: general is the standard that requires every licensed service provider to whom this regulation applies to take all reasonable steps to promote the good health and safety of c</w:t>
            </w:r>
            <w:r w:rsidR="004745E3" w:rsidRPr="002D613F">
              <w:rPr>
                <w:rFonts w:cs="Times New Roman"/>
                <w:color w:val="000000"/>
                <w:szCs w:val="20"/>
                <w:lang w:eastAsia="en-NZ"/>
              </w:rPr>
              <w:t>hildren enrolled in the service</w:t>
            </w:r>
            <w:r w:rsidR="00B620D9" w:rsidRPr="002D613F">
              <w:rPr>
                <w:rFonts w:cs="Times New Roman"/>
                <w:color w:val="000000"/>
                <w:szCs w:val="20"/>
                <w:lang w:eastAsia="en-NZ"/>
              </w:rPr>
              <w:t xml:space="preserve"> </w:t>
            </w:r>
            <w:r w:rsidR="00F7289A" w:rsidRPr="002D613F">
              <w:rPr>
                <w:rFonts w:cs="Times New Roman"/>
                <w:color w:val="000000"/>
                <w:szCs w:val="20"/>
                <w:lang w:eastAsia="en-NZ"/>
              </w:rPr>
              <w:fldChar w:fldCharType="begin" w:fldLock="1"/>
            </w:r>
            <w:r w:rsidR="009C4029">
              <w:rPr>
                <w:rFonts w:cs="Times New Roman"/>
                <w:color w:val="000000"/>
                <w:szCs w:val="20"/>
                <w:lang w:eastAsia="en-NZ"/>
              </w:rPr>
              <w:instrText>ADDIN CSL_CITATION {"citationItems":[{"id":"ITEM-1","itemData":{"ISBN":"978-0-478-13926-6","author":[{"dropping-particle":"","family":"Ministry of Education","given":"","non-dropping-particle":"","parse-names":false,"suffix":""}],"id":"ITEM-1","issued":{"date-parts":[["2018"]]},"number-of-pages":"40","publisher":"Ministry of Education","publisher-place":"Wellington","title":"Licensing Criteria for Early Childhood Education &amp; Care Services 2008 and Early Childhood Education Curriculum Framework","type":"book"},"uris":["http://www.mendeley.com/documents/?uuid=36097da5-defb-3a8e-a25d-6be37015dfe2"]}],"mendeley":{"formattedCitation":"(99)","plainTextFormattedCitation":"(99)","previouslyFormattedCitation":"(99)"},"properties":{"noteIndex":0},"schema":"https://github.com/citation-style-language/schema/raw/master/csl-citation.json"}</w:instrText>
            </w:r>
            <w:r w:rsidR="00F7289A" w:rsidRPr="002D613F">
              <w:rPr>
                <w:rFonts w:cs="Times New Roman"/>
                <w:color w:val="000000"/>
                <w:szCs w:val="20"/>
                <w:lang w:eastAsia="en-NZ"/>
              </w:rPr>
              <w:fldChar w:fldCharType="separate"/>
            </w:r>
            <w:r w:rsidR="004C06EB" w:rsidRPr="004C06EB">
              <w:rPr>
                <w:rFonts w:cs="Times New Roman"/>
                <w:noProof/>
                <w:color w:val="000000"/>
                <w:szCs w:val="20"/>
                <w:lang w:eastAsia="en-NZ"/>
              </w:rPr>
              <w:t>(99)</w:t>
            </w:r>
            <w:r w:rsidR="00F7289A" w:rsidRPr="002D613F">
              <w:rPr>
                <w:rFonts w:cs="Times New Roman"/>
                <w:color w:val="000000"/>
                <w:szCs w:val="20"/>
                <w:lang w:eastAsia="en-NZ"/>
              </w:rPr>
              <w:fldChar w:fldCharType="end"/>
            </w:r>
            <w:r w:rsidR="004745E3" w:rsidRPr="002D613F">
              <w:rPr>
                <w:rFonts w:cs="Times New Roman"/>
                <w:color w:val="000000"/>
                <w:szCs w:val="20"/>
                <w:lang w:eastAsia="en-NZ"/>
              </w:rPr>
              <w:t>.</w:t>
            </w:r>
          </w:p>
          <w:p w14:paraId="68B005CA" w14:textId="7E323F40" w:rsidR="005E4F91" w:rsidRPr="0091450A" w:rsidRDefault="005E4F91" w:rsidP="002D613F">
            <w:pPr>
              <w:pStyle w:val="ListParagraph"/>
              <w:numPr>
                <w:ilvl w:val="0"/>
                <w:numId w:val="7"/>
              </w:numPr>
              <w:shd w:val="clear" w:color="auto" w:fill="FFFFFF" w:themeFill="background1"/>
              <w:spacing w:before="40" w:after="40"/>
              <w:ind w:left="284" w:hanging="284"/>
              <w:contextualSpacing w:val="0"/>
              <w:rPr>
                <w:rFonts w:cs="Times New Roman"/>
                <w:szCs w:val="20"/>
              </w:rPr>
            </w:pPr>
            <w:r w:rsidRPr="0091450A">
              <w:rPr>
                <w:rFonts w:cs="Times New Roman"/>
                <w:szCs w:val="20"/>
              </w:rPr>
              <w:t>The Children’s Commissioner published Guidelines for School Food Programmes: Best Practice Guidance For Your School (February 2014)</w:t>
            </w:r>
            <w:r w:rsidR="004745E3" w:rsidRPr="0091450A">
              <w:rPr>
                <w:rFonts w:cs="Times New Roman"/>
                <w:szCs w:val="20"/>
              </w:rPr>
              <w:t xml:space="preserve"> </w:t>
            </w:r>
            <w:r w:rsidR="002B476F" w:rsidRPr="0091450A">
              <w:rPr>
                <w:rFonts w:cs="Times New Roman"/>
                <w:szCs w:val="20"/>
              </w:rPr>
              <w:fldChar w:fldCharType="begin" w:fldLock="1"/>
            </w:r>
            <w:r w:rsidR="009C4029">
              <w:rPr>
                <w:rFonts w:cs="Times New Roman"/>
                <w:szCs w:val="20"/>
              </w:rPr>
              <w:instrText>ADDIN CSL_CITATION {"citationItems":[{"id":"ITEM-1","itemData":{"author":[{"dropping-particle":"","family":"Children's Commissioner","given":"","non-dropping-particle":"","parse-names":false,"suffix":""}],"id":"ITEM-1","issued":{"date-parts":[["2014"]]},"publisher":"Wellington","publisher-place":"Children's Commissioner","title":"Guidelines for school food programmes. Best practice guidance for your school","type":"report"},"uris":["http://www.mendeley.com/documents/?uuid=6af72921-f867-3582-8c6f-fa8aecaa3b46","http://www.mendeley.com/documents/?uuid=e0755ffb-26a4-4971-ac54-d9fdd78aabf8"]}],"mendeley":{"formattedCitation":"(100)","plainTextFormattedCitation":"(100)","previouslyFormattedCitation":"(100)"},"properties":{"noteIndex":0},"schema":"https://github.com/citation-style-language/schema/raw/master/csl-citation.json"}</w:instrText>
            </w:r>
            <w:r w:rsidR="002B476F" w:rsidRPr="0091450A">
              <w:rPr>
                <w:rFonts w:cs="Times New Roman"/>
                <w:szCs w:val="20"/>
              </w:rPr>
              <w:fldChar w:fldCharType="separate"/>
            </w:r>
            <w:r w:rsidR="004C06EB" w:rsidRPr="004C06EB">
              <w:rPr>
                <w:rFonts w:cs="Times New Roman"/>
                <w:noProof/>
                <w:szCs w:val="20"/>
              </w:rPr>
              <w:t>(100)</w:t>
            </w:r>
            <w:r w:rsidR="002B476F" w:rsidRPr="0091450A">
              <w:rPr>
                <w:rFonts w:cs="Times New Roman"/>
                <w:szCs w:val="20"/>
              </w:rPr>
              <w:fldChar w:fldCharType="end"/>
            </w:r>
            <w:r w:rsidR="002B476F" w:rsidRPr="0091450A">
              <w:rPr>
                <w:rFonts w:cs="Times New Roman"/>
                <w:szCs w:val="20"/>
              </w:rPr>
              <w:t>.</w:t>
            </w:r>
            <w:r w:rsidR="001416E3" w:rsidRPr="0091450A">
              <w:rPr>
                <w:rFonts w:cs="Times New Roman"/>
                <w:szCs w:val="20"/>
              </w:rPr>
              <w:t xml:space="preserve"> Principles:</w:t>
            </w:r>
            <w:r w:rsidRPr="0091450A">
              <w:rPr>
                <w:rFonts w:cs="Times New Roman"/>
                <w:szCs w:val="20"/>
              </w:rPr>
              <w:t xml:space="preserve"> school food programmes should be child-centred, inclusive, and nutritionally sound, take a whole-school approach, </w:t>
            </w:r>
            <w:r w:rsidR="000E4D42" w:rsidRPr="0091450A">
              <w:rPr>
                <w:rFonts w:cs="Times New Roman"/>
                <w:szCs w:val="20"/>
              </w:rPr>
              <w:t>and be</w:t>
            </w:r>
            <w:r w:rsidR="001416E3" w:rsidRPr="0091450A">
              <w:rPr>
                <w:rFonts w:cs="Times New Roman"/>
                <w:szCs w:val="20"/>
              </w:rPr>
              <w:t xml:space="preserve"> </w:t>
            </w:r>
            <w:r w:rsidRPr="0091450A">
              <w:rPr>
                <w:rFonts w:cs="Times New Roman"/>
                <w:szCs w:val="20"/>
              </w:rPr>
              <w:t xml:space="preserve">sustainable and evidence-based. The guidelines include examples of successful school food programmes in appendix 1 of that document. </w:t>
            </w:r>
          </w:p>
          <w:p w14:paraId="44F3A748" w14:textId="6453DD47" w:rsidR="005F6D8D" w:rsidRPr="0091450A" w:rsidRDefault="00BE55DC" w:rsidP="002D613F">
            <w:pPr>
              <w:pStyle w:val="ListParagraph"/>
              <w:numPr>
                <w:ilvl w:val="0"/>
                <w:numId w:val="7"/>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The Health Promotion Agency has supporting resources specifically designed for schools promoting water as the best drink option. The Ministry of Education </w:t>
            </w:r>
            <w:r w:rsidR="00FF6B77" w:rsidRPr="0091450A">
              <w:rPr>
                <w:rFonts w:cs="Times New Roman"/>
                <w:szCs w:val="20"/>
              </w:rPr>
              <w:t>worked</w:t>
            </w:r>
            <w:r w:rsidRPr="0091450A">
              <w:rPr>
                <w:rFonts w:cs="Times New Roman"/>
                <w:szCs w:val="20"/>
              </w:rPr>
              <w:t xml:space="preserve"> in partnership with the Ministry of Health, Health Promoting Schools and subject associations to explore, update and socialise the guidelines</w:t>
            </w:r>
            <w:r w:rsidR="003A2A64" w:rsidRPr="0091450A">
              <w:rPr>
                <w:rFonts w:cs="Times New Roman"/>
                <w:szCs w:val="20"/>
              </w:rPr>
              <w:t>.</w:t>
            </w:r>
            <w:r w:rsidR="003A2A64" w:rsidRPr="0091450A">
              <w:rPr>
                <w:rFonts w:cstheme="minorHAnsi"/>
                <w:szCs w:val="20"/>
              </w:rPr>
              <w:t xml:space="preserve"> Project </w:t>
            </w:r>
            <w:r w:rsidR="005649A6" w:rsidRPr="0091450A">
              <w:rPr>
                <w:rFonts w:cstheme="minorHAnsi"/>
                <w:szCs w:val="20"/>
              </w:rPr>
              <w:t>Energize</w:t>
            </w:r>
            <w:r w:rsidR="003A2A64" w:rsidRPr="0091450A">
              <w:rPr>
                <w:rFonts w:cstheme="minorHAnsi"/>
                <w:szCs w:val="20"/>
              </w:rPr>
              <w:t xml:space="preserve"> supports schools and ECEs with polices and </w:t>
            </w:r>
            <w:r w:rsidR="00B60C53">
              <w:rPr>
                <w:rFonts w:cstheme="minorHAnsi"/>
                <w:szCs w:val="20"/>
              </w:rPr>
              <w:t xml:space="preserve">the </w:t>
            </w:r>
            <w:r w:rsidR="003A2A64" w:rsidRPr="0091450A">
              <w:rPr>
                <w:rFonts w:cstheme="minorHAnsi"/>
                <w:szCs w:val="20"/>
              </w:rPr>
              <w:t>provision of healthy food</w:t>
            </w:r>
            <w:r w:rsidR="00891A61" w:rsidRPr="0091450A">
              <w:rPr>
                <w:rFonts w:cs="Times New Roman"/>
                <w:szCs w:val="20"/>
              </w:rPr>
              <w:t xml:space="preserve"> (personal communication, </w:t>
            </w:r>
            <w:proofErr w:type="spellStart"/>
            <w:r w:rsidR="00891A61" w:rsidRPr="0091450A">
              <w:rPr>
                <w:rFonts w:cs="Times New Roman"/>
                <w:szCs w:val="20"/>
              </w:rPr>
              <w:t>MoE</w:t>
            </w:r>
            <w:proofErr w:type="spellEnd"/>
            <w:r w:rsidR="00C7639E" w:rsidRPr="0091450A">
              <w:rPr>
                <w:rFonts w:cs="Times New Roman"/>
                <w:szCs w:val="20"/>
              </w:rPr>
              <w:t>, 2017</w:t>
            </w:r>
            <w:r w:rsidR="00891A61" w:rsidRPr="0091450A">
              <w:rPr>
                <w:rFonts w:cs="Times New Roman"/>
                <w:szCs w:val="20"/>
              </w:rPr>
              <w:t>)</w:t>
            </w:r>
            <w:r w:rsidR="00B42934" w:rsidRPr="0091450A">
              <w:rPr>
                <w:rFonts w:cs="Times New Roman"/>
                <w:szCs w:val="20"/>
              </w:rPr>
              <w:t>.</w:t>
            </w:r>
          </w:p>
          <w:p w14:paraId="45DFA0EE" w14:textId="6FE8B4E2" w:rsidR="003A2BED" w:rsidRPr="0091450A" w:rsidRDefault="007A004D" w:rsidP="002D613F">
            <w:pPr>
              <w:pStyle w:val="ListParagraph"/>
              <w:shd w:val="clear" w:color="auto" w:fill="FFFFFF" w:themeFill="background1"/>
              <w:spacing w:before="40" w:after="40"/>
              <w:ind w:left="284"/>
              <w:contextualSpacing w:val="0"/>
              <w:rPr>
                <w:rFonts w:cs="Times New Roman"/>
                <w:szCs w:val="20"/>
              </w:rPr>
            </w:pPr>
            <w:r w:rsidRPr="0091450A">
              <w:rPr>
                <w:rFonts w:cs="Times New Roman"/>
                <w:szCs w:val="20"/>
              </w:rPr>
              <w:t xml:space="preserve"> </w:t>
            </w:r>
          </w:p>
          <w:p w14:paraId="36E5A605" w14:textId="215E262C"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BE5B01" w:rsidRPr="0091450A">
              <w:rPr>
                <w:b/>
                <w:color w:val="1F497D"/>
                <w:sz w:val="28"/>
                <w:szCs w:val="28"/>
              </w:rPr>
              <w:t>examples</w:t>
            </w:r>
            <w:r w:rsidRPr="0091450A">
              <w:rPr>
                <w:b/>
                <w:color w:val="1F497D"/>
                <w:sz w:val="28"/>
                <w:szCs w:val="28"/>
              </w:rPr>
              <w:t xml:space="preserve"> (benchmarks)</w:t>
            </w:r>
          </w:p>
          <w:p w14:paraId="35997F26" w14:textId="30B8FB32" w:rsidR="00012F98" w:rsidRPr="0091450A" w:rsidRDefault="00012F98" w:rsidP="002D613F">
            <w:pPr>
              <w:pStyle w:val="ListParagraph"/>
              <w:keepNext/>
              <w:numPr>
                <w:ilvl w:val="0"/>
                <w:numId w:val="6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There are no national mandatory standards. However, six states and territories have implemented mandatory standards, which are either based on the national voluntary guidelines or nutrient and food criteria defined by the state: Australian Capital Territory (2015), New South Wales (2011), Northern Territory (2009), Queensland (2007), South Australia (2008), and Western Australia (2014). All of these states and territories identify 'red category' foods, which are either completely banned in s</w:t>
            </w:r>
            <w:r w:rsidR="003718D9" w:rsidRPr="0091450A">
              <w:rPr>
                <w:rFonts w:eastAsia="Times New Roman" w:cs="Times New Roman"/>
                <w:szCs w:val="20"/>
                <w:lang w:eastAsia="en-NZ"/>
              </w:rPr>
              <w:t>chools or heavily restricted (</w:t>
            </w:r>
            <w:r w:rsidR="00BE5B01" w:rsidRPr="0091450A">
              <w:rPr>
                <w:rFonts w:eastAsia="Times New Roman" w:cs="Times New Roman"/>
                <w:szCs w:val="20"/>
                <w:lang w:eastAsia="en-NZ"/>
              </w:rPr>
              <w:t>e.g.</w:t>
            </w:r>
            <w:r w:rsidRPr="0091450A">
              <w:rPr>
                <w:rFonts w:eastAsia="Times New Roman" w:cs="Times New Roman"/>
                <w:szCs w:val="20"/>
                <w:lang w:eastAsia="en-NZ"/>
              </w:rPr>
              <w:t xml:space="preserve"> offered no more than one or two times per term)</w:t>
            </w:r>
            <w:r w:rsidR="000E4D42" w:rsidRPr="0091450A">
              <w:rPr>
                <w:rFonts w:eastAsia="Times New Roman" w:cs="Times New Roman"/>
                <w:szCs w:val="20"/>
                <w:lang w:eastAsia="en-NZ"/>
              </w:rPr>
              <w:t xml:space="preserve"> </w:t>
            </w:r>
            <w:r w:rsidR="00ED03CC"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{"citationItems":[{"id":"ITEM-1","itemData":{"URL":"http://www.wcrf.org/int/policy/nourishing-framework/offer-healthy-foods","author":[{"dropping-particle":"","family":"World Cancer Research Fund","given":"","non-dropping-particle":"","parse-names":false,"suffix":""}],"id":"ITEM-1","issue":"22/02/2016","issued":{"date-parts":[["2016"]]},"title":"NOURISHING Framework - Offer healthy foods","type":"webpage"},"uris":["http://www.mendeley.com/documents/?uuid=b5e39f7e-b5a8-36b6-991a-016c88f289be","http://www.mendeley.com/documents/?uuid=ceeab7e8-6a86-40d5-bd69-1d1489b772ad"]}],"mendeley":{"formattedCitation":"(101)","plainTextFormattedCitation":"(101)","previouslyFormattedCitation":"(101)"},"properties":{"noteIndex":0},"schema":"https://github.com/citation-style-language/schema/raw/master/csl-citation.json"}</w:instrText>
            </w:r>
            <w:r w:rsidR="00ED03CC"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(101)</w:t>
            </w:r>
            <w:r w:rsidR="00ED03CC" w:rsidRPr="0091450A">
              <w:rPr>
                <w:rFonts w:eastAsia="Times New Roman" w:cs="Times New Roman"/>
                <w:szCs w:val="20"/>
                <w:lang w:eastAsia="en-NZ"/>
              </w:rPr>
              <w:fldChar w:fldCharType="end"/>
            </w:r>
            <w:r w:rsidR="00ED03CC" w:rsidRPr="0091450A">
              <w:rPr>
                <w:rFonts w:eastAsia="Times New Roman" w:cs="Times New Roman"/>
                <w:szCs w:val="20"/>
                <w:lang w:eastAsia="en-NZ"/>
              </w:rPr>
              <w:t>.</w:t>
            </w:r>
            <w:r w:rsidRPr="0091450A">
              <w:rPr>
                <w:rFonts w:eastAsia="Times New Roman" w:cs="Times New Roman"/>
                <w:szCs w:val="20"/>
                <w:lang w:eastAsia="en-NZ"/>
              </w:rPr>
              <w:t xml:space="preserve"> The New South Wales (NSW) policy for school canteens prohibits availability of red foods, high in saturated fats, sugars, or sodium. Foods provided in school canteens should be at least 50% green foods to ensure that canteens</w:t>
            </w:r>
            <w:r w:rsidR="000E462E" w:rsidRPr="0091450A">
              <w:rPr>
                <w:rFonts w:eastAsia="Times New Roman" w:cs="Times New Roman"/>
                <w:szCs w:val="20"/>
                <w:lang w:eastAsia="en-NZ"/>
              </w:rPr>
              <w:t xml:space="preserve"> do not increase the number of ‘</w:t>
            </w:r>
            <w:r w:rsidRPr="0091450A">
              <w:rPr>
                <w:rFonts w:eastAsia="Times New Roman" w:cs="Times New Roman"/>
                <w:szCs w:val="20"/>
                <w:lang w:eastAsia="en-NZ"/>
              </w:rPr>
              <w:t>amber</w:t>
            </w:r>
            <w:r w:rsidR="000E462E" w:rsidRPr="0091450A">
              <w:rPr>
                <w:rFonts w:eastAsia="Times New Roman" w:cs="Times New Roman"/>
                <w:szCs w:val="20"/>
                <w:lang w:eastAsia="en-NZ"/>
              </w:rPr>
              <w:t>’</w:t>
            </w:r>
            <w:r w:rsidRPr="0091450A">
              <w:rPr>
                <w:rFonts w:eastAsia="Times New Roman" w:cs="Times New Roman"/>
                <w:szCs w:val="20"/>
                <w:lang w:eastAsia="en-NZ"/>
              </w:rPr>
              <w:t xml:space="preserve"> foods. Green foods include low-fat carbohydrates, fruits and vegetables, and lean meat as well as small portions of pure fruit juice. </w:t>
            </w:r>
            <w:r w:rsidR="00D2011B" w:rsidRPr="0091450A">
              <w:rPr>
                <w:rFonts w:eastAsia="Times New Roman" w:cs="Times New Roman"/>
                <w:szCs w:val="20"/>
                <w:lang w:eastAsia="en-NZ"/>
              </w:rPr>
              <w:t>Also,</w:t>
            </w:r>
            <w:r w:rsidRPr="0091450A">
              <w:rPr>
                <w:rFonts w:eastAsia="Times New Roman" w:cs="Times New Roman"/>
                <w:szCs w:val="20"/>
                <w:lang w:eastAsia="en-NZ"/>
              </w:rPr>
              <w:t xml:space="preserve"> Queensland’s Smart Choices school n</w:t>
            </w:r>
            <w:r w:rsidR="000E462E" w:rsidRPr="0091450A">
              <w:rPr>
                <w:rFonts w:eastAsia="Times New Roman" w:cs="Times New Roman"/>
                <w:szCs w:val="20"/>
                <w:lang w:eastAsia="en-NZ"/>
              </w:rPr>
              <w:t>utrition standards ensure that ‘red’</w:t>
            </w:r>
            <w:r w:rsidRPr="0091450A">
              <w:rPr>
                <w:rFonts w:eastAsia="Times New Roman" w:cs="Times New Roman"/>
                <w:szCs w:val="20"/>
                <w:lang w:eastAsia="en-NZ"/>
              </w:rPr>
              <w:t xml:space="preserve"> foods and drinks are eliminated across the whole school environment.</w:t>
            </w:r>
          </w:p>
          <w:p w14:paraId="0566A488" w14:textId="6FF7ED44" w:rsidR="003A2BED" w:rsidRPr="002D613F" w:rsidRDefault="003A2BED" w:rsidP="007159FF">
            <w:pPr>
              <w:pStyle w:val="ListParagraph"/>
              <w:keepNext/>
              <w:numPr>
                <w:ilvl w:val="0"/>
                <w:numId w:val="61"/>
              </w:numPr>
              <w:spacing w:before="40" w:after="40"/>
              <w:ind w:left="284" w:hanging="284"/>
              <w:contextualSpacing w:val="0"/>
              <w:jc w:val="both"/>
              <w:rPr>
                <w:rFonts w:eastAsia="Times New Roman" w:cs="Times New Roman"/>
                <w:szCs w:val="20"/>
                <w:lang w:eastAsia="en-NZ"/>
              </w:rPr>
            </w:pPr>
            <w:r w:rsidRPr="002D613F">
              <w:rPr>
                <w:rFonts w:eastAsia="Times New Roman" w:cs="Times New Roman"/>
                <w:b/>
                <w:szCs w:val="20"/>
                <w:lang w:eastAsia="en-NZ"/>
              </w:rPr>
              <w:t>Chile</w:t>
            </w:r>
            <w:r w:rsidRPr="002D613F">
              <w:rPr>
                <w:rFonts w:eastAsia="Times New Roman" w:cs="Times New Roman"/>
                <w:szCs w:val="20"/>
                <w:lang w:eastAsia="en-NZ"/>
              </w:rPr>
              <w:t>: In 2012, the Chilean government approved a Law of Nutritional Composition of Food and Advertising (Ley 20, 606)</w:t>
            </w:r>
            <w:r w:rsidR="004745E3" w:rsidRPr="002D613F">
              <w:rPr>
                <w:rFonts w:eastAsia="Times New Roman" w:cs="Times New Roman"/>
                <w:szCs w:val="20"/>
                <w:lang w:eastAsia="en-NZ"/>
              </w:rPr>
              <w:t xml:space="preserve"> </w:t>
            </w:r>
            <w:r w:rsidR="00873748" w:rsidRPr="002D613F">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{"citationItems":[{"id":"ITEM-1","itemData":{"URL":"http://www.dinta.cl/wp-dintacl/wp-content/uploads/Decreto-13_Ley-super8_do-20150626.pdf","author":[{"dropping-particle":"","family":"Diario Oficial de La Republica de Chile","given":"","non-dropping-particle":"","parse-names":false,"suffix":""}],"id":"ITEM-1","issue":"16/06/2016","issued":{"date-parts":[["2015"]]},"title":"Decreto 13 – Reglamento Ley 20.606 sobre Composición Nutricional de los Alimentos y su Publicidad","type":"webpage"},"uris":["http://www.mendeley.com/documents/?uuid=4f5f4f84-9b1c-4e62-876f-2bf1ac0eb255","http://www.mendeley.com/documents/?uuid=44d2b51e-ccc7-306c-8606-03160c5d05b6"]}],"mendeley":{"formattedCitation":"(58)","plainTextFormattedCitation":"(58)","previouslyFormattedCitation":"(58)"},"properties":{"noteIndex":0},"schema":"https://github.com/citation-style-language/schema/raw/master/csl-citation.json"}</w:instrText>
            </w:r>
            <w:r w:rsidR="00873748" w:rsidRPr="002D613F">
              <w:rPr>
                <w:rFonts w:eastAsia="Times New Roman" w:cs="Times New Roman"/>
                <w:szCs w:val="20"/>
                <w:lang w:eastAsia="en-NZ"/>
              </w:rPr>
              <w:fldChar w:fldCharType="separate"/>
            </w:r>
            <w:r w:rsidR="00A90C92" w:rsidRPr="00A90C92">
              <w:rPr>
                <w:rFonts w:eastAsia="Times New Roman" w:cs="Times New Roman"/>
                <w:noProof/>
                <w:szCs w:val="20"/>
                <w:lang w:eastAsia="en-NZ"/>
              </w:rPr>
              <w:t>(58)</w:t>
            </w:r>
            <w:r w:rsidR="00873748" w:rsidRPr="002D613F">
              <w:rPr>
                <w:rFonts w:eastAsia="Times New Roman" w:cs="Times New Roman"/>
                <w:szCs w:val="20"/>
                <w:lang w:eastAsia="en-NZ"/>
              </w:rPr>
              <w:fldChar w:fldCharType="end"/>
            </w:r>
            <w:r w:rsidRPr="002D613F">
              <w:rPr>
                <w:rFonts w:eastAsia="Times New Roman" w:cs="Times New Roman"/>
                <w:szCs w:val="20"/>
                <w:lang w:eastAsia="en-NZ"/>
              </w:rPr>
              <w:t>. In June 2015, the Chilean authority approved the regulatory norms required for the law’s implementation (</w:t>
            </w:r>
            <w:proofErr w:type="spellStart"/>
            <w:r w:rsidRPr="002D613F">
              <w:rPr>
                <w:rFonts w:eastAsia="Times New Roman" w:cs="Times New Roman"/>
                <w:szCs w:val="20"/>
                <w:lang w:eastAsia="en-NZ"/>
              </w:rPr>
              <w:t>Diario</w:t>
            </w:r>
            <w:proofErr w:type="spellEnd"/>
            <w:r w:rsidRPr="002D613F">
              <w:rPr>
                <w:rFonts w:eastAsia="Times New Roman" w:cs="Times New Roman"/>
                <w:szCs w:val="20"/>
                <w:lang w:eastAsia="en-NZ"/>
              </w:rPr>
              <w:t xml:space="preserve"> </w:t>
            </w:r>
            <w:r w:rsidR="00B54ED1" w:rsidRPr="002D613F">
              <w:rPr>
                <w:rFonts w:eastAsia="Times New Roman" w:cs="Times New Roman"/>
                <w:szCs w:val="20"/>
                <w:lang w:eastAsia="en-NZ"/>
              </w:rPr>
              <w:t>Official</w:t>
            </w:r>
            <w:r w:rsidRPr="002D613F">
              <w:rPr>
                <w:rFonts w:eastAsia="Times New Roman" w:cs="Times New Roman"/>
                <w:szCs w:val="20"/>
                <w:lang w:eastAsia="en-NZ"/>
              </w:rPr>
              <w:t xml:space="preserve"> No 41.193). The regulatory norms define limits for calories, saturated fat, sugar</w:t>
            </w:r>
            <w:r w:rsidR="000E462E" w:rsidRPr="002D613F">
              <w:rPr>
                <w:rFonts w:eastAsia="Times New Roman" w:cs="Times New Roman"/>
                <w:szCs w:val="20"/>
                <w:lang w:eastAsia="en-NZ"/>
              </w:rPr>
              <w:t xml:space="preserve"> and sodium content considered ‘</w:t>
            </w:r>
            <w:r w:rsidRPr="002D613F">
              <w:rPr>
                <w:rFonts w:eastAsia="Times New Roman" w:cs="Times New Roman"/>
                <w:szCs w:val="20"/>
                <w:lang w:eastAsia="en-NZ"/>
              </w:rPr>
              <w:t>high</w:t>
            </w:r>
            <w:r w:rsidR="000E462E" w:rsidRPr="002D613F">
              <w:rPr>
                <w:rFonts w:eastAsia="Times New Roman" w:cs="Times New Roman"/>
                <w:szCs w:val="20"/>
                <w:lang w:eastAsia="en-NZ"/>
              </w:rPr>
              <w:t>’</w:t>
            </w:r>
            <w:r w:rsidRPr="002D613F">
              <w:rPr>
                <w:rFonts w:eastAsia="Times New Roman" w:cs="Times New Roman"/>
                <w:szCs w:val="20"/>
                <w:lang w:eastAsia="en-NZ"/>
              </w:rPr>
              <w:t xml:space="preserve"> in foods and beverages. The regulatory norms define limits for calories (275 calories/100g or 70 calories/100mL), saturated fat (4g/100g or 3g/100mL), sugar (10g/100g or 5g/100mL) and sodium (400mg/100g or 1</w:t>
            </w:r>
            <w:r w:rsidR="000E462E" w:rsidRPr="002D613F">
              <w:rPr>
                <w:rFonts w:eastAsia="Times New Roman" w:cs="Times New Roman"/>
                <w:szCs w:val="20"/>
                <w:lang w:eastAsia="en-NZ"/>
              </w:rPr>
              <w:t>00mg/100mL) content considered ‘h</w:t>
            </w:r>
            <w:r w:rsidRPr="002D613F">
              <w:rPr>
                <w:rFonts w:eastAsia="Times New Roman" w:cs="Times New Roman"/>
                <w:szCs w:val="20"/>
                <w:lang w:eastAsia="en-NZ"/>
              </w:rPr>
              <w:t>igh</w:t>
            </w:r>
            <w:r w:rsidR="000E462E" w:rsidRPr="002D613F">
              <w:rPr>
                <w:rFonts w:eastAsia="Times New Roman" w:cs="Times New Roman"/>
                <w:szCs w:val="20"/>
                <w:lang w:eastAsia="en-NZ"/>
              </w:rPr>
              <w:t>’</w:t>
            </w:r>
            <w:r w:rsidRPr="002D613F">
              <w:rPr>
                <w:rFonts w:eastAsia="Times New Roman" w:cs="Times New Roman"/>
                <w:szCs w:val="20"/>
                <w:lang w:eastAsia="en-NZ"/>
              </w:rPr>
              <w:t xml:space="preserve"> in foods and beverages. </w:t>
            </w:r>
            <w:r w:rsidRPr="002D613F">
              <w:rPr>
                <w:rFonts w:eastAsia="Times New Roman" w:cs="Times New Roman"/>
                <w:szCs w:val="20"/>
                <w:lang w:eastAsia="en-NZ"/>
              </w:rPr>
              <w:lastRenderedPageBreak/>
              <w:t>The law proh</w:t>
            </w:r>
            <w:r w:rsidR="000E462E" w:rsidRPr="002D613F">
              <w:rPr>
                <w:rFonts w:eastAsia="Times New Roman" w:cs="Times New Roman"/>
                <w:szCs w:val="20"/>
                <w:lang w:eastAsia="en-NZ"/>
              </w:rPr>
              <w:t>ibits the sale of foods in the ‘</w:t>
            </w:r>
            <w:r w:rsidRPr="002D613F">
              <w:rPr>
                <w:rFonts w:eastAsia="Times New Roman" w:cs="Times New Roman"/>
                <w:szCs w:val="20"/>
                <w:lang w:eastAsia="en-NZ"/>
              </w:rPr>
              <w:t>high in</w:t>
            </w:r>
            <w:r w:rsidR="000E462E" w:rsidRPr="002D613F">
              <w:rPr>
                <w:rFonts w:eastAsia="Times New Roman" w:cs="Times New Roman"/>
                <w:szCs w:val="20"/>
                <w:lang w:eastAsia="en-NZ"/>
              </w:rPr>
              <w:t>’</w:t>
            </w:r>
            <w:r w:rsidRPr="002D613F">
              <w:rPr>
                <w:rFonts w:eastAsia="Times New Roman" w:cs="Times New Roman"/>
                <w:szCs w:val="20"/>
                <w:lang w:eastAsia="en-NZ"/>
              </w:rPr>
              <w:t xml:space="preserve"> category in schools. These were scheduled to take effect 1 July 2016 </w:t>
            </w:r>
            <w:r w:rsidR="007C652A" w:rsidRPr="002D613F">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{"citationItems":[{"id":"ITEM-1","itemData":{"URL":"http://www.wcrf.org/int/policy/nourishing-framework/offer-healthy-foods","author":[{"dropping-particle":"","family":"World Cancer Research Fund","given":"","non-dropping-particle":"","parse-names":false,"suffix":""}],"id":"ITEM-1","issue":"22/02/2016","issued":{"date-parts":[["2016"]]},"title":"NOURISHING Framework - Offer healthy foods","type":"webpage"},"uris":["http://www.mendeley.com/documents/?uuid=ceeab7e8-6a86-40d5-bd69-1d1489b772ad","http://www.mendeley.com/documents/?uuid=b5e39f7e-b5a8-36b6-991a-016c88f289be"]}],"mendeley":{"formattedCitation":"(101)","plainTextFormattedCitation":"(101)","previouslyFormattedCitation":"(101)"},"properties":{"noteIndex":0},"schema":"https://github.com/citation-style-language/schema/raw/master/csl-citation.json"}</w:instrText>
            </w:r>
            <w:r w:rsidR="007C652A" w:rsidRPr="002D613F">
              <w:rPr>
                <w:rFonts w:eastAsia="Times New Roman" w:cs="Times New Roman"/>
                <w:szCs w:val="20"/>
                <w:lang w:eastAsia="en-NZ"/>
              </w:rPr>
              <w:fldChar w:fldCharType="separate"/>
            </w:r>
            <w:r w:rsidR="004C06EB" w:rsidRPr="004C06EB">
              <w:rPr>
                <w:rFonts w:eastAsia="Times New Roman" w:cs="Times New Roman"/>
                <w:noProof/>
                <w:szCs w:val="20"/>
                <w:lang w:eastAsia="en-NZ"/>
              </w:rPr>
              <w:t>(101)</w:t>
            </w:r>
            <w:r w:rsidR="007C652A" w:rsidRPr="002D613F">
              <w:rPr>
                <w:rFonts w:eastAsia="Times New Roman" w:cs="Times New Roman"/>
                <w:szCs w:val="20"/>
                <w:lang w:eastAsia="en-NZ"/>
              </w:rPr>
              <w:fldChar w:fldCharType="end"/>
            </w:r>
            <w:r w:rsidR="007C652A" w:rsidRPr="002D613F">
              <w:rPr>
                <w:rFonts w:eastAsia="Times New Roman" w:cs="Times New Roman"/>
                <w:szCs w:val="20"/>
                <w:lang w:eastAsia="en-NZ"/>
              </w:rPr>
              <w:t>.</w:t>
            </w:r>
          </w:p>
          <w:p w14:paraId="093D3BDD" w14:textId="071575CE" w:rsidR="002D613F" w:rsidRPr="00782E38" w:rsidRDefault="002D613F" w:rsidP="002D613F">
            <w:pPr>
              <w:pStyle w:val="ListParagraph"/>
              <w:numPr>
                <w:ilvl w:val="0"/>
                <w:numId w:val="61"/>
              </w:numPr>
              <w:spacing w:before="40" w:after="40"/>
              <w:ind w:left="284" w:hanging="284"/>
              <w:contextualSpacing w:val="0"/>
              <w:rPr>
                <w:rFonts w:eastAsia="Times New Roman" w:cs="Times New Roman"/>
                <w:szCs w:val="20"/>
                <w:lang w:eastAsia="en-NZ"/>
              </w:rPr>
            </w:pPr>
            <w:r w:rsidRPr="00782E38">
              <w:rPr>
                <w:rFonts w:eastAsia="Times New Roman" w:cs="Times New Roman"/>
                <w:b/>
                <w:szCs w:val="20"/>
                <w:lang w:val="en" w:eastAsia="en-NZ"/>
              </w:rPr>
              <w:t>Jamaica:</w:t>
            </w:r>
            <w:r w:rsidRPr="00782E38">
              <w:rPr>
                <w:rFonts w:eastAsia="Times New Roman" w:cs="Times New Roman"/>
                <w:szCs w:val="20"/>
                <w:lang w:val="en" w:eastAsia="en-NZ"/>
              </w:rPr>
              <w:t xml:space="preserve"> In November 2018, the Ministry of Health published mandatory nutrient guidelines for beverages sold/served within all public educational institutions for children (i.e. early childhood, primary level and secondary level). The guidelines prohibit sweetened beverages that exceed a maximum</w:t>
            </w:r>
            <w:r w:rsidRPr="00782E38">
              <w:rPr>
                <w:rFonts w:eastAsia="Times New Roman" w:cs="Times New Roman"/>
                <w:szCs w:val="20"/>
                <w:lang w:eastAsia="en-NZ"/>
              </w:rPr>
              <w:t xml:space="preserve"> sugar concentration of: 6g/100ml (effective 1 January 2019); 5g/100ml (effective 1 January 2020); 4g/100ml (effective 1 January 2021); and 2.5g/100ml (effective 1 January 2023). All unsweetened beverages are permitted. The guidelines also caution against beverages containing &gt;10mg/serve of caffeine, discourage the use of artificial sweeteners and recommend beverage portions sold/served of &lt;12 ounces (not including water) </w:t>
            </w:r>
            <w:r w:rsidRPr="00782E38">
              <w:rPr>
                <w:rFonts w:eastAsiaTheme="minorEastAsia"/>
                <w:szCs w:val="20"/>
                <w:lang w:eastAsia="en-GB"/>
              </w:rPr>
              <w:fldChar w:fldCharType="begin" w:fldLock="1"/>
            </w:r>
            <w:r w:rsidR="002B6CB8" w:rsidRPr="00782E38">
              <w:rPr>
                <w:szCs w:val="20"/>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Pr="00782E38">
              <w:rPr>
                <w:rFonts w:eastAsiaTheme="minorEastAsia"/>
                <w:szCs w:val="20"/>
                <w:lang w:eastAsia="en-GB"/>
              </w:rPr>
              <w:fldChar w:fldCharType="separate"/>
            </w:r>
            <w:r w:rsidR="00A90C92" w:rsidRPr="00782E38">
              <w:rPr>
                <w:noProof/>
                <w:szCs w:val="20"/>
              </w:rPr>
              <w:t>(31)</w:t>
            </w:r>
            <w:r w:rsidRPr="00782E38">
              <w:rPr>
                <w:rFonts w:eastAsiaTheme="minorEastAsia"/>
                <w:szCs w:val="20"/>
                <w:lang w:eastAsia="en-GB"/>
              </w:rPr>
              <w:fldChar w:fldCharType="end"/>
            </w:r>
            <w:r w:rsidRPr="00782E38">
              <w:rPr>
                <w:rFonts w:eastAsiaTheme="minorEastAsia"/>
                <w:szCs w:val="20"/>
                <w:lang w:eastAsia="en-GB"/>
              </w:rPr>
              <w:t>.</w:t>
            </w:r>
          </w:p>
          <w:p w14:paraId="2BCCB748" w14:textId="3147A2A8" w:rsidR="00CC1376" w:rsidRPr="0091450A" w:rsidRDefault="003A2BED" w:rsidP="002D613F">
            <w:pPr>
              <w:pStyle w:val="ListParagraph"/>
              <w:numPr>
                <w:ilvl w:val="0"/>
                <w:numId w:val="6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Brazil</w:t>
            </w:r>
            <w:r w:rsidRPr="0091450A">
              <w:rPr>
                <w:rFonts w:eastAsia="Times New Roman" w:cs="Times New Roman"/>
                <w:szCs w:val="20"/>
                <w:lang w:eastAsia="en-NZ"/>
              </w:rPr>
              <w:t>:  The national school feeding programme</w:t>
            </w:r>
            <w:r w:rsidR="004745E3" w:rsidRPr="0091450A">
              <w:rPr>
                <w:rFonts w:eastAsia="Times New Roman" w:cs="Times New Roman"/>
                <w:szCs w:val="20"/>
                <w:lang w:eastAsia="en-NZ"/>
              </w:rPr>
              <w:t xml:space="preserve"> </w:t>
            </w:r>
            <w:r w:rsidR="00C13F38"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{"citationItems":[{"id":"ITEM-1","itemData":{"URL":"http://www.fnde.gov.br/programas/alimentacao-escolar","author":[{"dropping-particle":"","family":"Fundo Nacional de Desinvolvimento da Educacao","given":"","non-dropping-particle":"","parse-names":false,"suffix":""}],"id":"ITEM-1","issue":"16/06/2016","issued":{"date-parts":[["2016"]]},"title":"Sobre o PNAE","type":"webpage"},"uris":["http://www.mendeley.com/documents/?uuid=3f8edaef-32d9-35ba-a364-5b5e39531a3f","http://www.mendeley.com/documents/?uuid=56c676c0-ae89-4fb4-abf7-97eca7a5cd36"]}],"mendeley":{"formattedCitation":"(102)","plainTextFormattedCitation":"(102)","previouslyFormattedCitation":"(102)"},"properties":{"noteIndex":0},"schema":"https://github.com/citation-style-language/schema/raw/master/csl-citation.json"}</w:instrText>
            </w:r>
            <w:r w:rsidR="00C13F38"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(102)</w:t>
            </w:r>
            <w:r w:rsidR="00C13F38" w:rsidRPr="0091450A">
              <w:rPr>
                <w:rFonts w:eastAsia="Times New Roman" w:cs="Times New Roman"/>
                <w:szCs w:val="20"/>
                <w:lang w:eastAsia="en-NZ"/>
              </w:rPr>
              <w:fldChar w:fldCharType="end"/>
            </w:r>
            <w:r w:rsidRPr="0091450A">
              <w:rPr>
                <w:rFonts w:eastAsia="Times New Roman" w:cs="Times New Roman"/>
                <w:szCs w:val="20"/>
                <w:lang w:eastAsia="en-NZ"/>
              </w:rPr>
              <w:t xml:space="preserve"> places great emphasis on the availability of fresh, traditional and minimally processed foods. It mandates a weekly minimum of fruits and vegetables regulates sodium content and restricts the availability of sweets in school meals. A school food procurement law </w:t>
            </w:r>
            <w:r w:rsidR="00C13F38"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{"citationItems":[{"id":"ITEM-1","itemData":{"author":[{"dropping-particle":"","family":"Ministry of Education","given":"","non-dropping-particle":"","parse-names":false,"suffix":""}],"id":"ITEM-1","issued":{"date-parts":[["2016"]]},"publisher":"Ministry of Education","publisher-place":"Brazil","title":"National Fund for Education Development, Resolution No 26 of 17 June 2013 (Ministério da Educação, Fundo Nacional de Desenvolvimento da Educação, Resolução No 26 de 17 de junho de 2013)","type":"report"},"uris":["http://www.mendeley.com/documents/?uuid=7114ca8e-b893-3ddd-900a-c4c13c8062f4","http://www.mendeley.com/documents/?uuid=36c0a761-a7ea-4f85-8c9c-77c9e001941e"]}],"mendeley":{"formattedCitation":"(103)","plainTextFormattedCitation":"(103)","previouslyFormattedCitation":"(103)"},"properties":{"noteIndex":0},"schema":"https://github.com/citation-style-language/schema/raw/master/csl-citation.json"}</w:instrText>
            </w:r>
            <w:r w:rsidR="00C13F38"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(103)</w:t>
            </w:r>
            <w:r w:rsidR="00C13F38" w:rsidRPr="0091450A">
              <w:rPr>
                <w:rFonts w:eastAsia="Times New Roman" w:cs="Times New Roman"/>
                <w:szCs w:val="20"/>
                <w:lang w:eastAsia="en-NZ"/>
              </w:rPr>
              <w:fldChar w:fldCharType="end"/>
            </w:r>
            <w:r w:rsidRPr="0091450A">
              <w:rPr>
                <w:rFonts w:eastAsia="Times New Roman" w:cs="Times New Roman"/>
                <w:szCs w:val="20"/>
                <w:lang w:eastAsia="en-NZ"/>
              </w:rPr>
              <w:t xml:space="preserve">, approved in 2001, limits the </w:t>
            </w:r>
            <w:r w:rsidR="00B60C53">
              <w:rPr>
                <w:rFonts w:eastAsia="Times New Roman" w:cs="Times New Roman"/>
                <w:szCs w:val="20"/>
                <w:lang w:eastAsia="en-NZ"/>
              </w:rPr>
              <w:t>number</w:t>
            </w:r>
            <w:r w:rsidRPr="0091450A">
              <w:rPr>
                <w:rFonts w:eastAsia="Times New Roman" w:cs="Times New Roman"/>
                <w:szCs w:val="20"/>
                <w:lang w:eastAsia="en-NZ"/>
              </w:rPr>
              <w:t xml:space="preserve"> of processed foods purchased by schools to 30% and bans the procurement of drinks with low nutritional value, such as sugary drinks. The law requires schools to buy locally grown or manufactured products, supporting small farmers and stimulating the local economy. Resolution no 38 (16 July 2009) sets food- and nutrition-based standards for the foods available in the national school meal programme (Law 11.947/2009). </w:t>
            </w:r>
          </w:p>
          <w:p w14:paraId="0EBE702A" w14:textId="3E7E2A3B" w:rsidR="005E4F91" w:rsidRPr="0091450A" w:rsidRDefault="003A2BED" w:rsidP="002D613F">
            <w:pPr>
              <w:pStyle w:val="ListParagraph"/>
              <w:spacing w:before="40" w:after="40"/>
              <w:ind w:left="284"/>
              <w:contextualSpacing w:val="0"/>
              <w:rPr>
                <w:rFonts w:eastAsia="Times New Roman" w:cs="Times New Roman"/>
                <w:szCs w:val="20"/>
                <w:lang w:eastAsia="en-NZ"/>
              </w:rPr>
            </w:pPr>
            <w:r w:rsidRPr="0091450A">
              <w:rPr>
                <w:rFonts w:eastAsia="Times New Roman" w:cs="Times New Roman"/>
                <w:szCs w:val="20"/>
                <w:lang w:eastAsia="en-NZ"/>
              </w:rPr>
              <w:t xml:space="preserve">Article 17 prohibits drinks of low nutritional </w:t>
            </w:r>
            <w:r w:rsidR="003718D9" w:rsidRPr="0091450A">
              <w:rPr>
                <w:rFonts w:eastAsia="Times New Roman" w:cs="Times New Roman"/>
                <w:szCs w:val="20"/>
                <w:lang w:eastAsia="en-NZ"/>
              </w:rPr>
              <w:t>value (</w:t>
            </w:r>
            <w:r w:rsidR="00BE5B01" w:rsidRPr="0091450A">
              <w:rPr>
                <w:rFonts w:eastAsia="Times New Roman" w:cs="Times New Roman"/>
                <w:szCs w:val="20"/>
                <w:lang w:eastAsia="en-NZ"/>
              </w:rPr>
              <w:t>e.g.</w:t>
            </w:r>
            <w:r w:rsidRPr="0091450A">
              <w:rPr>
                <w:rFonts w:eastAsia="Times New Roman" w:cs="Times New Roman"/>
                <w:szCs w:val="20"/>
                <w:lang w:eastAsia="en-NZ"/>
              </w:rPr>
              <w:t xml:space="preserve"> soda), canned meats, confectionary and processed foods with a sodium and saturated fat content higher than a specified threshold</w:t>
            </w:r>
            <w:r w:rsidR="5AC0CDEF" w:rsidRPr="0091450A">
              <w:rPr>
                <w:rFonts w:eastAsia="Times New Roman" w:cs="Times New Roman"/>
                <w:lang w:eastAsia="en-NZ"/>
              </w:rPr>
              <w:t>.</w:t>
            </w:r>
          </w:p>
        </w:tc>
      </w:tr>
    </w:tbl>
    <w:p w14:paraId="7DBD0231" w14:textId="3793D046" w:rsidR="003E26F2" w:rsidRPr="0091450A" w:rsidRDefault="003E26F2" w:rsidP="002D613F">
      <w:pPr>
        <w:spacing w:after="0" w:line="240" w:lineRule="auto"/>
      </w:pPr>
    </w:p>
    <w:tbl>
      <w:tblPr>
        <w:tblStyle w:val="TableGrid"/>
        <w:tblW w:w="9209" w:type="dxa"/>
        <w:tblLook w:val="04A0" w:firstRow="1" w:lastRow="0" w:firstColumn="1" w:lastColumn="0" w:noHBand="0" w:noVBand="1"/>
      </w:tblPr>
      <w:tblGrid>
        <w:gridCol w:w="9209"/>
      </w:tblGrid>
      <w:tr w:rsidR="006A698B" w:rsidRPr="0091450A" w14:paraId="37420F0B" w14:textId="77777777" w:rsidTr="00A41587">
        <w:tc>
          <w:tcPr>
            <w:tcW w:w="9209" w:type="dxa"/>
          </w:tcPr>
          <w:p w14:paraId="570A0A82" w14:textId="17CD680C" w:rsidR="006A698B" w:rsidRPr="0091450A" w:rsidRDefault="006A698B"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5 FOOD PROVISION: </w:t>
            </w:r>
            <w:r w:rsidR="00775085" w:rsidRPr="0091450A">
              <w:rPr>
                <w:rFonts w:cs="Times New Roman"/>
                <w:bCs/>
                <w:szCs w:val="20"/>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r>
      <w:tr w:rsidR="006A698B" w:rsidRPr="0091450A" w14:paraId="6EBA733B" w14:textId="77777777" w:rsidTr="00A41587">
        <w:tc>
          <w:tcPr>
            <w:tcW w:w="9209" w:type="dxa"/>
          </w:tcPr>
          <w:p w14:paraId="7C47EF76" w14:textId="1A5FEE65" w:rsidR="006A698B" w:rsidRPr="0091450A" w:rsidRDefault="003E26F2" w:rsidP="002D613F">
            <w:pPr>
              <w:spacing w:before="40" w:after="40"/>
              <w:rPr>
                <w:rFonts w:cs="Times New Roman"/>
                <w:b/>
                <w:color w:val="1F497D" w:themeColor="text2"/>
                <w:sz w:val="28"/>
                <w:szCs w:val="28"/>
              </w:rPr>
            </w:pPr>
            <w:bookmarkStart w:id="34" w:name="_Toc31623732"/>
            <w:r w:rsidRPr="0091450A">
              <w:rPr>
                <w:rStyle w:val="Heading3Char"/>
              </w:rPr>
              <w:t>PROV2</w:t>
            </w:r>
            <w:bookmarkEnd w:id="34"/>
            <w:r w:rsidR="006A698B" w:rsidRPr="0091450A">
              <w:rPr>
                <w:rFonts w:cs="Times New Roman"/>
                <w:b/>
                <w:color w:val="1F497D" w:themeColor="text2"/>
                <w:sz w:val="28"/>
                <w:szCs w:val="28"/>
              </w:rPr>
              <w:t xml:space="preserve">: </w:t>
            </w:r>
            <w:r w:rsidR="006A698B" w:rsidRPr="0091450A">
              <w:rPr>
                <w:rFonts w:cs="Times New Roman"/>
                <w:b/>
                <w:color w:val="000000"/>
                <w:lang w:eastAsia="en-NZ"/>
              </w:rPr>
              <w:t>The government ensures that there are clear, consistent policies in other public sector settings for food service activities (canteens, food at events, fundraising, promotions, vending machines</w:t>
            </w:r>
            <w:r w:rsidR="002445A7" w:rsidRPr="0091450A">
              <w:rPr>
                <w:rFonts w:cs="Times New Roman"/>
                <w:b/>
                <w:color w:val="000000"/>
                <w:lang w:eastAsia="en-NZ"/>
              </w:rPr>
              <w:t xml:space="preserve">, </w:t>
            </w:r>
            <w:r w:rsidR="005B29E4" w:rsidRPr="0091450A">
              <w:rPr>
                <w:rFonts w:cs="Times New Roman"/>
                <w:b/>
                <w:color w:val="000000"/>
                <w:lang w:eastAsia="en-NZ"/>
              </w:rPr>
              <w:t xml:space="preserve">public </w:t>
            </w:r>
            <w:r w:rsidR="002445A7" w:rsidRPr="0091450A">
              <w:rPr>
                <w:rFonts w:cs="Times New Roman"/>
                <w:b/>
                <w:color w:val="000000"/>
                <w:lang w:eastAsia="en-NZ"/>
              </w:rPr>
              <w:t>procurement standards</w:t>
            </w:r>
            <w:r w:rsidR="006A698B" w:rsidRPr="0091450A">
              <w:rPr>
                <w:rFonts w:cs="Times New Roman"/>
                <w:b/>
                <w:color w:val="000000"/>
                <w:lang w:eastAsia="en-NZ"/>
              </w:rPr>
              <w:t xml:space="preserve"> etc.) to provide and promote healthy food choices</w:t>
            </w:r>
          </w:p>
        </w:tc>
      </w:tr>
      <w:tr w:rsidR="006A698B" w:rsidRPr="0091450A" w14:paraId="40718797" w14:textId="77777777" w:rsidTr="00A41587">
        <w:tc>
          <w:tcPr>
            <w:tcW w:w="9209" w:type="dxa"/>
          </w:tcPr>
          <w:p w14:paraId="17DB3D23" w14:textId="7502DA2E"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FFFA098" w14:textId="3A83A119" w:rsidR="00924D26" w:rsidRPr="00B549E8" w:rsidRDefault="00ED48EA" w:rsidP="007159FF">
            <w:pPr>
              <w:pStyle w:val="ListParagraph"/>
              <w:numPr>
                <w:ilvl w:val="0"/>
                <w:numId w:val="8"/>
              </w:numPr>
              <w:shd w:val="clear" w:color="auto" w:fill="FFFFFF" w:themeFill="background1"/>
              <w:spacing w:after="200"/>
              <w:ind w:left="284" w:hanging="284"/>
              <w:rPr>
                <w:rFonts w:cs="Times New Roman"/>
                <w:szCs w:val="20"/>
                <w:lang w:eastAsia="en-NZ"/>
              </w:rPr>
            </w:pPr>
            <w:r w:rsidRPr="0091450A">
              <w:rPr>
                <w:szCs w:val="20"/>
              </w:rPr>
              <w:t>A ‘National</w:t>
            </w:r>
            <w:r w:rsidRPr="0091450A">
              <w:rPr>
                <w:b/>
                <w:bCs/>
                <w:szCs w:val="20"/>
              </w:rPr>
              <w:t xml:space="preserve"> </w:t>
            </w:r>
            <w:r w:rsidRPr="0091450A">
              <w:rPr>
                <w:szCs w:val="20"/>
              </w:rPr>
              <w:t xml:space="preserve">Healthy Food and Drink Policy’ was developed in 2016 by the DHB Healthy Food and Drink Environment Network.  The policy was reviewed in 2018/19 resulting in a second edition to make the policy </w:t>
            </w:r>
            <w:r w:rsidR="00FD151E" w:rsidRPr="0091450A">
              <w:rPr>
                <w:szCs w:val="20"/>
              </w:rPr>
              <w:t>more practical and easier</w:t>
            </w:r>
            <w:r w:rsidRPr="0091450A">
              <w:rPr>
                <w:szCs w:val="20"/>
              </w:rPr>
              <w:t xml:space="preserve"> to follow while maintaining its alignment to the Ministry of Health Eating and Activity Guidelines</w:t>
            </w:r>
            <w:r w:rsidR="002D0462">
              <w:rPr>
                <w:szCs w:val="20"/>
              </w:rPr>
              <w:t xml:space="preserve"> </w:t>
            </w:r>
            <w:r w:rsidR="002D0462">
              <w:rPr>
                <w:szCs w:val="20"/>
              </w:rPr>
              <w:fldChar w:fldCharType="begin" w:fldLock="1"/>
            </w:r>
            <w:r w:rsidR="009C4029">
              <w:rPr>
                <w:szCs w:val="20"/>
              </w:rPr>
              <w:instrText>ADDIN CSL_CITATION {"citationItems":[{"id":"ITEM-1","itemData":{"author":[{"dropping-particle":"","family":"National District Health Board Food and Network Drink Environments","given":"","non-dropping-particle":"","parse-names":false,"suffix":""}],"edition":"2nd","id":"ITEM-1","issued":{"date-parts":[["2019"]]},"publisher":"Ministry of Health","publisher-place":"Wellington","title":"National Healthy Food and Drink Policy (2nd ed)","type":"book"},"uris":["http://www.mendeley.com/documents/?uuid=13be512e-9186-458f-bffc-1057b1621b3a"]}],"mendeley":{"formattedCitation":"(104)","plainTextFormattedCitation":"(104)","previouslyFormattedCitation":"(104)"},"properties":{"noteIndex":0},"schema":"https://github.com/citation-style-language/schema/raw/master/csl-citation.json"}</w:instrText>
            </w:r>
            <w:r w:rsidR="002D0462">
              <w:rPr>
                <w:szCs w:val="20"/>
              </w:rPr>
              <w:fldChar w:fldCharType="separate"/>
            </w:r>
            <w:r w:rsidR="004C06EB" w:rsidRPr="004C06EB">
              <w:rPr>
                <w:noProof/>
                <w:szCs w:val="20"/>
              </w:rPr>
              <w:t>(104)</w:t>
            </w:r>
            <w:r w:rsidR="002D0462">
              <w:rPr>
                <w:szCs w:val="20"/>
              </w:rPr>
              <w:fldChar w:fldCharType="end"/>
            </w:r>
            <w:r w:rsidRPr="0091450A">
              <w:rPr>
                <w:szCs w:val="20"/>
              </w:rPr>
              <w:t>. The resulting changes were relatively small and mostly specific to the nutrient criteria</w:t>
            </w:r>
            <w:r w:rsidR="00DB1BA1" w:rsidRPr="0091450A">
              <w:rPr>
                <w:szCs w:val="20"/>
              </w:rPr>
              <w:t xml:space="preserve">. </w:t>
            </w:r>
            <w:r w:rsidRPr="0091450A">
              <w:rPr>
                <w:szCs w:val="20"/>
              </w:rPr>
              <w:t xml:space="preserve">By the end of 2019, six DHBs had adopted the national policy for DHB, one had adopted the national policy for organisations, six had their own policy, supported by or aligning with the national policy and seven were working towards national policy with plans to adopt in early 2020. (personal </w:t>
            </w:r>
            <w:r w:rsidRPr="00B549E8">
              <w:rPr>
                <w:szCs w:val="20"/>
              </w:rPr>
              <w:t xml:space="preserve">communication. </w:t>
            </w:r>
            <w:r w:rsidRPr="00B549E8">
              <w:rPr>
                <w:rFonts w:cs="Times New Roman"/>
                <w:szCs w:val="20"/>
                <w:lang w:eastAsia="en-NZ"/>
              </w:rPr>
              <w:t xml:space="preserve">A similar policy appropriate for adoption by other organisations and workplaces has also been developed – Healthy Food and Drink Policy for Organisations </w:t>
            </w:r>
            <w:r w:rsidRPr="00B549E8">
              <w:rPr>
                <w:rFonts w:cs="Times New Roman"/>
                <w:szCs w:val="20"/>
                <w:lang w:eastAsia="en-NZ"/>
              </w:rPr>
              <w:fldChar w:fldCharType="begin" w:fldLock="1"/>
            </w:r>
            <w:r w:rsidR="009C4029" w:rsidRPr="00B549E8">
              <w:rPr>
                <w:rFonts w:cs="Times New Roman"/>
                <w:szCs w:val="20"/>
                <w:lang w:eastAsia="en-NZ"/>
              </w:rPr>
              <w:instrText>ADDIN CSL_CITATION {"citationItems":[{"id":"ITEM-1","itemData":{"URL":"http://www.health.govt.nz/system/files/documents/publications/healthy-food-and-drink-policy-for-organisations-sept20-16.pdf","author":[{"dropping-particle":"","family":"Ministry of Health","given":"","non-dropping-particle":"","parse-names":false,"suffix":""}],"id":"ITEM-1","issue":"4/12/2016","issued":{"date-parts":[["2016"]]},"title":"Healthy Food and Drink Policy for Organisations ","type":"webpage"},"uris":["http://www.mendeley.com/documents/?uuid=4b25ddd2-126d-37f3-b071-a46d6fad57d7","http://www.mendeley.com/documents/?uuid=e44ea4cf-6b70-4104-a5f6-5daa3b047c4a"]}],"mendeley":{"formattedCitation":"(105)","plainTextFormattedCitation":"(105)","previouslyFormattedCitation":"(105)"},"properties":{"noteIndex":0},"schema":"https://github.com/citation-style-language/schema/raw/master/csl-citation.json"}</w:instrText>
            </w:r>
            <w:r w:rsidRPr="00B549E8">
              <w:rPr>
                <w:rFonts w:cs="Times New Roman"/>
                <w:szCs w:val="20"/>
                <w:lang w:eastAsia="en-NZ"/>
              </w:rPr>
              <w:fldChar w:fldCharType="separate"/>
            </w:r>
            <w:r w:rsidR="004C06EB" w:rsidRPr="00B549E8">
              <w:rPr>
                <w:rFonts w:cs="Times New Roman"/>
                <w:noProof/>
                <w:szCs w:val="20"/>
                <w:lang w:eastAsia="en-NZ"/>
              </w:rPr>
              <w:t>(105)</w:t>
            </w:r>
            <w:r w:rsidRPr="00B549E8">
              <w:rPr>
                <w:rFonts w:cs="Times New Roman"/>
                <w:szCs w:val="20"/>
                <w:lang w:eastAsia="en-NZ"/>
              </w:rPr>
              <w:fldChar w:fldCharType="end"/>
            </w:r>
            <w:r w:rsidRPr="00B549E8">
              <w:rPr>
                <w:rFonts w:cs="Times New Roman"/>
                <w:szCs w:val="20"/>
                <w:lang w:eastAsia="en-NZ"/>
              </w:rPr>
              <w:t xml:space="preserve">. </w:t>
            </w:r>
          </w:p>
          <w:p w14:paraId="2DA8E5DE" w14:textId="6645BD23" w:rsidR="00ED48EA" w:rsidRPr="00B549E8" w:rsidRDefault="00924D26" w:rsidP="007159FF">
            <w:pPr>
              <w:pStyle w:val="ListParagraph"/>
              <w:numPr>
                <w:ilvl w:val="0"/>
                <w:numId w:val="8"/>
              </w:numPr>
              <w:shd w:val="clear" w:color="auto" w:fill="FFFFFF" w:themeFill="background1"/>
              <w:spacing w:after="200"/>
              <w:ind w:left="284" w:hanging="284"/>
              <w:rPr>
                <w:rFonts w:cs="Times New Roman"/>
                <w:szCs w:val="20"/>
                <w:lang w:eastAsia="en-NZ"/>
              </w:rPr>
            </w:pPr>
            <w:r w:rsidRPr="00B549E8">
              <w:t xml:space="preserve">As of 2018, the Heart Foundation has supported the Ministry of Health with the implementation of the Food and Drink Policy across government agencies. A toolbox of fourteen supporting resources has been developed in partnership with other members of the national working group. </w:t>
            </w:r>
            <w:r w:rsidR="00FD151E" w:rsidRPr="00B549E8">
              <w:t>There has also been</w:t>
            </w:r>
            <w:r w:rsidRPr="00B549E8">
              <w:t xml:space="preserve"> engage</w:t>
            </w:r>
            <w:r w:rsidR="00FD151E" w:rsidRPr="00B549E8">
              <w:t>ment</w:t>
            </w:r>
            <w:r w:rsidRPr="00B549E8">
              <w:t xml:space="preserve"> with seven government agencies. Six agencies have tak</w:t>
            </w:r>
            <w:r w:rsidR="00FD151E" w:rsidRPr="00B549E8">
              <w:t>en</w:t>
            </w:r>
            <w:r w:rsidRPr="00B549E8">
              <w:t xml:space="preserve"> steps to implement the Food and Drink policy within their organisation</w:t>
            </w:r>
            <w:r w:rsidR="00FD151E" w:rsidRPr="00B549E8">
              <w:t xml:space="preserve"> (personal communication, </w:t>
            </w:r>
            <w:r w:rsidR="0091450A" w:rsidRPr="00B549E8">
              <w:t>Heart Foundation</w:t>
            </w:r>
            <w:r w:rsidR="00FD151E" w:rsidRPr="00B549E8">
              <w:t>, 2020)</w:t>
            </w:r>
          </w:p>
          <w:p w14:paraId="65E64191" w14:textId="0594D677" w:rsidR="007E706C" w:rsidRPr="00B549E8" w:rsidRDefault="007511E4" w:rsidP="002D613F">
            <w:pPr>
              <w:pStyle w:val="ListParagraph"/>
              <w:numPr>
                <w:ilvl w:val="0"/>
                <w:numId w:val="8"/>
              </w:numPr>
              <w:shd w:val="clear" w:color="auto" w:fill="FFFFFF" w:themeFill="background1"/>
              <w:ind w:left="284" w:hanging="284"/>
              <w:rPr>
                <w:rFonts w:cs="Times New Roman"/>
                <w:szCs w:val="20"/>
                <w:lang w:eastAsia="en-NZ"/>
              </w:rPr>
            </w:pPr>
            <w:r w:rsidRPr="00B549E8">
              <w:rPr>
                <w:rFonts w:cs="Times New Roman"/>
                <w:szCs w:val="20"/>
                <w:lang w:eastAsia="en-NZ"/>
              </w:rPr>
              <w:t>Childhood</w:t>
            </w:r>
            <w:r w:rsidR="00EA4AD4" w:rsidRPr="00B549E8">
              <w:rPr>
                <w:rFonts w:cs="Times New Roman"/>
                <w:szCs w:val="20"/>
                <w:lang w:eastAsia="en-NZ"/>
              </w:rPr>
              <w:t xml:space="preserve"> O</w:t>
            </w:r>
            <w:r w:rsidR="00D24639" w:rsidRPr="00B549E8">
              <w:rPr>
                <w:rFonts w:cs="Times New Roman"/>
                <w:szCs w:val="20"/>
                <w:lang w:eastAsia="en-NZ"/>
              </w:rPr>
              <w:t xml:space="preserve">besity </w:t>
            </w:r>
            <w:r w:rsidR="00EA4AD4" w:rsidRPr="00B549E8">
              <w:rPr>
                <w:rFonts w:cs="Times New Roman"/>
                <w:szCs w:val="20"/>
                <w:lang w:eastAsia="en-NZ"/>
              </w:rPr>
              <w:t>P</w:t>
            </w:r>
            <w:r w:rsidR="00D24639" w:rsidRPr="00B549E8">
              <w:rPr>
                <w:rFonts w:cs="Times New Roman"/>
                <w:szCs w:val="20"/>
                <w:lang w:eastAsia="en-NZ"/>
              </w:rPr>
              <w:t>lan</w:t>
            </w:r>
            <w:r w:rsidR="004632DE" w:rsidRPr="00B549E8">
              <w:rPr>
                <w:rFonts w:cs="Times New Roman"/>
                <w:szCs w:val="20"/>
                <w:lang w:eastAsia="en-NZ"/>
              </w:rPr>
              <w:t>:</w:t>
            </w:r>
            <w:r w:rsidR="00C31863" w:rsidRPr="00B549E8">
              <w:rPr>
                <w:rFonts w:cs="Times New Roman"/>
                <w:szCs w:val="20"/>
                <w:lang w:eastAsia="en-NZ"/>
              </w:rPr>
              <w:t xml:space="preserve"> </w:t>
            </w:r>
            <w:r w:rsidR="004632DE" w:rsidRPr="00B549E8">
              <w:rPr>
                <w:rFonts w:cs="Times New Roman"/>
                <w:szCs w:val="20"/>
                <w:lang w:eastAsia="en-NZ"/>
              </w:rPr>
              <w:t xml:space="preserve">DHB Healthy food policies. All DHBs made a commitment to remove sugar-sweetened beverages from their campuses </w:t>
            </w:r>
            <w:r w:rsidR="00BE55DC" w:rsidRPr="00B549E8">
              <w:rPr>
                <w:rFonts w:cs="Times New Roman"/>
                <w:szCs w:val="20"/>
                <w:lang w:eastAsia="en-NZ"/>
              </w:rPr>
              <w:t xml:space="preserve">by Jan 2016 </w:t>
            </w:r>
            <w:r w:rsidR="00D170EA" w:rsidRPr="00B549E8">
              <w:rPr>
                <w:rFonts w:cs="Times New Roman"/>
                <w:szCs w:val="20"/>
                <w:lang w:eastAsia="en-NZ"/>
              </w:rPr>
              <w:fldChar w:fldCharType="begin" w:fldLock="1"/>
            </w:r>
            <w:r w:rsidR="00473ACB" w:rsidRPr="00B549E8">
              <w:rPr>
                <w:rFonts w:cs="Times New Roman"/>
                <w:szCs w:val="20"/>
                <w:lang w:eastAsia="en-NZ"/>
              </w:rPr>
              <w:instrText>ADDIN CSL_CITATION {"citationItems":[{"id":"ITEM-1","itemData":{"ISBN":"978-1-98-856829-4","author":[{"dropping-particle":"","family":"New Zealand. Ministry of Health.","given":"","non-dropping-particle":"","parse-names":false,"suffix":""}],"id":"ITEM-1","issued":{"date-parts":[["2019"]]},"title":"National Healthy Food and Drink Policy - 2nd Edition","type":"book"},"uris":["http://www.mendeley.com/documents/?uuid=5902d652-cdb8-362c-b213-88aa46e05588","http://www.mendeley.com/documents/?uuid=dd402a52-66fa-4194-9bff-a80ed1cb17ab"]}],"mendeley":{"formattedCitation":"(106)","plainTextFormattedCitation":"(106)","previouslyFormattedCitation":"(106)"},"properties":{"noteIndex":0},"schema":"https://github.com/citation-style-language/schema/raw/master/csl-citation.json"}</w:instrText>
            </w:r>
            <w:r w:rsidR="00D170EA" w:rsidRPr="00B549E8">
              <w:rPr>
                <w:rFonts w:cs="Times New Roman"/>
                <w:szCs w:val="20"/>
                <w:lang w:eastAsia="en-NZ"/>
              </w:rPr>
              <w:fldChar w:fldCharType="separate"/>
            </w:r>
            <w:r w:rsidR="004C06EB" w:rsidRPr="00B549E8">
              <w:rPr>
                <w:rFonts w:cs="Times New Roman"/>
                <w:noProof/>
                <w:szCs w:val="20"/>
                <w:lang w:eastAsia="en-NZ"/>
              </w:rPr>
              <w:t>(106)</w:t>
            </w:r>
            <w:r w:rsidR="00D170EA" w:rsidRPr="00B549E8">
              <w:rPr>
                <w:rFonts w:cs="Times New Roman"/>
                <w:szCs w:val="20"/>
                <w:lang w:eastAsia="en-NZ"/>
              </w:rPr>
              <w:fldChar w:fldCharType="end"/>
            </w:r>
            <w:r w:rsidR="00FB131A" w:rsidRPr="00B549E8">
              <w:rPr>
                <w:rFonts w:cs="Times New Roman"/>
                <w:szCs w:val="20"/>
                <w:lang w:eastAsia="en-NZ"/>
              </w:rPr>
              <w:t>.</w:t>
            </w:r>
            <w:r w:rsidR="004632DE" w:rsidRPr="00B549E8">
              <w:rPr>
                <w:rFonts w:cs="Times New Roman"/>
                <w:szCs w:val="20"/>
                <w:lang w:eastAsia="en-NZ"/>
              </w:rPr>
              <w:t xml:space="preserve"> </w:t>
            </w:r>
          </w:p>
          <w:p w14:paraId="5CBF592F" w14:textId="00046E9F" w:rsidR="007E706C" w:rsidRPr="00B549E8" w:rsidRDefault="007E706C" w:rsidP="007159FF">
            <w:pPr>
              <w:pStyle w:val="ListParagraph"/>
              <w:numPr>
                <w:ilvl w:val="0"/>
                <w:numId w:val="8"/>
              </w:numPr>
              <w:shd w:val="clear" w:color="auto" w:fill="FFFFFF" w:themeFill="background1"/>
              <w:ind w:left="284" w:hanging="284"/>
              <w:rPr>
                <w:rFonts w:cs="Times New Roman"/>
                <w:szCs w:val="20"/>
                <w:lang w:eastAsia="en-NZ"/>
              </w:rPr>
            </w:pPr>
            <w:r w:rsidRPr="00B549E8">
              <w:rPr>
                <w:rFonts w:cs="Times New Roman"/>
                <w:szCs w:val="20"/>
                <w:lang w:eastAsia="en-NZ"/>
              </w:rPr>
              <w:t xml:space="preserve">Healthy </w:t>
            </w:r>
            <w:r w:rsidR="00B549E8" w:rsidRPr="00B549E8">
              <w:rPr>
                <w:rFonts w:cs="Times New Roman"/>
                <w:szCs w:val="20"/>
                <w:lang w:eastAsia="en-NZ"/>
              </w:rPr>
              <w:t>F</w:t>
            </w:r>
            <w:r w:rsidRPr="00B549E8">
              <w:rPr>
                <w:rFonts w:cs="Times New Roman"/>
                <w:szCs w:val="20"/>
                <w:lang w:eastAsia="en-NZ"/>
              </w:rPr>
              <w:t xml:space="preserve">amilies </w:t>
            </w:r>
            <w:r w:rsidR="00B549E8" w:rsidRPr="00B549E8">
              <w:rPr>
                <w:rFonts w:cs="Times New Roman"/>
                <w:szCs w:val="20"/>
                <w:lang w:eastAsia="en-NZ"/>
              </w:rPr>
              <w:t>S</w:t>
            </w:r>
            <w:r w:rsidRPr="00B549E8">
              <w:rPr>
                <w:rFonts w:cs="Times New Roman"/>
                <w:szCs w:val="20"/>
                <w:lang w:eastAsia="en-NZ"/>
              </w:rPr>
              <w:t xml:space="preserve">outh and ARPHS have worked with AC leisure centres South to make Bronze guidelines in their cafeterias considered a minimum standard. This results in </w:t>
            </w:r>
            <w:r w:rsidR="00B60C53" w:rsidRPr="00B549E8">
              <w:rPr>
                <w:rFonts w:cs="Times New Roman"/>
                <w:szCs w:val="20"/>
                <w:lang w:eastAsia="en-NZ"/>
              </w:rPr>
              <w:t>an</w:t>
            </w:r>
            <w:r w:rsidRPr="00B549E8">
              <w:rPr>
                <w:rFonts w:cs="Times New Roman"/>
                <w:szCs w:val="20"/>
                <w:lang w:eastAsia="en-NZ"/>
              </w:rPr>
              <w:t xml:space="preserve"> increase in healthy food options, limits the amounts of deep-fried foods and offer only low – no </w:t>
            </w:r>
            <w:r w:rsidR="00B549E8" w:rsidRPr="00B549E8">
              <w:rPr>
                <w:rFonts w:cs="Times New Roman"/>
                <w:szCs w:val="20"/>
                <w:lang w:eastAsia="en-NZ"/>
              </w:rPr>
              <w:t xml:space="preserve">sugar sweetened beverages </w:t>
            </w:r>
            <w:r w:rsidRPr="00B549E8">
              <w:rPr>
                <w:rFonts w:cs="Times New Roman"/>
                <w:szCs w:val="20"/>
                <w:lang w:eastAsia="en-NZ"/>
              </w:rPr>
              <w:t>(personal communication, HAT, 2020).</w:t>
            </w:r>
            <w:r w:rsidR="00E55059" w:rsidRPr="00B549E8">
              <w:rPr>
                <w:rFonts w:cs="Times New Roman"/>
                <w:szCs w:val="20"/>
                <w:lang w:eastAsia="en-NZ"/>
              </w:rPr>
              <w:t xml:space="preserve"> </w:t>
            </w:r>
          </w:p>
          <w:p w14:paraId="474EB63D" w14:textId="0803A639" w:rsidR="0035131E" w:rsidRPr="0091450A" w:rsidRDefault="00DC334E" w:rsidP="007159FF">
            <w:pPr>
              <w:pStyle w:val="ListParagraph"/>
              <w:numPr>
                <w:ilvl w:val="0"/>
                <w:numId w:val="8"/>
              </w:numPr>
              <w:shd w:val="clear" w:color="auto" w:fill="FFFFFF" w:themeFill="background1"/>
              <w:ind w:left="284" w:hanging="284"/>
              <w:rPr>
                <w:rFonts w:cs="Times New Roman"/>
                <w:szCs w:val="20"/>
                <w:lang w:eastAsia="en-NZ"/>
              </w:rPr>
            </w:pPr>
            <w:r w:rsidRPr="0091450A">
              <w:rPr>
                <w:rFonts w:cs="Times New Roman"/>
                <w:szCs w:val="20"/>
              </w:rPr>
              <w:t xml:space="preserve">Many of the DHBs commented that they had an implementation </w:t>
            </w:r>
            <w:r w:rsidR="00D2011B" w:rsidRPr="0091450A">
              <w:rPr>
                <w:rFonts w:cs="Times New Roman"/>
                <w:szCs w:val="20"/>
              </w:rPr>
              <w:t>group,</w:t>
            </w:r>
            <w:r w:rsidRPr="0091450A">
              <w:rPr>
                <w:rFonts w:cs="Times New Roman"/>
                <w:szCs w:val="20"/>
              </w:rPr>
              <w:t xml:space="preserve"> and some were undertaking audits of the food environment within DHB food outlets, including vending machines. Some DHBs were jointly implementing the policy across </w:t>
            </w:r>
            <w:r w:rsidR="00566D06" w:rsidRPr="0091450A">
              <w:rPr>
                <w:rFonts w:cs="Times New Roman"/>
                <w:szCs w:val="20"/>
              </w:rPr>
              <w:t>several</w:t>
            </w:r>
            <w:r w:rsidRPr="0091450A">
              <w:rPr>
                <w:rFonts w:cs="Times New Roman"/>
                <w:szCs w:val="20"/>
              </w:rPr>
              <w:t xml:space="preserve"> DHBs. </w:t>
            </w:r>
          </w:p>
          <w:p w14:paraId="5422D88B" w14:textId="4206248B" w:rsidR="00B039DE" w:rsidRPr="0091450A" w:rsidRDefault="00660332" w:rsidP="002D613F">
            <w:pPr>
              <w:pStyle w:val="ListParagraph"/>
              <w:numPr>
                <w:ilvl w:val="0"/>
                <w:numId w:val="8"/>
              </w:numPr>
              <w:shd w:val="clear" w:color="auto" w:fill="FFFFFF" w:themeFill="background1"/>
              <w:spacing w:before="40" w:after="40"/>
              <w:ind w:left="284" w:hanging="284"/>
              <w:contextualSpacing w:val="0"/>
              <w:rPr>
                <w:rFonts w:cs="Times New Roman"/>
                <w:szCs w:val="20"/>
                <w:lang w:eastAsia="en-NZ"/>
              </w:rPr>
            </w:pPr>
            <w:r w:rsidRPr="0091450A">
              <w:rPr>
                <w:rFonts w:cs="Times New Roman"/>
                <w:color w:val="000000"/>
                <w:szCs w:val="20"/>
                <w:lang w:eastAsia="en-NZ"/>
              </w:rPr>
              <w:t xml:space="preserve">The Department of Corrections states that meals provided to prisoners are in line with the </w:t>
            </w:r>
            <w:r w:rsidR="00BE55DC" w:rsidRPr="0091450A">
              <w:rPr>
                <w:rFonts w:cs="Times New Roman"/>
                <w:color w:val="000000"/>
                <w:szCs w:val="20"/>
                <w:lang w:eastAsia="en-NZ"/>
              </w:rPr>
              <w:t>Eating and Activity Guidelines</w:t>
            </w:r>
            <w:r w:rsidRPr="0091450A">
              <w:rPr>
                <w:rFonts w:cs="Times New Roman"/>
                <w:color w:val="000000"/>
                <w:szCs w:val="20"/>
                <w:lang w:eastAsia="en-NZ"/>
              </w:rPr>
              <w:t xml:space="preserve"> set by the MoH. The Department’s prison operations manual sets out performance </w:t>
            </w:r>
            <w:r w:rsidRPr="0091450A">
              <w:rPr>
                <w:rFonts w:cs="Times New Roman"/>
                <w:color w:val="000000"/>
                <w:szCs w:val="20"/>
                <w:lang w:eastAsia="en-NZ"/>
              </w:rPr>
              <w:lastRenderedPageBreak/>
              <w:t>standards surrounding catering, menus and responsibilities relating to prisoners with health issues, such as diabetes (personal communicat</w:t>
            </w:r>
            <w:r w:rsidR="00E53B40" w:rsidRPr="0091450A">
              <w:rPr>
                <w:rFonts w:cs="Times New Roman"/>
                <w:color w:val="000000"/>
                <w:szCs w:val="20"/>
                <w:lang w:eastAsia="en-NZ"/>
              </w:rPr>
              <w:t>ion</w:t>
            </w:r>
            <w:r w:rsidR="00255302" w:rsidRPr="0091450A">
              <w:rPr>
                <w:rFonts w:cs="Times New Roman"/>
                <w:color w:val="000000"/>
                <w:szCs w:val="20"/>
                <w:lang w:eastAsia="en-NZ"/>
              </w:rPr>
              <w:t>,</w:t>
            </w:r>
            <w:r w:rsidR="00E53B40" w:rsidRPr="0091450A">
              <w:rPr>
                <w:rFonts w:cs="Times New Roman"/>
                <w:color w:val="000000"/>
                <w:szCs w:val="20"/>
                <w:lang w:eastAsia="en-NZ"/>
              </w:rPr>
              <w:t xml:space="preserve"> Department of Corrections</w:t>
            </w:r>
            <w:r w:rsidR="00255302" w:rsidRPr="0091450A">
              <w:rPr>
                <w:rFonts w:cs="Times New Roman"/>
                <w:color w:val="000000"/>
                <w:szCs w:val="20"/>
                <w:lang w:eastAsia="en-NZ"/>
              </w:rPr>
              <w:t>, 2017</w:t>
            </w:r>
            <w:r w:rsidR="00E53B40" w:rsidRPr="0091450A">
              <w:rPr>
                <w:rFonts w:cs="Times New Roman"/>
                <w:color w:val="000000"/>
                <w:szCs w:val="20"/>
                <w:lang w:eastAsia="en-NZ"/>
              </w:rPr>
              <w:t>).</w:t>
            </w:r>
            <w:r w:rsidR="00E53B40" w:rsidRPr="0091450A">
              <w:rPr>
                <w:rFonts w:cs="Times New Roman"/>
                <w:szCs w:val="20"/>
                <w:lang w:eastAsia="en-NZ"/>
              </w:rPr>
              <w:t xml:space="preserve"> Prison Operations Manual </w:t>
            </w:r>
            <w:r w:rsidR="00702DFE" w:rsidRPr="0091450A">
              <w:rPr>
                <w:rFonts w:cs="Times New Roman"/>
                <w:szCs w:val="20"/>
                <w:lang w:eastAsia="en-NZ"/>
              </w:rPr>
              <w:fldChar w:fldCharType="begin" w:fldLock="1"/>
            </w:r>
            <w:r w:rsidR="009C4029">
              <w:rPr>
                <w:rFonts w:cs="Times New Roman"/>
                <w:szCs w:val="20"/>
                <w:lang w:eastAsia="en-NZ"/>
              </w:rPr>
              <w:instrText>ADDIN CSL_CITATION {"citationItems":[{"id":"ITEM-1","itemData":{"URL":"http://www.corrections.govt.nz/resources/policy_and_legislation/Prison-Operations-Manual/Public-RL/F.01.Res.html","author":[{"dropping-particle":"","family":"Department of Corrections","given":"","non-dropping-particle":"","parse-names":false,"suffix":""}],"id":"ITEM-1","issue":"13/12/2016","issued":{"date-parts":[["0"]]},"title":"F.01.Res.01 Catering","type":"webpage"},"uris":["http://www.mendeley.com/documents/?uuid=56292028-e5b5-3987-a38f-de165f07ec57","http://www.mendeley.com/documents/?uuid=48bf0080-a660-4efb-ba1f-16b70e9c81b2"]}],"mendeley":{"formattedCitation":"(107)","plainTextFormattedCitation":"(107)","previouslyFormattedCitation":"(107)"},"properties":{"noteIndex":0},"schema":"https://github.com/citation-style-language/schema/raw/master/csl-citation.json"}</w:instrText>
            </w:r>
            <w:r w:rsidR="00702DFE" w:rsidRPr="0091450A">
              <w:rPr>
                <w:rFonts w:cs="Times New Roman"/>
                <w:szCs w:val="20"/>
                <w:lang w:eastAsia="en-NZ"/>
              </w:rPr>
              <w:fldChar w:fldCharType="separate"/>
            </w:r>
            <w:r w:rsidR="004C06EB" w:rsidRPr="004C06EB">
              <w:rPr>
                <w:rFonts w:cs="Times New Roman"/>
                <w:noProof/>
                <w:szCs w:val="20"/>
                <w:lang w:eastAsia="en-NZ"/>
              </w:rPr>
              <w:t>(107)</w:t>
            </w:r>
            <w:r w:rsidR="00702DFE" w:rsidRPr="0091450A">
              <w:rPr>
                <w:rFonts w:cs="Times New Roman"/>
                <w:szCs w:val="20"/>
                <w:lang w:eastAsia="en-NZ"/>
              </w:rPr>
              <w:fldChar w:fldCharType="end"/>
            </w:r>
            <w:r w:rsidR="00702DFE" w:rsidRPr="0091450A">
              <w:rPr>
                <w:rFonts w:cs="Times New Roman"/>
                <w:szCs w:val="20"/>
                <w:lang w:eastAsia="en-NZ"/>
              </w:rPr>
              <w:t>:</w:t>
            </w:r>
            <w:r w:rsidR="00E53B40" w:rsidRPr="0091450A">
              <w:rPr>
                <w:rFonts w:cs="Times New Roman"/>
                <w:szCs w:val="20"/>
                <w:lang w:eastAsia="en-NZ"/>
              </w:rPr>
              <w:t xml:space="preserve"> F.01.Res.01 Catering. Performance standard 1: E</w:t>
            </w:r>
            <w:r w:rsidR="00E53B40" w:rsidRPr="0091450A">
              <w:t xml:space="preserve">ach prisoner is provided with a diet based on Ministry of Health (MoH) Food and Nutrition Guidelines. </w:t>
            </w:r>
          </w:p>
          <w:p w14:paraId="1DDFD5F1" w14:textId="735E216C" w:rsidR="00BE49A5" w:rsidRPr="0091450A" w:rsidRDefault="008424FD" w:rsidP="002D613F">
            <w:pPr>
              <w:pStyle w:val="NormalWeb"/>
              <w:numPr>
                <w:ilvl w:val="0"/>
                <w:numId w:val="8"/>
              </w:numPr>
              <w:spacing w:before="40" w:after="40"/>
              <w:ind w:left="284" w:hanging="284"/>
              <w:rPr>
                <w:rFonts w:asciiTheme="minorHAnsi" w:hAnsiTheme="minorHAnsi"/>
                <w:color w:val="000000"/>
                <w:sz w:val="20"/>
                <w:szCs w:val="20"/>
                <w:lang w:eastAsia="en-NZ"/>
              </w:rPr>
            </w:pPr>
            <w:r w:rsidRPr="0091450A">
              <w:rPr>
                <w:rFonts w:asciiTheme="minorHAnsi" w:hAnsiTheme="minorHAnsi"/>
                <w:color w:val="000000"/>
                <w:sz w:val="20"/>
                <w:szCs w:val="20"/>
                <w:lang w:eastAsia="en-NZ"/>
              </w:rPr>
              <w:t>All rest homes and aged residential care facilities are certified and audited to ensure they provide safe, appropriate care for their residents and meet the standards set out in the Health and Disability Services (Safety) Act 2001</w:t>
            </w:r>
            <w:r w:rsidR="004745E3" w:rsidRPr="0091450A">
              <w:rPr>
                <w:rFonts w:asciiTheme="minorHAnsi" w:hAnsiTheme="minorHAnsi"/>
                <w:color w:val="000000"/>
                <w:sz w:val="20"/>
                <w:szCs w:val="20"/>
                <w:lang w:eastAsia="en-NZ"/>
              </w:rPr>
              <w:t xml:space="preserve"> </w:t>
            </w:r>
            <w:r w:rsidR="008A38B2" w:rsidRPr="0091450A">
              <w:rPr>
                <w:rFonts w:asciiTheme="minorHAnsi" w:hAnsiTheme="minorHAnsi"/>
                <w:color w:val="000000"/>
                <w:sz w:val="20"/>
                <w:szCs w:val="20"/>
                <w:lang w:eastAsia="en-NZ"/>
              </w:rPr>
              <w:fldChar w:fldCharType="begin" w:fldLock="1"/>
            </w:r>
            <w:r w:rsidR="009C4029">
              <w:rPr>
                <w:rFonts w:asciiTheme="minorHAnsi" w:hAnsiTheme="minorHAnsi"/>
                <w:color w:val="000000"/>
                <w:sz w:val="20"/>
                <w:szCs w:val="20"/>
                <w:lang w:eastAsia="en-NZ"/>
              </w:rPr>
              <w:instrText>ADDIN CSL_CITATION {"citationItems":[{"id":"ITEM-1","itemData":{"URL":"http://www.health.govt.nz/your-health/services-and-support/health-care-services/services-older-people/residential-care/rest-home-certification-and-audits","author":[{"dropping-particle":"","family":"Ministry of Health","given":"","non-dropping-particle":"","parse-names":false,"suffix":""}],"id":"ITEM-1","issued":{"date-parts":[["0"]]},"publisher":"Ministry of Health","title":"Rest home certification and audits","type":"webpage"},"uris":["http://www.mendeley.com/documents/?uuid=9a54caf2-3579-3edc-942e-59fae8f595c8","http://www.mendeley.com/documents/?uuid=3a39b2e8-b803-4d0c-8461-23be693b8bbd"]}],"mendeley":{"formattedCitation":"(108)","plainTextFormattedCitation":"(108)","previouslyFormattedCitation":"(108)"},"properties":{"noteIndex":0},"schema":"https://github.com/citation-style-language/schema/raw/master/csl-citation.json"}</w:instrText>
            </w:r>
            <w:r w:rsidR="008A38B2" w:rsidRPr="0091450A">
              <w:rPr>
                <w:rFonts w:asciiTheme="minorHAnsi" w:hAnsiTheme="minorHAnsi"/>
                <w:color w:val="000000"/>
                <w:sz w:val="20"/>
                <w:szCs w:val="20"/>
                <w:lang w:eastAsia="en-NZ"/>
              </w:rPr>
              <w:fldChar w:fldCharType="separate"/>
            </w:r>
            <w:r w:rsidR="004C06EB" w:rsidRPr="004C06EB">
              <w:rPr>
                <w:rFonts w:asciiTheme="minorHAnsi" w:hAnsiTheme="minorHAnsi"/>
                <w:noProof/>
                <w:color w:val="000000"/>
                <w:sz w:val="20"/>
                <w:szCs w:val="20"/>
                <w:lang w:eastAsia="en-NZ"/>
              </w:rPr>
              <w:t>(108)</w:t>
            </w:r>
            <w:r w:rsidR="008A38B2" w:rsidRPr="0091450A">
              <w:rPr>
                <w:rFonts w:asciiTheme="minorHAnsi" w:hAnsiTheme="minorHAnsi"/>
                <w:color w:val="000000"/>
                <w:sz w:val="20"/>
                <w:szCs w:val="20"/>
                <w:lang w:eastAsia="en-NZ"/>
              </w:rPr>
              <w:fldChar w:fldCharType="end"/>
            </w:r>
            <w:r w:rsidR="008A38B2" w:rsidRPr="0091450A">
              <w:rPr>
                <w:rFonts w:asciiTheme="minorHAnsi" w:hAnsiTheme="minorHAnsi"/>
                <w:color w:val="000000"/>
                <w:sz w:val="20"/>
                <w:szCs w:val="20"/>
                <w:lang w:eastAsia="en-NZ"/>
              </w:rPr>
              <w:t>.</w:t>
            </w:r>
            <w:r w:rsidRPr="0091450A">
              <w:rPr>
                <w:rFonts w:asciiTheme="minorHAnsi" w:hAnsiTheme="minorHAnsi"/>
                <w:sz w:val="20"/>
                <w:szCs w:val="20"/>
              </w:rPr>
              <w:t xml:space="preserve"> </w:t>
            </w:r>
            <w:r w:rsidR="00E53B40" w:rsidRPr="0091450A">
              <w:rPr>
                <w:rFonts w:asciiTheme="minorHAnsi" w:hAnsiTheme="minorHAnsi"/>
                <w:sz w:val="20"/>
              </w:rPr>
              <w:t xml:space="preserve">Health and Disability Services Standards 2008. </w:t>
            </w:r>
            <w:r w:rsidR="00E53B40" w:rsidRPr="0091450A">
              <w:rPr>
                <w:rFonts w:asciiTheme="minorHAnsi" w:hAnsiTheme="minorHAnsi"/>
                <w:sz w:val="20"/>
                <w:szCs w:val="20"/>
              </w:rPr>
              <w:t xml:space="preserve">NZS 8134.1.3.13 </w:t>
            </w:r>
            <w:r w:rsidR="008A38B2" w:rsidRPr="0091450A">
              <w:rPr>
                <w:rFonts w:asciiTheme="minorHAnsi" w:hAnsiTheme="minorHAnsi"/>
                <w:sz w:val="20"/>
                <w:szCs w:val="20"/>
              </w:rPr>
              <w:fldChar w:fldCharType="begin" w:fldLock="1"/>
            </w:r>
            <w:r w:rsidR="009C4029">
              <w:rPr>
                <w:rFonts w:asciiTheme="minorHAnsi" w:hAnsiTheme="minorHAnsi"/>
                <w:sz w:val="20"/>
                <w:szCs w:val="20"/>
              </w:rPr>
              <w:instrText>ADDIN CSL_CITATION {"citationItems":[{"id":"ITEM-1","itemData":{"URL":"http://www.health.govt.nz/our-work/regulation-health-and-disability-system/certification-health-care-services/services-standards","author":[{"dropping-particle":"","family":"Ministry of Health","given":"","non-dropping-particle":"","parse-names":false,"suffix":""}],"id":"ITEM-1","issue":"15/1/2017","issued":{"date-parts":[["2016"]]},"title":"Health and disability service standards","type":"webpage"},"uris":["http://www.mendeley.com/documents/?uuid=5465f6d6-5c48-3fec-8c2a-4d6d33de5919","http://www.mendeley.com/documents/?uuid=660ef827-75b4-4225-a670-c518148a63a7"]}],"mendeley":{"formattedCitation":"(109)","plainTextFormattedCitation":"(109)","previouslyFormattedCitation":"(109)"},"properties":{"noteIndex":0},"schema":"https://github.com/citation-style-language/schema/raw/master/csl-citation.json"}</w:instrText>
            </w:r>
            <w:r w:rsidR="008A38B2" w:rsidRPr="0091450A">
              <w:rPr>
                <w:rFonts w:asciiTheme="minorHAnsi" w:hAnsiTheme="minorHAnsi"/>
                <w:sz w:val="20"/>
                <w:szCs w:val="20"/>
              </w:rPr>
              <w:fldChar w:fldCharType="separate"/>
            </w:r>
            <w:r w:rsidR="004C06EB" w:rsidRPr="004C06EB">
              <w:rPr>
                <w:rFonts w:asciiTheme="minorHAnsi" w:hAnsiTheme="minorHAnsi"/>
                <w:noProof/>
                <w:sz w:val="20"/>
                <w:szCs w:val="20"/>
              </w:rPr>
              <w:t>(109)</w:t>
            </w:r>
            <w:r w:rsidR="008A38B2" w:rsidRPr="0091450A">
              <w:rPr>
                <w:rFonts w:asciiTheme="minorHAnsi" w:hAnsiTheme="minorHAnsi"/>
                <w:sz w:val="20"/>
                <w:szCs w:val="20"/>
              </w:rPr>
              <w:fldChar w:fldCharType="end"/>
            </w:r>
            <w:r w:rsidR="00E53B40" w:rsidRPr="0091450A">
              <w:rPr>
                <w:rFonts w:asciiTheme="minorHAnsi" w:hAnsiTheme="minorHAnsi"/>
                <w:sz w:val="20"/>
                <w:szCs w:val="20"/>
              </w:rPr>
              <w:t xml:space="preserve"> A consumer’s individual food, fluids and nutritional needs are met where this service is a component of service delivery. </w:t>
            </w:r>
            <w:r w:rsidRPr="0091450A">
              <w:rPr>
                <w:rFonts w:asciiTheme="minorHAnsi" w:hAnsiTheme="minorHAnsi"/>
                <w:sz w:val="20"/>
                <w:szCs w:val="20"/>
                <w:lang w:eastAsia="en-NZ"/>
              </w:rPr>
              <w:t>Overall</w:t>
            </w:r>
            <w:r w:rsidRPr="0091450A">
              <w:rPr>
                <w:rFonts w:asciiTheme="minorHAnsi" w:hAnsiTheme="minorHAnsi"/>
                <w:color w:val="000000"/>
                <w:sz w:val="20"/>
                <w:szCs w:val="20"/>
                <w:lang w:eastAsia="en-NZ"/>
              </w:rPr>
              <w:t xml:space="preserve">, there are 50 standards and 101 criteria within the standards that can be used for the audits.  </w:t>
            </w:r>
            <w:r w:rsidR="00BC4C4B" w:rsidRPr="0091450A">
              <w:rPr>
                <w:rFonts w:asciiTheme="minorHAnsi" w:hAnsiTheme="minorHAnsi"/>
                <w:color w:val="000000"/>
                <w:sz w:val="20"/>
                <w:szCs w:val="20"/>
                <w:lang w:eastAsia="en-NZ"/>
              </w:rPr>
              <w:t>It is stated that f</w:t>
            </w:r>
            <w:r w:rsidRPr="0091450A">
              <w:rPr>
                <w:rFonts w:asciiTheme="minorHAnsi" w:hAnsiTheme="minorHAnsi"/>
                <w:color w:val="000000"/>
                <w:sz w:val="20"/>
                <w:szCs w:val="20"/>
                <w:lang w:eastAsia="en-NZ"/>
              </w:rPr>
              <w:t>ood, fluid and nutritional needs of consumers are provided in line with recognized nutritional guidelines appropriate for the consumer group.</w:t>
            </w:r>
          </w:p>
          <w:p w14:paraId="22707927" w14:textId="504A8C1B" w:rsidR="00706F41" w:rsidRPr="00706F41" w:rsidRDefault="00960A94" w:rsidP="00706F41">
            <w:pPr>
              <w:pStyle w:val="ListParagraph"/>
              <w:numPr>
                <w:ilvl w:val="0"/>
                <w:numId w:val="8"/>
              </w:numPr>
              <w:spacing w:before="40" w:after="40"/>
              <w:rPr>
                <w:rFonts w:ascii="Calibri" w:hAnsi="Calibri" w:cs="Times New Roman"/>
                <w:szCs w:val="20"/>
              </w:rPr>
            </w:pPr>
            <w:r w:rsidRPr="00706F41">
              <w:rPr>
                <w:rFonts w:cs="Times New Roman"/>
                <w:szCs w:val="20"/>
              </w:rPr>
              <w:t xml:space="preserve">There are </w:t>
            </w:r>
            <w:r w:rsidR="00566D06" w:rsidRPr="00706F41">
              <w:rPr>
                <w:rFonts w:cs="Times New Roman"/>
                <w:szCs w:val="20"/>
              </w:rPr>
              <w:t>a few</w:t>
            </w:r>
            <w:r w:rsidRPr="00706F41">
              <w:rPr>
                <w:rFonts w:cs="Times New Roman"/>
                <w:szCs w:val="20"/>
              </w:rPr>
              <w:t xml:space="preserve"> websites that provide information on healthy eating for the public. </w:t>
            </w:r>
            <w:r w:rsidR="00E53B40" w:rsidRPr="00706F41">
              <w:rPr>
                <w:rFonts w:cs="Times New Roman"/>
                <w:szCs w:val="20"/>
              </w:rPr>
              <w:t xml:space="preserve">The </w:t>
            </w:r>
            <w:r w:rsidR="00892A6E" w:rsidRPr="00706F41">
              <w:rPr>
                <w:rFonts w:cs="Times New Roman"/>
                <w:szCs w:val="20"/>
              </w:rPr>
              <w:t>H</w:t>
            </w:r>
            <w:r w:rsidR="00E53B40" w:rsidRPr="00706F41">
              <w:rPr>
                <w:rFonts w:cs="Times New Roman"/>
                <w:szCs w:val="20"/>
              </w:rPr>
              <w:t xml:space="preserve">ealth </w:t>
            </w:r>
            <w:r w:rsidR="00892A6E" w:rsidRPr="00706F41">
              <w:rPr>
                <w:rFonts w:cs="Times New Roman"/>
                <w:szCs w:val="20"/>
              </w:rPr>
              <w:t>P</w:t>
            </w:r>
            <w:r w:rsidR="00E53B40" w:rsidRPr="00706F41">
              <w:rPr>
                <w:rFonts w:cs="Times New Roman"/>
                <w:szCs w:val="20"/>
              </w:rPr>
              <w:t xml:space="preserve">romotion </w:t>
            </w:r>
            <w:r w:rsidR="00892A6E" w:rsidRPr="00706F41">
              <w:rPr>
                <w:rFonts w:cs="Times New Roman"/>
                <w:szCs w:val="20"/>
              </w:rPr>
              <w:t>A</w:t>
            </w:r>
            <w:r w:rsidR="00E53B40" w:rsidRPr="00706F41">
              <w:rPr>
                <w:rFonts w:cs="Times New Roman"/>
                <w:szCs w:val="20"/>
              </w:rPr>
              <w:t xml:space="preserve">gency launched </w:t>
            </w:r>
            <w:r w:rsidR="00B60C53" w:rsidRPr="00706F41">
              <w:rPr>
                <w:rFonts w:cs="Times New Roman"/>
                <w:szCs w:val="20"/>
              </w:rPr>
              <w:t xml:space="preserve">the </w:t>
            </w:r>
            <w:proofErr w:type="spellStart"/>
            <w:r w:rsidR="00E53B40" w:rsidRPr="00706F41">
              <w:rPr>
                <w:rFonts w:cs="Times New Roman"/>
                <w:szCs w:val="20"/>
              </w:rPr>
              <w:t>MyFamily</w:t>
            </w:r>
            <w:proofErr w:type="spellEnd"/>
            <w:r w:rsidR="00E53B40" w:rsidRPr="00706F41">
              <w:rPr>
                <w:rFonts w:cs="Times New Roman"/>
                <w:szCs w:val="20"/>
              </w:rPr>
              <w:t xml:space="preserve"> platform in 2014/15 to support and assist families to make healthy food choices, supports sector with tools</w:t>
            </w:r>
            <w:r w:rsidR="004745E3" w:rsidRPr="00706F41">
              <w:rPr>
                <w:rFonts w:cs="Times New Roman"/>
                <w:szCs w:val="20"/>
              </w:rPr>
              <w:t xml:space="preserve"> and resources to promote water </w:t>
            </w:r>
            <w:r w:rsidR="005A3F91" w:rsidRPr="00706F41">
              <w:rPr>
                <w:rFonts w:cs="Times New Roman"/>
                <w:szCs w:val="20"/>
              </w:rPr>
              <w:fldChar w:fldCharType="begin" w:fldLock="1"/>
            </w:r>
            <w:r w:rsidR="009C4029" w:rsidRPr="00706F41">
              <w:rPr>
                <w:rFonts w:cs="Times New Roman"/>
                <w:szCs w:val="20"/>
              </w:rPr>
              <w:instrText>ADDIN CSL_CITATION {"citationItems":[{"id":"ITEM-1","itemData":{"author":[{"dropping-particle":"","family":"Health Promotion Agency","given":"","non-dropping-particle":"","parse-names":false,"suffix":""}],"id":"ITEM-1","issued":{"date-parts":[["2015"]]},"publisher":"Health Promotion Agency","publisher-place":"Wellington","title":"Annual report 2014/2015","type":"report"},"uris":["http://www.mendeley.com/documents/?uuid=f7992adf-81a4-3699-923a-5a1d423d485a","http://www.mendeley.com/documents/?uuid=e08357a9-2284-4182-8da4-b84a219e2a1c"]}],"mendeley":{"formattedCitation":"(110)","plainTextFormattedCitation":"(110)","previouslyFormattedCitation":"(110)"},"properties":{"noteIndex":0},"schema":"https://github.com/citation-style-language/schema/raw/master/csl-citation.json"}</w:instrText>
            </w:r>
            <w:r w:rsidR="005A3F91" w:rsidRPr="00706F41">
              <w:rPr>
                <w:rFonts w:cs="Times New Roman"/>
                <w:szCs w:val="20"/>
              </w:rPr>
              <w:fldChar w:fldCharType="separate"/>
            </w:r>
            <w:r w:rsidR="004C06EB" w:rsidRPr="00706F41">
              <w:rPr>
                <w:rFonts w:cs="Times New Roman"/>
                <w:noProof/>
                <w:szCs w:val="20"/>
              </w:rPr>
              <w:t>(110)</w:t>
            </w:r>
            <w:r w:rsidR="005A3F91" w:rsidRPr="00706F41">
              <w:rPr>
                <w:rFonts w:cs="Times New Roman"/>
                <w:szCs w:val="20"/>
              </w:rPr>
              <w:fldChar w:fldCharType="end"/>
            </w:r>
            <w:r w:rsidR="004745E3" w:rsidRPr="00706F41">
              <w:rPr>
                <w:rFonts w:cs="Times New Roman"/>
                <w:szCs w:val="20"/>
              </w:rPr>
              <w:t>.</w:t>
            </w:r>
            <w:r w:rsidR="00892A6E" w:rsidRPr="00706F41">
              <w:rPr>
                <w:rFonts w:cs="Times New Roman"/>
                <w:szCs w:val="20"/>
              </w:rPr>
              <w:t xml:space="preserve"> </w:t>
            </w:r>
            <w:r w:rsidR="00706F41" w:rsidRPr="00706F41">
              <w:rPr>
                <w:rFonts w:ascii="Calibri" w:hAnsi="Calibri" w:cs="Times New Roman"/>
                <w:szCs w:val="20"/>
              </w:rPr>
              <w:t xml:space="preserve">HPA launched Healthykids.org.nz in 2018. The website was developed following the publication of the Active Play Guidelines in 2017, which also included advice on sleep. This purpose of this website is to provide fun, free and low cost ideas to help families eat well, move more and sleep well. </w:t>
            </w:r>
          </w:p>
          <w:p w14:paraId="2DEAE87E" w14:textId="3A18F435" w:rsidR="00892A6E" w:rsidRPr="0091450A" w:rsidRDefault="00960A94" w:rsidP="002D613F">
            <w:pPr>
              <w:pStyle w:val="ListParagraph"/>
              <w:numPr>
                <w:ilvl w:val="0"/>
                <w:numId w:val="12"/>
              </w:numPr>
              <w:spacing w:before="40" w:after="40"/>
              <w:ind w:left="284" w:hanging="284"/>
              <w:contextualSpacing w:val="0"/>
              <w:rPr>
                <w:rFonts w:cs="Times New Roman"/>
                <w:szCs w:val="20"/>
              </w:rPr>
            </w:pPr>
            <w:r w:rsidRPr="0091450A">
              <w:rPr>
                <w:rFonts w:cs="Times New Roman"/>
                <w:szCs w:val="20"/>
              </w:rPr>
              <w:t>Toi Te Ora ha</w:t>
            </w:r>
            <w:r w:rsidR="00B60C53">
              <w:rPr>
                <w:rFonts w:cs="Times New Roman"/>
                <w:szCs w:val="20"/>
              </w:rPr>
              <w:t>s</w:t>
            </w:r>
            <w:r w:rsidRPr="0091450A">
              <w:rPr>
                <w:rFonts w:cs="Times New Roman"/>
                <w:szCs w:val="20"/>
              </w:rPr>
              <w:t xml:space="preserve"> a website: (</w:t>
            </w:r>
            <w:hyperlink r:id="rId17" w:history="1">
              <w:r w:rsidRPr="0091450A">
                <w:rPr>
                  <w:rStyle w:val="Hyperlink"/>
                  <w:rFonts w:cs="Times New Roman"/>
                  <w:szCs w:val="20"/>
                </w:rPr>
                <w:t>www.hapuhauora.health.nz</w:t>
              </w:r>
            </w:hyperlink>
            <w:r w:rsidRPr="0091450A">
              <w:rPr>
                <w:rFonts w:cs="Times New Roman"/>
                <w:szCs w:val="20"/>
              </w:rPr>
              <w:t xml:space="preserve">) </w:t>
            </w:r>
            <w:r w:rsidR="0090302C" w:rsidRPr="0091450A">
              <w:rPr>
                <w:rFonts w:cs="Times New Roman"/>
                <w:szCs w:val="20"/>
              </w:rPr>
              <w:fldChar w:fldCharType="begin" w:fldLock="1"/>
            </w:r>
            <w:r w:rsidR="009C4029">
              <w:rPr>
                <w:rFonts w:cs="Times New Roman"/>
                <w:szCs w:val="20"/>
              </w:rPr>
              <w:instrText>ADDIN CSL_CITATION {"citationItems":[{"id":"ITEM-1","itemData":{"URL":"http://www.hapuhauora.health.nz","author":[{"dropping-particle":"","family":"Toi Te Ora Public Health Service","given":"","non-dropping-particle":"","parse-names":false,"suffix":""}],"id":"ITEM-1","issue":"4/4/2017","issued":{"date-parts":[["2017"]]},"title":"Hapū Hauora","type":"webpage"},"uris":["http://www.mendeley.com/documents/?uuid=e1d717ba-c92b-3b51-a5e2-00d10cab085d","http://www.mendeley.com/documents/?uuid=615d5814-6be7-4ecd-8ad4-793de27618c8"]}],"mendeley":{"formattedCitation":"(111)","plainTextFormattedCitation":"(111)","previouslyFormattedCitation":"(111)"},"properties":{"noteIndex":0},"schema":"https://github.com/citation-style-language/schema/raw/master/csl-citation.json"}</w:instrText>
            </w:r>
            <w:r w:rsidR="0090302C" w:rsidRPr="0091450A">
              <w:rPr>
                <w:rFonts w:cs="Times New Roman"/>
                <w:szCs w:val="20"/>
              </w:rPr>
              <w:fldChar w:fldCharType="separate"/>
            </w:r>
            <w:r w:rsidR="004C06EB" w:rsidRPr="004C06EB">
              <w:rPr>
                <w:rFonts w:cs="Times New Roman"/>
                <w:noProof/>
                <w:szCs w:val="20"/>
              </w:rPr>
              <w:t>(111)</w:t>
            </w:r>
            <w:r w:rsidR="0090302C" w:rsidRPr="0091450A">
              <w:rPr>
                <w:rFonts w:cs="Times New Roman"/>
                <w:szCs w:val="20"/>
              </w:rPr>
              <w:fldChar w:fldCharType="end"/>
            </w:r>
            <w:r w:rsidR="004909A6" w:rsidRPr="0091450A">
              <w:rPr>
                <w:rFonts w:cs="Times New Roman"/>
                <w:szCs w:val="20"/>
              </w:rPr>
              <w:t xml:space="preserve"> </w:t>
            </w:r>
            <w:r w:rsidRPr="0091450A">
              <w:rPr>
                <w:rFonts w:cs="Times New Roman"/>
                <w:szCs w:val="20"/>
              </w:rPr>
              <w:t xml:space="preserve">to provide ideas for making the healthy choice the easy choice at </w:t>
            </w:r>
            <w:r w:rsidR="00B60C53">
              <w:rPr>
                <w:rFonts w:cs="Times New Roman"/>
                <w:szCs w:val="20"/>
              </w:rPr>
              <w:t xml:space="preserve">the </w:t>
            </w:r>
            <w:r w:rsidRPr="0091450A">
              <w:rPr>
                <w:rFonts w:cs="Times New Roman"/>
                <w:szCs w:val="20"/>
              </w:rPr>
              <w:t>marae and in the home.</w:t>
            </w:r>
          </w:p>
          <w:p w14:paraId="0C582C64" w14:textId="2914068D" w:rsidR="00180D1E" w:rsidRPr="0091450A" w:rsidRDefault="00180D1E" w:rsidP="002D613F">
            <w:pPr>
              <w:pStyle w:val="NormalWeb"/>
              <w:spacing w:before="40" w:after="40"/>
              <w:ind w:left="284"/>
              <w:rPr>
                <w:rFonts w:asciiTheme="minorHAnsi" w:hAnsiTheme="minorHAnsi"/>
                <w:sz w:val="20"/>
                <w:szCs w:val="20"/>
              </w:rPr>
            </w:pPr>
          </w:p>
          <w:p w14:paraId="405DC552" w14:textId="12CF94F6" w:rsidR="007063E4" w:rsidRPr="0091450A" w:rsidRDefault="00C04080" w:rsidP="00373A0D">
            <w:pPr>
              <w:spacing w:before="40" w:after="40"/>
              <w:rPr>
                <w:rFonts w:eastAsia="Times New Roman" w:cs="Times New Roman"/>
                <w:lang w:eastAsia="en-NZ"/>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r w:rsidR="5AC0CDEF" w:rsidRPr="0091450A">
              <w:rPr>
                <w:rFonts w:eastAsia="Times New Roman" w:cs="Times New Roman"/>
                <w:lang w:eastAsia="en-NZ"/>
              </w:rPr>
              <w:t>.</w:t>
            </w:r>
          </w:p>
          <w:p w14:paraId="22507626" w14:textId="5A0EB44C" w:rsidR="00BD2309" w:rsidRPr="0091450A" w:rsidRDefault="5AC0CDEF" w:rsidP="002D613F">
            <w:pPr>
              <w:pStyle w:val="ListParagraph"/>
              <w:numPr>
                <w:ilvl w:val="0"/>
                <w:numId w:val="64"/>
              </w:numPr>
              <w:spacing w:before="40" w:after="40"/>
              <w:rPr>
                <w:rFonts w:eastAsiaTheme="minorEastAsia"/>
                <w:b/>
                <w:bCs/>
                <w:szCs w:val="20"/>
                <w:lang w:eastAsia="en-NZ"/>
              </w:rPr>
            </w:pPr>
            <w:r w:rsidRPr="007159FF">
              <w:rPr>
                <w:rFonts w:eastAsia="Times New Roman" w:cs="Times New Roman"/>
                <w:b/>
                <w:bCs/>
                <w:szCs w:val="20"/>
                <w:lang w:eastAsia="en-NZ"/>
              </w:rPr>
              <w:t>Brazil:</w:t>
            </w:r>
            <w:r w:rsidRPr="007159FF">
              <w:rPr>
                <w:rFonts w:eastAsia="Times New Roman" w:cs="Times New Roman"/>
                <w:szCs w:val="20"/>
                <w:lang w:eastAsia="en-NZ"/>
              </w:rPr>
              <w:t xml:space="preserve"> In July 2016, the Brazilian Ministry of Health implemented procurement guidelines for any food served or sold within the Ministry’s facilities and in its entities (Ordinance No 1.274 of 7 July 2016). The guidelines also apply to independent companies contracted to provide food services on the premises of the Ministry and its entities. The Ordinance aims to address overweight, obesity and non-communicable diseases and is based on the right to adequate food. The guidelines are based on the Food Guide for the Brazilian Population, and state that only unprocessed and minimally processed food may be procured. The purchase of processed food should be minimised, and food from organic and agroecological production preferred whenever possible. </w:t>
            </w:r>
            <w:r w:rsidR="0091450A" w:rsidRPr="00111C5D">
              <w:rPr>
                <w:rFonts w:eastAsia="Times New Roman" w:cs="Times New Roman"/>
                <w:szCs w:val="20"/>
                <w:lang w:eastAsia="en-NZ"/>
              </w:rPr>
              <w:t>Ultra</w:t>
            </w:r>
            <w:r w:rsidR="0091450A" w:rsidRPr="0091450A">
              <w:rPr>
                <w:rFonts w:eastAsia="Times New Roman" w:cs="Times New Roman"/>
                <w:szCs w:val="20"/>
                <w:lang w:eastAsia="en-NZ"/>
              </w:rPr>
              <w:t>-</w:t>
            </w:r>
            <w:r w:rsidR="0091450A" w:rsidRPr="00111C5D">
              <w:rPr>
                <w:rFonts w:eastAsia="Times New Roman" w:cs="Times New Roman"/>
                <w:szCs w:val="20"/>
                <w:lang w:eastAsia="en-NZ"/>
              </w:rPr>
              <w:t>processed</w:t>
            </w:r>
            <w:r w:rsidRPr="007159FF">
              <w:rPr>
                <w:rFonts w:eastAsia="Times New Roman" w:cs="Times New Roman"/>
                <w:szCs w:val="20"/>
                <w:lang w:eastAsia="en-NZ"/>
              </w:rPr>
              <w:t xml:space="preserve"> food may only be used in exceptional cases if it is used in meals which are prepared from mostly unprocessed or minimally processed food. Ultra</w:t>
            </w:r>
            <w:r w:rsidR="0091450A" w:rsidRPr="0091450A">
              <w:rPr>
                <w:rFonts w:eastAsia="Times New Roman" w:cs="Times New Roman"/>
                <w:szCs w:val="20"/>
                <w:lang w:eastAsia="en-NZ"/>
              </w:rPr>
              <w:t>-</w:t>
            </w:r>
            <w:r w:rsidRPr="007159FF">
              <w:rPr>
                <w:rFonts w:eastAsia="Times New Roman" w:cs="Times New Roman"/>
                <w:szCs w:val="20"/>
                <w:lang w:eastAsia="en-NZ"/>
              </w:rPr>
              <w:t>processed food and beverages that are not used for meal preparation may not be purchased (</w:t>
            </w:r>
            <w:r w:rsidR="0091450A" w:rsidRPr="00111C5D">
              <w:rPr>
                <w:rFonts w:eastAsia="Times New Roman" w:cs="Times New Roman"/>
                <w:szCs w:val="20"/>
                <w:lang w:eastAsia="en-NZ"/>
              </w:rPr>
              <w:t>e.g.</w:t>
            </w:r>
            <w:r w:rsidRPr="007159FF">
              <w:rPr>
                <w:rFonts w:eastAsia="Times New Roman" w:cs="Times New Roman"/>
                <w:szCs w:val="20"/>
                <w:lang w:eastAsia="en-NZ"/>
              </w:rPr>
              <w:t xml:space="preserve"> soft drinks, sugar-sweetened fruit juices, industrialised sweets). Ultra</w:t>
            </w:r>
            <w:r w:rsidR="0091450A" w:rsidRPr="0091450A">
              <w:rPr>
                <w:rFonts w:eastAsia="Times New Roman" w:cs="Times New Roman"/>
                <w:szCs w:val="20"/>
                <w:lang w:eastAsia="en-NZ"/>
              </w:rPr>
              <w:t>-</w:t>
            </w:r>
            <w:r w:rsidRPr="007159FF">
              <w:rPr>
                <w:rFonts w:eastAsia="Times New Roman" w:cs="Times New Roman"/>
                <w:szCs w:val="20"/>
                <w:lang w:eastAsia="en-NZ"/>
              </w:rPr>
              <w:t xml:space="preserve">processed food is defined by the Ordinance as food which is mainly produced from substances extracted from whole food and/or food components derived from materials synthesised from organic matter, and which contains ≥1mg of sodium per 1kcal, ≥10% of total energy from free sugars, ≥30% of total energy from total fat, ≥10% of total energy from saturated fat and ≥1% of total energy from </w:t>
            </w:r>
            <w:r w:rsidR="00BD2309" w:rsidRPr="0091450A">
              <w:rPr>
                <w:rFonts w:eastAsia="Times New Roman" w:cs="Times New Roman"/>
                <w:szCs w:val="20"/>
                <w:lang w:eastAsia="en-NZ"/>
              </w:rPr>
              <w:t>trans-fat</w:t>
            </w:r>
            <w:r w:rsidRPr="007159FF">
              <w:rPr>
                <w:rFonts w:eastAsia="Times New Roman" w:cs="Times New Roman"/>
                <w:szCs w:val="20"/>
                <w:lang w:eastAsia="en-NZ"/>
              </w:rPr>
              <w:t xml:space="preserve"> (in alignment with PAHO’s Nutrient Profile Model). The Ordinance also prohibits the advertisement and sales promotions of ultra</w:t>
            </w:r>
            <w:r w:rsidR="0091450A" w:rsidRPr="0091450A">
              <w:rPr>
                <w:rFonts w:eastAsia="Times New Roman" w:cs="Times New Roman"/>
                <w:szCs w:val="20"/>
                <w:lang w:eastAsia="en-NZ"/>
              </w:rPr>
              <w:t>-</w:t>
            </w:r>
            <w:r w:rsidRPr="007159FF">
              <w:rPr>
                <w:rFonts w:eastAsia="Times New Roman" w:cs="Times New Roman"/>
                <w:szCs w:val="20"/>
                <w:lang w:eastAsia="en-NZ"/>
              </w:rPr>
              <w:t>processed food in the Ministry of Health and its entities</w:t>
            </w:r>
            <w:r w:rsidR="00BD2309" w:rsidRPr="0091450A">
              <w:rPr>
                <w:rFonts w:eastAsia="Times New Roman" w:cs="Times New Roman"/>
                <w:szCs w:val="20"/>
                <w:lang w:eastAsia="en-NZ"/>
              </w:rPr>
              <w:t xml:space="preserve"> </w:t>
            </w:r>
            <w:r w:rsidR="00BD2309" w:rsidRPr="0091450A">
              <w:rPr>
                <w:szCs w:val="20"/>
              </w:rPr>
              <w:fldChar w:fldCharType="begin" w:fldLock="1"/>
            </w:r>
            <w:r w:rsidR="002B6CB8">
              <w:rPr>
                <w:szCs w:val="20"/>
              </w:rPr>
              <w:instrText>ADDIN CSL_CITATION {"citationItems":[{"id":"ITEM-1","itemData":{"URL":"http://www.wcrf.org/int/policy/nourishing-framework/nutrition-labels","author":[{"dropping-particle":"","family":"World Cancer Research Fund","given":"","non-dropping-particle":"","parse-names":false,"suffix":""}],"id":"ITEM-1","issue":"22/02/2016","issued":{"date-parts":[["2016"]]},"publisher":"World Cancer Research Fund","title":"NOURISHING Framework - Nutrition labels","type":"webpage"},"uris":["http://www.mendeley.com/documents/?uuid=dc0c9c63-9874-3402-98e3-22b1e2608142","http://www.mendeley.com/documents/?uuid=5013a327-5fee-469a-8a81-a00c331ce75a"]}],"mendeley":{"formattedCitation":"(31)","plainTextFormattedCitation":"(31)","previouslyFormattedCitation":"(31)"},"properties":{"noteIndex":0},"schema":"https://github.com/citation-style-language/schema/raw/master/csl-citation.json"}</w:instrText>
            </w:r>
            <w:r w:rsidR="00BD2309" w:rsidRPr="0091450A">
              <w:rPr>
                <w:szCs w:val="20"/>
              </w:rPr>
              <w:fldChar w:fldCharType="separate"/>
            </w:r>
            <w:r w:rsidR="00A90C92" w:rsidRPr="00A90C92">
              <w:rPr>
                <w:noProof/>
                <w:szCs w:val="20"/>
              </w:rPr>
              <w:t>(31)</w:t>
            </w:r>
            <w:r w:rsidR="00BD2309" w:rsidRPr="0091450A">
              <w:rPr>
                <w:szCs w:val="20"/>
              </w:rPr>
              <w:fldChar w:fldCharType="end"/>
            </w:r>
            <w:r w:rsidR="00BD2309" w:rsidRPr="0091450A">
              <w:rPr>
                <w:szCs w:val="20"/>
              </w:rPr>
              <w:t>.</w:t>
            </w:r>
          </w:p>
          <w:p w14:paraId="6867A6FD" w14:textId="408D1A77" w:rsidR="007063E4" w:rsidRPr="0091450A" w:rsidRDefault="007063E4" w:rsidP="007159FF">
            <w:pPr>
              <w:pStyle w:val="ListParagraph"/>
              <w:numPr>
                <w:ilvl w:val="0"/>
                <w:numId w:val="64"/>
              </w:numPr>
              <w:spacing w:before="40" w:after="40"/>
              <w:rPr>
                <w:szCs w:val="20"/>
                <w:lang w:eastAsia="en-NZ"/>
              </w:rPr>
            </w:pPr>
            <w:r w:rsidRPr="007159FF">
              <w:rPr>
                <w:b/>
                <w:szCs w:val="20"/>
                <w:lang w:eastAsia="en-NZ"/>
              </w:rPr>
              <w:t>Bermuda</w:t>
            </w:r>
            <w:r w:rsidRPr="007159FF">
              <w:rPr>
                <w:szCs w:val="20"/>
                <w:lang w:eastAsia="en-NZ"/>
              </w:rPr>
              <w:t xml:space="preserve">: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w:t>
            </w:r>
            <w:r w:rsidRPr="007159FF">
              <w:rPr>
                <w:i/>
                <w:szCs w:val="20"/>
                <w:lang w:eastAsia="en-NZ"/>
              </w:rPr>
              <w:t>trans</w:t>
            </w:r>
            <w:r w:rsidRPr="007159FF">
              <w:rPr>
                <w:szCs w:val="20"/>
                <w:lang w:eastAsia="en-NZ"/>
              </w:rPr>
              <w:t xml:space="preserve"> fat, sodium and sugar. Criteria exclude nuts &amp; 100% fruit juices </w:t>
            </w:r>
            <w:r w:rsidR="00E54772" w:rsidRPr="0091450A">
              <w:rPr>
                <w:szCs w:val="20"/>
                <w:lang w:eastAsia="en-NZ"/>
              </w:rPr>
              <w:fldChar w:fldCharType="begin" w:fldLock="1"/>
            </w:r>
            <w:r w:rsidR="009C4029">
              <w:rPr>
                <w:szCs w:val="20"/>
                <w:lang w:eastAsia="en-NZ"/>
              </w:rPr>
              <w:instrText>ADDIN CSL_CITATION {"citationItems":[{"id":"ITEM-1","itemData":{"URL":"http://www.wcrf.org/int/policy/nourishing-framework/offer-healthy-foods","author":[{"dropping-particle":"","family":"World Cancer Research Fund","given":"","non-dropping-particle":"","parse-names":false,"suffix":""}],"id":"ITEM-1","issue":"22/02/2016","issued":{"date-parts":[["2016"]]},"title":"NOURISHING Framework - Offer healthy foods","type":"webpage"},"uris":["http://www.mendeley.com/documents/?uuid=ceeab7e8-6a86-40d5-bd69-1d1489b772ad","http://www.mendeley.com/documents/?uuid=b5e39f7e-b5a8-36b6-991a-016c88f289be"]}],"mendeley":{"formattedCitation":"(101)","plainTextFormattedCitation":"(101)","previouslyFormattedCitation":"(101)"},"properties":{"noteIndex":0},"schema":"https://github.com/citation-style-language/schema/raw/master/csl-citation.json"}</w:instrText>
            </w:r>
            <w:r w:rsidR="00E54772" w:rsidRPr="0091450A">
              <w:rPr>
                <w:szCs w:val="20"/>
                <w:lang w:eastAsia="en-NZ"/>
              </w:rPr>
              <w:fldChar w:fldCharType="separate"/>
            </w:r>
            <w:r w:rsidR="004C06EB" w:rsidRPr="004C06EB">
              <w:rPr>
                <w:noProof/>
                <w:szCs w:val="20"/>
                <w:lang w:eastAsia="en-NZ"/>
              </w:rPr>
              <w:t>(101)</w:t>
            </w:r>
            <w:r w:rsidR="00E54772" w:rsidRPr="0091450A">
              <w:rPr>
                <w:szCs w:val="20"/>
                <w:lang w:eastAsia="en-NZ"/>
              </w:rPr>
              <w:fldChar w:fldCharType="end"/>
            </w:r>
            <w:r w:rsidR="00E54772" w:rsidRPr="0091450A">
              <w:rPr>
                <w:szCs w:val="20"/>
                <w:lang w:eastAsia="en-NZ"/>
              </w:rPr>
              <w:t>.</w:t>
            </w:r>
          </w:p>
          <w:p w14:paraId="22C5C3B8" w14:textId="4A2D35B6" w:rsidR="004B0AC3" w:rsidRPr="0091450A" w:rsidRDefault="004B0AC3" w:rsidP="002D613F">
            <w:pPr>
              <w:pStyle w:val="NoSpacing"/>
              <w:numPr>
                <w:ilvl w:val="0"/>
                <w:numId w:val="63"/>
              </w:numPr>
              <w:jc w:val="both"/>
              <w:rPr>
                <w:rFonts w:eastAsia="Times New Roman" w:cs="Times New Roman"/>
                <w:sz w:val="20"/>
                <w:szCs w:val="20"/>
                <w:lang w:val="en-NZ" w:eastAsia="en-NZ"/>
              </w:rPr>
            </w:pPr>
            <w:r w:rsidRPr="0091450A">
              <w:rPr>
                <w:rFonts w:eastAsia="Times New Roman" w:cs="Times New Roman"/>
                <w:b/>
                <w:sz w:val="20"/>
                <w:szCs w:val="20"/>
                <w:lang w:val="en-NZ" w:eastAsia="en-NZ"/>
              </w:rPr>
              <w:t>Ireland:</w:t>
            </w:r>
            <w:r w:rsidRPr="0091450A">
              <w:rPr>
                <w:rFonts w:eastAsia="Times New Roman" w:cs="Times New Roman"/>
                <w:sz w:val="20"/>
                <w:szCs w:val="20"/>
                <w:lang w:val="en-NZ" w:eastAsia="en-NZ"/>
              </w:rPr>
              <w:t xml:space="preserve"> The HSE Vending Policy 2019 replaces the 2014 Healthier Vending Policy and applies to all vending machines that stock cold soft drinks, confectionery and snacks on HSE premises &amp; premises funded by the HSE. Sugar</w:t>
            </w:r>
            <w:r w:rsidR="00B60C53">
              <w:rPr>
                <w:rFonts w:eastAsia="Times New Roman" w:cs="Times New Roman"/>
                <w:sz w:val="20"/>
                <w:szCs w:val="20"/>
                <w:lang w:val="en-NZ" w:eastAsia="en-NZ"/>
              </w:rPr>
              <w:t>-</w:t>
            </w:r>
            <w:r w:rsidRPr="0091450A">
              <w:rPr>
                <w:rFonts w:eastAsia="Times New Roman" w:cs="Times New Roman"/>
                <w:sz w:val="20"/>
                <w:szCs w:val="20"/>
                <w:lang w:val="en-NZ" w:eastAsia="en-NZ"/>
              </w:rPr>
              <w:t>sweetened beverages will not be stocked in vending machines, 50% of beverages stocked will be still water and the remaining beverages stocked will include non-sugar sweetened beverages e.g. diet drinks, juices, flavoured and sparkling water. Snacks containing more than 200 calories per packet will not be stocked in machines. An exception to this is 3 packets of dried fruits, nuts or seeds (plain and unsalted). Products will be clearly labelled with the number of calories per product related fields.</w:t>
            </w:r>
          </w:p>
          <w:p w14:paraId="4769442D" w14:textId="1AFDE03E" w:rsidR="007063E4" w:rsidRDefault="007063E4" w:rsidP="002D613F">
            <w:pPr>
              <w:pStyle w:val="ListParagraph"/>
              <w:keepNext/>
              <w:numPr>
                <w:ilvl w:val="0"/>
                <w:numId w:val="63"/>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UK</w:t>
            </w:r>
            <w:r w:rsidRPr="0091450A">
              <w:rPr>
                <w:rFonts w:eastAsia="Times New Roman" w:cs="Times New Roman"/>
                <w:szCs w:val="20"/>
                <w:lang w:eastAsia="en-NZ"/>
              </w:rPr>
              <w:t xml:space="preserve">: The UK Government Buying Standard for Food and Catering Services (GBSF of 2014, updated March 2015) by the Department of Environment, Food and Rural Affairs, sets out standards for the public sector when buying food and catering services. It is supported by the Plan for Public Procurement: Food and Catering Services (2014), which includes a toolkit consistent of the mandatory GBSF, a balanced scorecard, an e-marketplace, case studies and access to centralised framework contacts </w:t>
            </w:r>
            <w:r w:rsidR="00566D06" w:rsidRPr="0091450A">
              <w:rPr>
                <w:rFonts w:eastAsia="Times New Roman" w:cs="Times New Roman"/>
                <w:szCs w:val="20"/>
                <w:lang w:eastAsia="en-NZ"/>
              </w:rPr>
              <w:t>to</w:t>
            </w:r>
            <w:r w:rsidRPr="0091450A">
              <w:rPr>
                <w:rFonts w:eastAsia="Times New Roman" w:cs="Times New Roman"/>
                <w:szCs w:val="20"/>
                <w:lang w:eastAsia="en-NZ"/>
              </w:rPr>
              <w:t xml:space="preserve"> improve and facilitate procurement in the public sector. The nutrition requirements </w:t>
            </w:r>
            <w:r w:rsidR="00566D06" w:rsidRPr="0091450A">
              <w:rPr>
                <w:rFonts w:eastAsia="Times New Roman" w:cs="Times New Roman"/>
                <w:szCs w:val="20"/>
                <w:lang w:eastAsia="en-NZ"/>
              </w:rPr>
              <w:t>must</w:t>
            </w:r>
            <w:r w:rsidRPr="0091450A">
              <w:rPr>
                <w:rFonts w:eastAsia="Times New Roman" w:cs="Times New Roman"/>
                <w:szCs w:val="20"/>
                <w:lang w:eastAsia="en-NZ"/>
              </w:rPr>
              <w:t xml:space="preserve"> be followed by schools, hospitals, care </w:t>
            </w:r>
            <w:r w:rsidRPr="0091450A">
              <w:rPr>
                <w:rFonts w:eastAsia="Times New Roman" w:cs="Times New Roman"/>
                <w:szCs w:val="20"/>
                <w:lang w:eastAsia="en-NZ"/>
              </w:rPr>
              <w:lastRenderedPageBreak/>
              <w:t xml:space="preserve">homes, communities and the armed forces. To improve diets, the GBSF sets maximum levels for sugar in cereals and generally for saturated fat and salt, in addition to </w:t>
            </w:r>
            <w:r w:rsidR="00B60C53">
              <w:rPr>
                <w:rFonts w:eastAsia="Times New Roman" w:cs="Times New Roman"/>
                <w:szCs w:val="20"/>
                <w:lang w:eastAsia="en-NZ"/>
              </w:rPr>
              <w:t xml:space="preserve">the </w:t>
            </w:r>
            <w:r w:rsidRPr="0091450A">
              <w:rPr>
                <w:rFonts w:eastAsia="Times New Roman" w:cs="Times New Roman"/>
                <w:szCs w:val="20"/>
                <w:lang w:eastAsia="en-NZ"/>
              </w:rPr>
              <w:t xml:space="preserve">minimum content of fibre in cereals and fruit in desserts. Meal deals have to include vegetables and fruit as dessert and menus fish on a regular basis </w:t>
            </w:r>
            <w:r w:rsidR="00E7499C"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{"citationItems":[{"id":"ITEM-1","itemData":{"URL":"http://www.wcrf.org/int/policy/nourishing-framework/restrict-food-marketing","author":[{"dropping-particle":"","family":"World Cancer Research Fund","given":"","non-dropping-particle":"","parse-names":false,"suffix":""}],"id":"ITEM-1","issue":"22/02/2016","issued":{"date-parts":[["2016"]]},"title":"NOURISHING Framework - Restrict food marketing","type":"webpage"},"uris":["http://www.mendeley.com/documents/?uuid=e3898d1b-d356-4deb-982f-a2636ba4a0dc","http://www.mendeley.com/documents/?uuid=1e107377-3e14-3809-ae40-bfab3ac500e1"]}],"mendeley":{"formattedCitation":"(74)","plainTextFormattedCitation":"(74)","previouslyFormattedCitation":"(74)"},"properties":{"noteIndex":0},"schema":"https://github.com/citation-style-language/schema/raw/master/csl-citation.json"}</w:instrText>
            </w:r>
            <w:r w:rsidR="00E7499C"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(74)</w:t>
            </w:r>
            <w:r w:rsidR="00E7499C" w:rsidRPr="0091450A">
              <w:rPr>
                <w:rFonts w:eastAsia="Times New Roman" w:cs="Times New Roman"/>
                <w:szCs w:val="20"/>
                <w:lang w:eastAsia="en-NZ"/>
              </w:rPr>
              <w:fldChar w:fldCharType="end"/>
            </w:r>
            <w:r w:rsidR="00E7499C" w:rsidRPr="0091450A">
              <w:rPr>
                <w:rFonts w:eastAsia="Times New Roman" w:cs="Times New Roman"/>
                <w:szCs w:val="20"/>
                <w:lang w:eastAsia="en-NZ"/>
              </w:rPr>
              <w:t>.</w:t>
            </w:r>
          </w:p>
          <w:p w14:paraId="6848805E" w14:textId="40924B8D" w:rsidR="00373A0D" w:rsidRPr="0091450A" w:rsidRDefault="00373A0D" w:rsidP="00373A0D">
            <w:pPr>
              <w:pStyle w:val="ListParagraph"/>
              <w:keepNext/>
              <w:spacing w:before="40" w:after="40"/>
              <w:ind w:left="284"/>
              <w:contextualSpacing w:val="0"/>
              <w:rPr>
                <w:rFonts w:eastAsia="Times New Roman" w:cs="Times New Roman"/>
                <w:szCs w:val="20"/>
                <w:lang w:eastAsia="en-NZ"/>
              </w:rPr>
            </w:pPr>
          </w:p>
        </w:tc>
      </w:tr>
    </w:tbl>
    <w:p w14:paraId="31C43945" w14:textId="77777777" w:rsidR="00180D1E" w:rsidRPr="0091450A" w:rsidRDefault="00180D1E" w:rsidP="002D613F">
      <w:pPr>
        <w:spacing w:line="240" w:lineRule="auto"/>
      </w:pPr>
    </w:p>
    <w:tbl>
      <w:tblPr>
        <w:tblStyle w:val="TableGrid"/>
        <w:tblW w:w="9209" w:type="dxa"/>
        <w:tblLook w:val="04A0" w:firstRow="1" w:lastRow="0" w:firstColumn="1" w:lastColumn="0" w:noHBand="0" w:noVBand="1"/>
      </w:tblPr>
      <w:tblGrid>
        <w:gridCol w:w="9209"/>
      </w:tblGrid>
      <w:tr w:rsidR="002E08DF" w:rsidRPr="0091450A" w14:paraId="704FC369" w14:textId="77777777" w:rsidTr="00A41587">
        <w:tc>
          <w:tcPr>
            <w:tcW w:w="9209" w:type="dxa"/>
          </w:tcPr>
          <w:p w14:paraId="5DFA8F13" w14:textId="1DC75EEF" w:rsidR="002E08DF"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5 </w:t>
            </w:r>
            <w:r w:rsidR="002E08DF" w:rsidRPr="0091450A">
              <w:rPr>
                <w:rFonts w:cs="Times New Roman"/>
                <w:b/>
                <w:color w:val="1F497D" w:themeColor="text2"/>
                <w:sz w:val="28"/>
                <w:szCs w:val="28"/>
              </w:rPr>
              <w:t>FOOD PROVISION</w:t>
            </w:r>
            <w:r w:rsidR="002E08DF" w:rsidRPr="0091450A">
              <w:rPr>
                <w:rFonts w:cs="Times New Roman"/>
                <w:b/>
                <w:sz w:val="28"/>
                <w:szCs w:val="28"/>
              </w:rPr>
              <w:t xml:space="preserve">: </w:t>
            </w:r>
            <w:r w:rsidR="00775085" w:rsidRPr="0091450A">
              <w:rPr>
                <w:rFonts w:cs="Times New Roman"/>
                <w:bCs/>
                <w:szCs w:val="20"/>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r>
      <w:tr w:rsidR="002E08DF" w:rsidRPr="0091450A" w14:paraId="4568C1E8" w14:textId="77777777" w:rsidTr="00A41587">
        <w:tc>
          <w:tcPr>
            <w:tcW w:w="9209" w:type="dxa"/>
          </w:tcPr>
          <w:p w14:paraId="3F08887C" w14:textId="44876073" w:rsidR="002E08DF" w:rsidRPr="0091450A" w:rsidRDefault="007C03AE" w:rsidP="002D613F">
            <w:pPr>
              <w:spacing w:before="40" w:after="40"/>
              <w:rPr>
                <w:rFonts w:cs="Times New Roman"/>
                <w:b/>
                <w:color w:val="1F497D" w:themeColor="text2"/>
                <w:sz w:val="28"/>
                <w:szCs w:val="28"/>
              </w:rPr>
            </w:pPr>
            <w:bookmarkStart w:id="35" w:name="_Toc31623733"/>
            <w:r w:rsidRPr="0091450A">
              <w:rPr>
                <w:rStyle w:val="Heading3Char"/>
              </w:rPr>
              <w:t>PROV3</w:t>
            </w:r>
            <w:bookmarkEnd w:id="35"/>
            <w:r w:rsidR="002E08DF" w:rsidRPr="0091450A">
              <w:rPr>
                <w:rFonts w:cs="Times New Roman"/>
                <w:b/>
                <w:sz w:val="28"/>
                <w:szCs w:val="28"/>
              </w:rPr>
              <w:t xml:space="preserve">: </w:t>
            </w:r>
            <w:r w:rsidR="000D1C6C" w:rsidRPr="0091450A">
              <w:rPr>
                <w:rFonts w:cs="Times New Roman"/>
                <w:b/>
                <w:lang w:eastAsia="en-NZ"/>
              </w:rPr>
              <w:t xml:space="preserve">The </w:t>
            </w:r>
            <w:r w:rsidR="000D1C6C" w:rsidRPr="0091450A">
              <w:rPr>
                <w:rFonts w:cs="Times New Roman"/>
                <w:b/>
                <w:color w:val="000000"/>
                <w:lang w:eastAsia="en-NZ"/>
              </w:rPr>
              <w:t>government ensures that there are good support and training systems to help schools and other public sector organisations and their caterers meet the healthy food service policies and guidelines</w:t>
            </w:r>
          </w:p>
        </w:tc>
      </w:tr>
      <w:tr w:rsidR="002E08DF" w:rsidRPr="0091450A" w14:paraId="043F2BE1" w14:textId="77777777" w:rsidTr="00A41587">
        <w:tc>
          <w:tcPr>
            <w:tcW w:w="9209" w:type="dxa"/>
          </w:tcPr>
          <w:p w14:paraId="5EE3B859" w14:textId="602BDB01" w:rsidR="007A3C17"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1240AB8" w14:textId="77777777" w:rsidR="00D86B37" w:rsidRPr="0091450A" w:rsidRDefault="00D86B37" w:rsidP="002D613F">
            <w:pPr>
              <w:shd w:val="clear" w:color="auto" w:fill="FFFFFF" w:themeFill="background1"/>
              <w:spacing w:before="40" w:after="40"/>
              <w:rPr>
                <w:rFonts w:cs="Times New Roman"/>
                <w:szCs w:val="20"/>
                <w:u w:val="single"/>
              </w:rPr>
            </w:pPr>
            <w:r w:rsidRPr="0091450A">
              <w:rPr>
                <w:rFonts w:cs="Times New Roman"/>
                <w:szCs w:val="20"/>
                <w:u w:val="single"/>
              </w:rPr>
              <w:t>Support and training systems for schools</w:t>
            </w:r>
            <w:r w:rsidR="005E4BD0" w:rsidRPr="0091450A">
              <w:rPr>
                <w:rFonts w:cs="Times New Roman"/>
                <w:szCs w:val="20"/>
                <w:u w:val="single"/>
              </w:rPr>
              <w:t xml:space="preserve"> and early childhood education</w:t>
            </w:r>
            <w:r w:rsidR="00157F29" w:rsidRPr="0091450A">
              <w:rPr>
                <w:rFonts w:cs="Times New Roman"/>
                <w:szCs w:val="20"/>
                <w:u w:val="single"/>
              </w:rPr>
              <w:t xml:space="preserve"> (ECE)</w:t>
            </w:r>
            <w:r w:rsidR="005E4BD0" w:rsidRPr="0091450A">
              <w:rPr>
                <w:rFonts w:cs="Times New Roman"/>
                <w:szCs w:val="20"/>
                <w:u w:val="single"/>
              </w:rPr>
              <w:t xml:space="preserve"> services</w:t>
            </w:r>
          </w:p>
          <w:p w14:paraId="3833BCEA" w14:textId="279302D7" w:rsidR="00601991" w:rsidRPr="0091450A" w:rsidRDefault="002E08DF" w:rsidP="002D613F">
            <w:pPr>
              <w:pStyle w:val="ListParagraph"/>
              <w:numPr>
                <w:ilvl w:val="0"/>
                <w:numId w:val="9"/>
              </w:numPr>
              <w:shd w:val="clear" w:color="auto" w:fill="FFFFFF" w:themeFill="background1"/>
              <w:spacing w:before="40" w:after="40"/>
              <w:contextualSpacing w:val="0"/>
              <w:rPr>
                <w:rFonts w:cs="Times New Roman"/>
                <w:szCs w:val="20"/>
              </w:rPr>
            </w:pPr>
            <w:r w:rsidRPr="0091450A">
              <w:rPr>
                <w:rFonts w:cs="Times New Roman"/>
                <w:color w:val="000000"/>
                <w:szCs w:val="20"/>
                <w:lang w:eastAsia="en-NZ"/>
              </w:rPr>
              <w:t xml:space="preserve">The Ministry of Education has developed resources </w:t>
            </w:r>
            <w:r w:rsidR="0031361F" w:rsidRPr="0091450A">
              <w:rPr>
                <w:rFonts w:cs="Times New Roman"/>
                <w:color w:val="000000"/>
                <w:szCs w:val="20"/>
                <w:lang w:eastAsia="en-NZ"/>
              </w:rPr>
              <w:fldChar w:fldCharType="begin" w:fldLock="1"/>
            </w:r>
            <w:r w:rsidR="009C4029">
              <w:rPr>
                <w:rFonts w:cs="Times New Roman"/>
                <w:color w:val="000000"/>
                <w:szCs w:val="20"/>
                <w:lang w:eastAsia="en-NZ"/>
              </w:rPr>
              <w:instrText>ADDIN CSL_CITATION {"citationItems":[{"id":"ITEM-1","itemData":{"URL":"http://www.minedu.govt.nz/NZEducation/EducationPolicies/Schools/SchoolOperations/HealthAndSafety/PromotingHealthyLifestyles/AboutHealthyLifestyles.aspx","author":[{"dropping-particle":"","family":"Ministry of Education","given":"","non-dropping-particle":"","parse-names":false,"suffix":""}],"id":"ITEM-1","issue":"14/06/2013","issued":{"date-parts":[["0"]]},"title":"Why promote healthy lifestyles?","type":"webpage"},"uris":["http://www.mendeley.com/documents/?uuid=6d7353ff-3087-3c24-8900-109ad8806171","http://www.mendeley.com/documents/?uuid=d111e745-2562-4c80-b2ed-3547c4c5d8a2"]}],"mendeley":{"formattedCitation":"(112)","plainTextFormattedCitation":"(112)","previouslyFormattedCitation":"(112)"},"properties":{"noteIndex":0},"schema":"https://github.com/citation-style-language/schema/raw/master/csl-citation.json"}</w:instrText>
            </w:r>
            <w:r w:rsidR="0031361F" w:rsidRPr="0091450A">
              <w:rPr>
                <w:rFonts w:cs="Times New Roman"/>
                <w:color w:val="000000"/>
                <w:szCs w:val="20"/>
                <w:lang w:eastAsia="en-NZ"/>
              </w:rPr>
              <w:fldChar w:fldCharType="separate"/>
            </w:r>
            <w:r w:rsidR="004C06EB" w:rsidRPr="004C06EB">
              <w:rPr>
                <w:rFonts w:cs="Times New Roman"/>
                <w:noProof/>
                <w:color w:val="000000"/>
                <w:szCs w:val="20"/>
                <w:lang w:eastAsia="en-NZ"/>
              </w:rPr>
              <w:t>(112)</w:t>
            </w:r>
            <w:r w:rsidR="0031361F" w:rsidRPr="0091450A">
              <w:rPr>
                <w:rFonts w:cs="Times New Roman"/>
                <w:color w:val="000000"/>
                <w:szCs w:val="20"/>
                <w:lang w:eastAsia="en-NZ"/>
              </w:rPr>
              <w:fldChar w:fldCharType="end"/>
            </w:r>
            <w:r w:rsidRPr="0091450A">
              <w:rPr>
                <w:rFonts w:cs="Times New Roman"/>
                <w:color w:val="000000"/>
                <w:szCs w:val="20"/>
                <w:lang w:eastAsia="en-NZ"/>
              </w:rPr>
              <w:t xml:space="preserve"> in consultation with the MoH to assist schools and ECE services in their focus on this area: 'Food and Nutrition for Healthy Confident Kids’ guidelines (2007) </w:t>
            </w:r>
            <w:r w:rsidR="007A2F5A" w:rsidRPr="0091450A">
              <w:rPr>
                <w:rFonts w:cs="Times New Roman"/>
                <w:color w:val="000000"/>
                <w:szCs w:val="20"/>
                <w:lang w:eastAsia="en-NZ"/>
              </w:rPr>
              <w:fldChar w:fldCharType="begin" w:fldLock="1"/>
            </w:r>
            <w:r w:rsidR="009C4029">
              <w:rPr>
                <w:rFonts w:cs="Times New Roman"/>
                <w:color w:val="000000"/>
                <w:szCs w:val="20"/>
                <w:lang w:eastAsia="en-NZ"/>
              </w:rPr>
              <w:instrText>ADDIN CSL_CITATION {"citationItems":[{"id":"ITEM-1","itemData":{"ISBN":"9780790319810","abstract":"\"Guidelines to support healthy eating environments in New Zealand early childhood education services and schools\"--Book cover. \"This toolkit was produced by the Ministry of Education and Ministry of Health to support the enclosed guidelines. The guidelines and toolkit contribute to the Mission-On campaign\"--Container. Title from case. Food and nutrition for healthy, confident kids (40 p. : col. ill. ; 22 x 30 cm.) -- Eating for healthy babies and toddlers : from birth to 2 years old (11 p. : col. ill. ; 21 cm.) -- Eating for healthy children : aged 2 to 12 (11 p. : col. ill. ; 21 cm.).","author":[{"dropping-particle":"","family":"New Zealand. Ministry of Education.","given":"","non-dropping-particle":"","parse-names":false,"suffix":""},{"dropping-particle":"","family":"New Zealand. Ministry of Health.","given":"","non-dropping-particle":"","parse-names":false,"suffix":""}],"id":"ITEM-1","issued":{"date-parts":[["2007"]]},"publisher":"[Learning Media]","title":"Food and nutrition for healthy, confident kids. Early childhood education toolkit.","type":"book"},"uris":["http://www.mendeley.com/documents/?uuid=e3662cb1-f096-391c-abb0-3898a02bafe0"]}],"mendeley":{"formattedCitation":"(113)","plainTextFormattedCitation":"(113)","previouslyFormattedCitation":"(113)"},"properties":{"noteIndex":0},"schema":"https://github.com/citation-style-language/schema/raw/master/csl-citation.json"}</w:instrText>
            </w:r>
            <w:r w:rsidR="007A2F5A" w:rsidRPr="0091450A">
              <w:rPr>
                <w:rFonts w:cs="Times New Roman"/>
                <w:color w:val="000000"/>
                <w:szCs w:val="20"/>
                <w:lang w:eastAsia="en-NZ"/>
              </w:rPr>
              <w:fldChar w:fldCharType="separate"/>
            </w:r>
            <w:r w:rsidR="004C06EB" w:rsidRPr="004C06EB">
              <w:rPr>
                <w:rFonts w:cs="Times New Roman"/>
                <w:noProof/>
                <w:color w:val="000000"/>
                <w:szCs w:val="20"/>
                <w:lang w:eastAsia="en-NZ"/>
              </w:rPr>
              <w:t>(113)</w:t>
            </w:r>
            <w:r w:rsidR="007A2F5A" w:rsidRPr="0091450A">
              <w:rPr>
                <w:rFonts w:cs="Times New Roman"/>
                <w:color w:val="000000"/>
                <w:szCs w:val="20"/>
                <w:lang w:eastAsia="en-NZ"/>
              </w:rPr>
              <w:fldChar w:fldCharType="end"/>
            </w:r>
            <w:r w:rsidR="004722A1" w:rsidRPr="0091450A">
              <w:rPr>
                <w:rFonts w:cs="Times New Roman"/>
                <w:color w:val="000000"/>
                <w:szCs w:val="20"/>
                <w:lang w:eastAsia="en-NZ"/>
              </w:rPr>
              <w:t xml:space="preserve"> </w:t>
            </w:r>
            <w:r w:rsidRPr="0091450A">
              <w:rPr>
                <w:rFonts w:cs="Times New Roman"/>
                <w:color w:val="000000"/>
                <w:szCs w:val="20"/>
                <w:lang w:eastAsia="en-NZ"/>
              </w:rPr>
              <w:t xml:space="preserve">and ‘Food and Nutrition for Healthy Confident Kids’ toolkit containing some </w:t>
            </w:r>
            <w:r w:rsidR="001B09D5" w:rsidRPr="0091450A">
              <w:rPr>
                <w:rFonts w:cs="Times New Roman"/>
                <w:color w:val="000000"/>
                <w:szCs w:val="20"/>
                <w:lang w:eastAsia="en-NZ"/>
              </w:rPr>
              <w:t xml:space="preserve">resources to support the guidelines. These guidelines </w:t>
            </w:r>
            <w:r w:rsidRPr="0091450A">
              <w:rPr>
                <w:rFonts w:cs="Times New Roman"/>
                <w:color w:val="000000"/>
                <w:szCs w:val="20"/>
                <w:lang w:eastAsia="en-NZ"/>
              </w:rPr>
              <w:t>are sup</w:t>
            </w:r>
            <w:r w:rsidR="001B09D5" w:rsidRPr="0091450A">
              <w:rPr>
                <w:rFonts w:cs="Times New Roman"/>
                <w:color w:val="000000"/>
                <w:szCs w:val="20"/>
                <w:lang w:eastAsia="en-NZ"/>
              </w:rPr>
              <w:t xml:space="preserve">ported by the </w:t>
            </w:r>
            <w:proofErr w:type="spellStart"/>
            <w:r w:rsidR="001B09D5" w:rsidRPr="0091450A">
              <w:rPr>
                <w:rFonts w:cs="Times New Roman"/>
                <w:color w:val="000000"/>
                <w:szCs w:val="20"/>
                <w:lang w:eastAsia="en-NZ"/>
              </w:rPr>
              <w:t>MoH</w:t>
            </w:r>
            <w:r w:rsidRPr="0091450A">
              <w:rPr>
                <w:rFonts w:cs="Times New Roman"/>
                <w:color w:val="000000"/>
                <w:szCs w:val="20"/>
                <w:lang w:eastAsia="en-NZ"/>
              </w:rPr>
              <w:t>’s</w:t>
            </w:r>
            <w:proofErr w:type="spellEnd"/>
            <w:r w:rsidRPr="0091450A">
              <w:rPr>
                <w:rFonts w:cs="Times New Roman"/>
                <w:color w:val="000000"/>
                <w:szCs w:val="20"/>
                <w:lang w:eastAsia="en-NZ"/>
              </w:rPr>
              <w:t xml:space="preserve"> food and beverage classification system. </w:t>
            </w:r>
            <w:r w:rsidR="002E2BDF" w:rsidRPr="0091450A">
              <w:rPr>
                <w:rFonts w:cs="Times New Roman"/>
                <w:color w:val="000000"/>
                <w:szCs w:val="20"/>
                <w:lang w:eastAsia="en-NZ"/>
              </w:rPr>
              <w:t>These will be replaced with resources as part of Healthy Active Learning</w:t>
            </w:r>
            <w:r w:rsidR="00751F1B" w:rsidRPr="0091450A">
              <w:rPr>
                <w:rFonts w:cs="Times New Roman"/>
                <w:szCs w:val="20"/>
              </w:rPr>
              <w:t xml:space="preserve"> (</w:t>
            </w:r>
            <w:r w:rsidR="002E2BDF" w:rsidRPr="0091450A">
              <w:rPr>
                <w:rFonts w:cs="Times New Roman"/>
                <w:szCs w:val="20"/>
              </w:rPr>
              <w:t>personal communication, MoH, 2020</w:t>
            </w:r>
            <w:r w:rsidR="00751F1B" w:rsidRPr="0091450A">
              <w:rPr>
                <w:rFonts w:cs="Times New Roman"/>
                <w:szCs w:val="20"/>
              </w:rPr>
              <w:t>)</w:t>
            </w:r>
            <w:r w:rsidRPr="0091450A">
              <w:rPr>
                <w:rFonts w:cs="Times New Roman"/>
                <w:szCs w:val="20"/>
              </w:rPr>
              <w:t xml:space="preserve">. </w:t>
            </w:r>
          </w:p>
          <w:p w14:paraId="0FBDEC91" w14:textId="7F6BC8D5" w:rsidR="007840BF" w:rsidRPr="00B549E8" w:rsidRDefault="00D61B3E" w:rsidP="007159FF">
            <w:pPr>
              <w:pStyle w:val="ListParagraph"/>
              <w:numPr>
                <w:ilvl w:val="0"/>
                <w:numId w:val="9"/>
              </w:numPr>
              <w:shd w:val="clear" w:color="auto" w:fill="FFFFFF" w:themeFill="background1"/>
              <w:spacing w:before="40"/>
              <w:contextualSpacing w:val="0"/>
            </w:pPr>
            <w:r w:rsidRPr="007159FF">
              <w:rPr>
                <w:szCs w:val="20"/>
                <w:lang w:eastAsia="en-NZ"/>
              </w:rPr>
              <w:t>Fuelled4</w:t>
            </w:r>
            <w:r w:rsidR="00311DAE" w:rsidRPr="007159FF">
              <w:rPr>
                <w:szCs w:val="20"/>
                <w:lang w:eastAsia="en-NZ"/>
              </w:rPr>
              <w:t xml:space="preserve">Life </w:t>
            </w:r>
            <w:r w:rsidR="00311DAE" w:rsidRPr="00111C5D">
              <w:rPr>
                <w:szCs w:val="20"/>
                <w:lang w:eastAsia="en-NZ"/>
              </w:rPr>
              <w:t>is the</w:t>
            </w:r>
            <w:r w:rsidR="00311DAE" w:rsidRPr="0091450A">
              <w:rPr>
                <w:szCs w:val="20"/>
                <w:lang w:eastAsia="en-NZ"/>
              </w:rPr>
              <w:t xml:space="preserve"> </w:t>
            </w:r>
            <w:r w:rsidR="00825329">
              <w:rPr>
                <w:szCs w:val="20"/>
                <w:lang w:eastAsia="en-NZ"/>
              </w:rPr>
              <w:t xml:space="preserve">voluntary </w:t>
            </w:r>
            <w:r w:rsidR="00311DAE" w:rsidRPr="0091450A">
              <w:rPr>
                <w:szCs w:val="20"/>
                <w:lang w:eastAsia="en-NZ"/>
              </w:rPr>
              <w:t xml:space="preserve">Food and Beverage Classification System managed by the </w:t>
            </w:r>
            <w:r w:rsidRPr="0091450A">
              <w:rPr>
                <w:szCs w:val="20"/>
                <w:lang w:eastAsia="en-NZ"/>
              </w:rPr>
              <w:t>Heart Foundation</w:t>
            </w:r>
            <w:r w:rsidR="00311DAE" w:rsidRPr="0091450A">
              <w:rPr>
                <w:szCs w:val="20"/>
                <w:lang w:eastAsia="en-NZ"/>
              </w:rPr>
              <w:t xml:space="preserve"> on contract from MoH and is a collaborative initiative that involves the education, health and food industry sectors working together to make it easier to have healthier food in schools and early childhood education (ECE) services in NZ </w:t>
            </w:r>
            <w:r w:rsidR="00607FE1" w:rsidRPr="00B549E8">
              <w:rPr>
                <w:szCs w:val="20"/>
                <w:lang w:eastAsia="en-NZ"/>
              </w:rPr>
              <w:fldChar w:fldCharType="begin" w:fldLock="1"/>
            </w:r>
            <w:r w:rsidR="009C4029" w:rsidRPr="00B549E8">
              <w:rPr>
                <w:szCs w:val="20"/>
                <w:lang w:eastAsia="en-NZ"/>
              </w:rPr>
              <w:instrText>ADDIN CSL_CITATION {"citationItems":[{"id":"ITEM-1","itemData":{"author":[{"dropping-particle":"","family":"Ministry of Health","given":"","non-dropping-particle":"","parse-names":false,"suffix":""}],"id":"ITEM-1","issued":{"date-parts":[["2007"]]},"publisher":"Ministry of Health","publisher-place":"Wellington","title":"Classifying foods and drinks for early childhood education services","type":"report"},"uris":["http://www.mendeley.com/documents/?uuid=8b052238-f9d1-36c5-9616-7204e153e17b","http://www.mendeley.com/documents/?uuid=4d0b1b2d-d5a4-4a7f-9661-4f3a53392fd5"]},{"id":"ITEM-2","itemData":{"author":[{"dropping-particle":"","family":"Ministry of Health","given":"","non-dropping-particle":"","parse-names":false,"suffix":""}],"id":"ITEM-2","issued":{"date-parts":[["2007"]]},"publisher":"Ministry of Health","publisher-place":"Wellington","title":"Food and beverage classification system for years 1-13","type":"report"},"uris":["http://www.mendeley.com/documents/?uuid=299396b6-72e2-397e-a7d2-b61c4db6ac1d","http://www.mendeley.com/documents/?uuid=1af3a562-d288-4584-9954-6974712c36bc"]}],"mendeley":{"formattedCitation":"(114,115)","plainTextFormattedCitation":"(114,115)","previouslyFormattedCitation":"(114,115)"},"properties":{"noteIndex":0},"schema":"https://github.com/citation-style-language/schema/raw/master/csl-citation.json"}</w:instrText>
            </w:r>
            <w:r w:rsidR="00607FE1" w:rsidRPr="00B549E8">
              <w:rPr>
                <w:szCs w:val="20"/>
                <w:lang w:eastAsia="en-NZ"/>
              </w:rPr>
              <w:fldChar w:fldCharType="separate"/>
            </w:r>
            <w:r w:rsidR="004C06EB" w:rsidRPr="00B549E8">
              <w:rPr>
                <w:noProof/>
                <w:szCs w:val="20"/>
                <w:lang w:eastAsia="en-NZ"/>
              </w:rPr>
              <w:t>(114,115)</w:t>
            </w:r>
            <w:r w:rsidR="00607FE1" w:rsidRPr="00B549E8">
              <w:rPr>
                <w:szCs w:val="20"/>
                <w:lang w:eastAsia="en-NZ"/>
              </w:rPr>
              <w:fldChar w:fldCharType="end"/>
            </w:r>
            <w:r w:rsidR="00311DAE" w:rsidRPr="00B549E8">
              <w:rPr>
                <w:szCs w:val="20"/>
                <w:lang w:eastAsia="en-NZ"/>
              </w:rPr>
              <w:t>.</w:t>
            </w:r>
            <w:r w:rsidR="0013387C" w:rsidRPr="00B549E8">
              <w:rPr>
                <w:rFonts w:cs="Times New Roman"/>
                <w:szCs w:val="20"/>
              </w:rPr>
              <w:t xml:space="preserve"> </w:t>
            </w:r>
            <w:r w:rsidR="00601991" w:rsidRPr="00B549E8">
              <w:rPr>
                <w:szCs w:val="20"/>
                <w:lang w:eastAsia="en-NZ"/>
              </w:rPr>
              <w:t xml:space="preserve">It </w:t>
            </w:r>
            <w:r w:rsidR="00B549E8" w:rsidRPr="00B549E8">
              <w:rPr>
                <w:szCs w:val="20"/>
                <w:lang w:eastAsia="en-NZ"/>
              </w:rPr>
              <w:t>was</w:t>
            </w:r>
            <w:r w:rsidR="00601991" w:rsidRPr="00B549E8">
              <w:rPr>
                <w:szCs w:val="20"/>
                <w:lang w:eastAsia="en-NZ"/>
              </w:rPr>
              <w:t xml:space="preserve"> retired on 27 January 2020 and the Heart Foundation will continue to support food suppliers, </w:t>
            </w:r>
            <w:r w:rsidR="00601991" w:rsidRPr="00B549E8">
              <w:rPr>
                <w:rFonts w:ascii="Calibri" w:hAnsi="Calibri" w:cs="Calibri"/>
                <w:szCs w:val="20"/>
              </w:rPr>
              <w:t xml:space="preserve">schools and ECEs with Fresh Made, a website featuring resources, recipes, menus and blogs. The Fresh Made team can support food suppliers, school canteens or boarding school caterers with a menu assessment service </w:t>
            </w:r>
            <w:r w:rsidR="00601991" w:rsidRPr="00B549E8">
              <w:rPr>
                <w:rFonts w:ascii="Calibri" w:hAnsi="Calibri" w:cs="Calibri"/>
                <w:szCs w:val="20"/>
              </w:rPr>
              <w:fldChar w:fldCharType="begin" w:fldLock="1"/>
            </w:r>
            <w:r w:rsidR="009C4029" w:rsidRPr="00B549E8">
              <w:rPr>
                <w:rFonts w:ascii="Calibri" w:hAnsi="Calibri" w:cs="Calibri"/>
                <w:szCs w:val="20"/>
              </w:rPr>
              <w:instrText>ADDIN CSL_CITATION {"citationItems":[{"id":"ITEM-1","itemData":{"URL":"https://www.heartfoundation.org.nz/professionals/food-industry-and-hospitality/fresh-made/what-is-fresh-made","accessed":{"date-parts":[["2020","1","29"]]},"author":[{"dropping-particle":"","family":"Heart Foundation","given":"","non-dropping-particle":"","parse-names":false,"suffix":""}],"id":"ITEM-1","issued":{"date-parts":[["2020"]]},"title":"What is Fresh Made? | Healthy Food For Kids - Heart Foundation","type":"webpage"},"uris":["http://www.mendeley.com/documents/?uuid=a77585e3-982c-3c0c-82be-f0daf46c91ea"]}],"mendeley":{"formattedCitation":"(116)","plainTextFormattedCitation":"(116)","previouslyFormattedCitation":"(116)"},"properties":{"noteIndex":0},"schema":"https://github.com/citation-style-language/schema/raw/master/csl-citation.json"}</w:instrText>
            </w:r>
            <w:r w:rsidR="00601991" w:rsidRPr="00B549E8">
              <w:rPr>
                <w:rFonts w:ascii="Calibri" w:hAnsi="Calibri" w:cs="Calibri"/>
                <w:szCs w:val="20"/>
              </w:rPr>
              <w:fldChar w:fldCharType="separate"/>
            </w:r>
            <w:r w:rsidR="004C06EB" w:rsidRPr="00B549E8">
              <w:rPr>
                <w:rFonts w:ascii="Calibri" w:hAnsi="Calibri" w:cs="Calibri"/>
                <w:noProof/>
                <w:szCs w:val="20"/>
              </w:rPr>
              <w:t>(116)</w:t>
            </w:r>
            <w:r w:rsidR="00601991" w:rsidRPr="00B549E8">
              <w:rPr>
                <w:rFonts w:ascii="Calibri" w:hAnsi="Calibri" w:cs="Calibri"/>
                <w:szCs w:val="20"/>
              </w:rPr>
              <w:fldChar w:fldCharType="end"/>
            </w:r>
            <w:r w:rsidR="00601991" w:rsidRPr="00B549E8">
              <w:rPr>
                <w:rFonts w:ascii="Calibri" w:hAnsi="Calibri" w:cs="Calibri"/>
                <w:szCs w:val="20"/>
              </w:rPr>
              <w:t>.</w:t>
            </w:r>
            <w:r w:rsidR="006B0CC1" w:rsidRPr="00B549E8">
              <w:rPr>
                <w:lang w:eastAsia="en-NZ"/>
              </w:rPr>
              <w:t xml:space="preserve"> F</w:t>
            </w:r>
            <w:r w:rsidR="007840BF" w:rsidRPr="00B549E8">
              <w:rPr>
                <w:rFonts w:cs="Times New Roman"/>
                <w:szCs w:val="20"/>
                <w:lang w:eastAsia="en-NZ"/>
              </w:rPr>
              <w:t>BCS has been used as criteria for menu and recipe assessment. A total of eleven companies met the criteria and signed up with Fresh Made by the end of 2019, supplying food into 188 schools, early learning services, residential halls and out-of-school care centres across the country</w:t>
            </w:r>
            <w:r w:rsidR="006B0CC1" w:rsidRPr="00B549E8">
              <w:rPr>
                <w:rFonts w:cs="Times New Roman"/>
                <w:szCs w:val="20"/>
                <w:lang w:eastAsia="en-NZ"/>
              </w:rPr>
              <w:t xml:space="preserve"> (personal communication, </w:t>
            </w:r>
            <w:r w:rsidR="0091450A" w:rsidRPr="00B549E8">
              <w:rPr>
                <w:rFonts w:cs="Times New Roman"/>
                <w:szCs w:val="20"/>
                <w:lang w:eastAsia="en-NZ"/>
              </w:rPr>
              <w:t>Heart Foundation</w:t>
            </w:r>
            <w:r w:rsidR="006B0CC1" w:rsidRPr="00B549E8">
              <w:rPr>
                <w:rFonts w:cs="Times New Roman"/>
                <w:szCs w:val="20"/>
                <w:lang w:eastAsia="en-NZ"/>
              </w:rPr>
              <w:t>, 2020)</w:t>
            </w:r>
            <w:r w:rsidR="007840BF" w:rsidRPr="00B549E8">
              <w:rPr>
                <w:rFonts w:cs="Times New Roman"/>
                <w:szCs w:val="20"/>
                <w:lang w:eastAsia="en-NZ"/>
              </w:rPr>
              <w:t xml:space="preserve">. </w:t>
            </w:r>
          </w:p>
          <w:p w14:paraId="4F5583B4" w14:textId="65048259" w:rsidR="00B23600" w:rsidRPr="0091450A" w:rsidRDefault="00311DAE" w:rsidP="002D613F">
            <w:pPr>
              <w:pStyle w:val="ListParagraph"/>
              <w:numPr>
                <w:ilvl w:val="0"/>
                <w:numId w:val="9"/>
              </w:numPr>
              <w:spacing w:before="40" w:after="40"/>
              <w:contextualSpacing w:val="0"/>
              <w:rPr>
                <w:szCs w:val="20"/>
              </w:rPr>
            </w:pPr>
            <w:r w:rsidRPr="0091450A">
              <w:rPr>
                <w:rFonts w:cs="Times New Roman"/>
                <w:szCs w:val="20"/>
              </w:rPr>
              <w:t>Along with tools and resources,</w:t>
            </w:r>
            <w:r w:rsidR="002556AD" w:rsidRPr="0091450A">
              <w:rPr>
                <w:rFonts w:cs="Times New Roman"/>
                <w:szCs w:val="20"/>
              </w:rPr>
              <w:t xml:space="preserve"> the nutrient criteria continue</w:t>
            </w:r>
            <w:r w:rsidRPr="0091450A">
              <w:rPr>
                <w:rFonts w:cs="Times New Roman"/>
                <w:szCs w:val="20"/>
              </w:rPr>
              <w:t xml:space="preserve"> to underpin the FBCS to identify healthier choices according </w:t>
            </w:r>
            <w:r w:rsidR="00D24639" w:rsidRPr="0091450A">
              <w:rPr>
                <w:rFonts w:cs="Times New Roman"/>
                <w:szCs w:val="20"/>
              </w:rPr>
              <w:t>to nutrient profile (</w:t>
            </w:r>
            <w:r w:rsidRPr="0091450A">
              <w:rPr>
                <w:rFonts w:cs="Times New Roman"/>
                <w:szCs w:val="20"/>
              </w:rPr>
              <w:t xml:space="preserve">‘everyday’ and ‘sometimes’), when selecting foods and drinks for catered meals, tuck shops and canteens, vending machines, sponsorship deals, fundraisers and other special events. </w:t>
            </w:r>
            <w:r w:rsidR="005E2259" w:rsidRPr="0091450A">
              <w:rPr>
                <w:rFonts w:cs="Times New Roman"/>
                <w:szCs w:val="20"/>
              </w:rPr>
              <w:t>C</w:t>
            </w:r>
            <w:r w:rsidRPr="0091450A">
              <w:rPr>
                <w:rFonts w:cs="Times New Roman"/>
                <w:szCs w:val="20"/>
              </w:rPr>
              <w:t xml:space="preserve">ustomised support for canteens is </w:t>
            </w:r>
            <w:r w:rsidR="005E2259" w:rsidRPr="0091450A">
              <w:rPr>
                <w:rFonts w:cs="Times New Roman"/>
                <w:szCs w:val="20"/>
              </w:rPr>
              <w:t xml:space="preserve">provided </w:t>
            </w:r>
            <w:r w:rsidRPr="0091450A">
              <w:rPr>
                <w:rFonts w:cs="Times New Roman"/>
                <w:szCs w:val="20"/>
              </w:rPr>
              <w:t xml:space="preserve">by the Heart Foundation regional staff who </w:t>
            </w:r>
            <w:r w:rsidR="00B42934" w:rsidRPr="0091450A">
              <w:rPr>
                <w:rFonts w:cs="Times New Roman"/>
                <w:szCs w:val="20"/>
              </w:rPr>
              <w:t>works</w:t>
            </w:r>
            <w:r w:rsidRPr="0091450A">
              <w:rPr>
                <w:rFonts w:cs="Times New Roman"/>
                <w:szCs w:val="20"/>
              </w:rPr>
              <w:t xml:space="preserve"> directly </w:t>
            </w:r>
            <w:r w:rsidRPr="00B549E8">
              <w:rPr>
                <w:rFonts w:cs="Times New Roman"/>
                <w:szCs w:val="20"/>
              </w:rPr>
              <w:t>with schools. Fuelled4life focuse</w:t>
            </w:r>
            <w:r w:rsidR="002E2BDF" w:rsidRPr="00B549E8">
              <w:rPr>
                <w:rFonts w:cs="Times New Roman"/>
                <w:szCs w:val="20"/>
              </w:rPr>
              <w:t>d</w:t>
            </w:r>
            <w:r w:rsidRPr="00B549E8">
              <w:rPr>
                <w:rFonts w:cs="Times New Roman"/>
                <w:szCs w:val="20"/>
              </w:rPr>
              <w:t xml:space="preserve"> efforts on schools while continuing to support early learning services</w:t>
            </w:r>
            <w:r w:rsidR="00B549E8" w:rsidRPr="00B549E8">
              <w:rPr>
                <w:rFonts w:cs="Times New Roman"/>
                <w:szCs w:val="20"/>
              </w:rPr>
              <w:t>.</w:t>
            </w:r>
            <w:r w:rsidR="00400973" w:rsidRPr="00B549E8">
              <w:rPr>
                <w:rFonts w:cs="Times New Roman"/>
                <w:szCs w:val="20"/>
              </w:rPr>
              <w:t xml:space="preserve"> Parents of children aged 0-5 have support for healthier eating through existing communication channels already developed for Fuelled4life such as the website and the Facebook page. 1792 schools and 2676 early learning services are currently signed up to Fuelled4life, which is 67.7% of schools and 56.9% of early learning services.</w:t>
            </w:r>
            <w:r w:rsidR="00400973" w:rsidRPr="00B549E8">
              <w:rPr>
                <w:szCs w:val="20"/>
                <w:lang w:eastAsia="en-NZ"/>
              </w:rPr>
              <w:t xml:space="preserve"> </w:t>
            </w:r>
            <w:r w:rsidRPr="00B549E8">
              <w:rPr>
                <w:rFonts w:cs="Times New Roman"/>
                <w:szCs w:val="20"/>
              </w:rPr>
              <w:t>Stronger</w:t>
            </w:r>
            <w:r w:rsidRPr="0091450A">
              <w:rPr>
                <w:rFonts w:cs="Times New Roman"/>
                <w:szCs w:val="20"/>
              </w:rPr>
              <w:t xml:space="preserve"> emphasis has been placed on </w:t>
            </w:r>
            <w:r w:rsidR="00D2011B" w:rsidRPr="0091450A">
              <w:rPr>
                <w:rFonts w:cs="Times New Roman"/>
                <w:szCs w:val="20"/>
              </w:rPr>
              <w:t>freshly</w:t>
            </w:r>
            <w:r w:rsidRPr="0091450A">
              <w:rPr>
                <w:rFonts w:cs="Times New Roman"/>
                <w:szCs w:val="20"/>
              </w:rPr>
              <w:t xml:space="preserve"> made foods nutritional support provided to external school food suppliers and boarding school caterers. Ordering school lunches online is increasingly common with many schools now using online lunch programmes provided by external food suppliers. Fuelled4life supports food suppliers to make these fresh-made foods healthier by providing individualized nutritional support and advice. FBCS has been used as criteria for menu and recipe assessment. A total of six companies met the criteria and signed up with Fuelled4life by the end of 2016, supplying food into 210 schools in Auckland, Wellington, Christchurch, Waika</w:t>
            </w:r>
            <w:r w:rsidR="00B42934" w:rsidRPr="0091450A">
              <w:rPr>
                <w:rFonts w:cs="Times New Roman"/>
                <w:szCs w:val="20"/>
              </w:rPr>
              <w:t xml:space="preserve">to, Hawke’s Bay and </w:t>
            </w:r>
            <w:proofErr w:type="spellStart"/>
            <w:r w:rsidR="00B42934" w:rsidRPr="0091450A">
              <w:rPr>
                <w:rFonts w:cs="Times New Roman"/>
                <w:szCs w:val="20"/>
              </w:rPr>
              <w:t>Taumarunui</w:t>
            </w:r>
            <w:proofErr w:type="spellEnd"/>
            <w:r w:rsidR="00B42934" w:rsidRPr="0091450A">
              <w:rPr>
                <w:rFonts w:cs="Times New Roman"/>
                <w:szCs w:val="20"/>
              </w:rPr>
              <w:t xml:space="preserve"> </w:t>
            </w:r>
            <w:r w:rsidRPr="0091450A">
              <w:rPr>
                <w:rFonts w:cs="Times New Roman"/>
                <w:szCs w:val="20"/>
              </w:rPr>
              <w:t>(personal communication, Heart Foundation</w:t>
            </w:r>
            <w:r w:rsidR="00C7639E" w:rsidRPr="0091450A">
              <w:rPr>
                <w:rFonts w:cs="Times New Roman"/>
                <w:szCs w:val="20"/>
              </w:rPr>
              <w:t>, 2017</w:t>
            </w:r>
            <w:r w:rsidRPr="0091450A">
              <w:rPr>
                <w:szCs w:val="20"/>
              </w:rPr>
              <w:t>)</w:t>
            </w:r>
            <w:r w:rsidR="00B42934" w:rsidRPr="0091450A">
              <w:rPr>
                <w:szCs w:val="20"/>
              </w:rPr>
              <w:t>.</w:t>
            </w:r>
            <w:r w:rsidR="002E08DF" w:rsidRPr="0091450A">
              <w:rPr>
                <w:rFonts w:cs="Times New Roman"/>
                <w:color w:val="000000"/>
                <w:szCs w:val="20"/>
                <w:lang w:eastAsia="en-NZ"/>
              </w:rPr>
              <w:t xml:space="preserve"> </w:t>
            </w:r>
          </w:p>
          <w:p w14:paraId="1EAA6B5B" w14:textId="16BA580A" w:rsidR="00330B3C" w:rsidRPr="0091450A" w:rsidRDefault="00330B3C" w:rsidP="002D613F">
            <w:pPr>
              <w:pStyle w:val="ListParagraph"/>
              <w:numPr>
                <w:ilvl w:val="0"/>
                <w:numId w:val="9"/>
              </w:numPr>
              <w:shd w:val="clear" w:color="auto" w:fill="FFFFFF" w:themeFill="background1"/>
              <w:spacing w:before="40" w:after="40"/>
              <w:contextualSpacing w:val="0"/>
              <w:rPr>
                <w:rFonts w:cs="Times New Roman"/>
                <w:szCs w:val="20"/>
              </w:rPr>
            </w:pPr>
            <w:r w:rsidRPr="0091450A">
              <w:rPr>
                <w:rFonts w:cs="Times New Roman"/>
                <w:szCs w:val="20"/>
              </w:rPr>
              <w:t>There are guidelines on the Ministry of Education’s website for schools to develop policies relating to the food environment in their school</w:t>
            </w:r>
            <w:r w:rsidR="004745E3" w:rsidRPr="0091450A">
              <w:rPr>
                <w:rFonts w:cs="Times New Roman"/>
                <w:szCs w:val="20"/>
              </w:rPr>
              <w:t xml:space="preserve"> </w:t>
            </w:r>
            <w:r w:rsidR="009F4459" w:rsidRPr="0091450A">
              <w:rPr>
                <w:rFonts w:cs="Times New Roman"/>
                <w:szCs w:val="20"/>
              </w:rPr>
              <w:fldChar w:fldCharType="begin" w:fldLock="1"/>
            </w:r>
            <w:r w:rsidR="009C4029">
              <w:rPr>
                <w:rFonts w:cs="Times New Roman"/>
                <w:szCs w:val="20"/>
              </w:rPr>
              <w:instrText>ADDIN CSL_CITATION {"citationItems":[{"id":"ITEM-1","itemData":{"URL":"http://healthylifestyles.tki.org.nz/National-nutrition-resource-list/Food-and-nutrition-for-healthy-confident-kids","author":[{"dropping-particle":"","family":"Ministry of Education","given":"","non-dropping-particle":"","parse-names":false,"suffix":""}],"id":"ITEM-1","issued":{"date-parts":[["2007"]]},"publisher":"Ministry of Education","publisher-place":"Wellington","title":"Food and nutrition for healthy, confident kids","type":"webpage"},"uris":["http://www.mendeley.com/documents/?uuid=fdce8d25-8e4e-44a2-b9a2-d6a251034e6f","http://www.mendeley.com/documents/?uuid=2f08ae85-1a8c-379b-812b-efaf99c76abc"]}],"mendeley":{"formattedCitation":"(117)","plainTextFormattedCitation":"(117)","previouslyFormattedCitation":"(117)"},"properties":{"noteIndex":0},"schema":"https://github.com/citation-style-language/schema/raw/master/csl-citation.json"}</w:instrText>
            </w:r>
            <w:r w:rsidR="009F4459" w:rsidRPr="0091450A">
              <w:rPr>
                <w:rFonts w:cs="Times New Roman"/>
                <w:szCs w:val="20"/>
              </w:rPr>
              <w:fldChar w:fldCharType="separate"/>
            </w:r>
            <w:r w:rsidR="004C06EB" w:rsidRPr="004C06EB">
              <w:rPr>
                <w:rFonts w:cs="Times New Roman"/>
                <w:noProof/>
                <w:szCs w:val="20"/>
              </w:rPr>
              <w:t>(117)</w:t>
            </w:r>
            <w:r w:rsidR="009F4459" w:rsidRPr="0091450A">
              <w:rPr>
                <w:rFonts w:cs="Times New Roman"/>
                <w:szCs w:val="20"/>
              </w:rPr>
              <w:fldChar w:fldCharType="end"/>
            </w:r>
            <w:r w:rsidR="009F4459" w:rsidRPr="0091450A">
              <w:rPr>
                <w:rFonts w:cs="Times New Roman"/>
                <w:szCs w:val="20"/>
              </w:rPr>
              <w:t>.</w:t>
            </w:r>
            <w:r w:rsidRPr="0091450A">
              <w:rPr>
                <w:rFonts w:cs="Times New Roman"/>
                <w:szCs w:val="20"/>
              </w:rPr>
              <w:t xml:space="preserve"> </w:t>
            </w:r>
          </w:p>
          <w:p w14:paraId="169919CC" w14:textId="3269367F" w:rsidR="005E4BD0" w:rsidRPr="00B549E8" w:rsidRDefault="005E4BD0" w:rsidP="002D613F">
            <w:pPr>
              <w:pStyle w:val="ListParagraph"/>
              <w:numPr>
                <w:ilvl w:val="0"/>
                <w:numId w:val="9"/>
              </w:numPr>
              <w:shd w:val="clear" w:color="auto" w:fill="FFFFFF" w:themeFill="background1"/>
              <w:spacing w:before="40" w:after="40"/>
              <w:contextualSpacing w:val="0"/>
              <w:rPr>
                <w:rFonts w:cs="Times New Roman"/>
                <w:szCs w:val="20"/>
              </w:rPr>
            </w:pPr>
            <w:r w:rsidRPr="00111C5D">
              <w:rPr>
                <w:rFonts w:cs="Times New Roman"/>
                <w:szCs w:val="20"/>
              </w:rPr>
              <w:t xml:space="preserve">The </w:t>
            </w:r>
            <w:r w:rsidRPr="007159FF">
              <w:rPr>
                <w:rFonts w:cs="Times New Roman"/>
                <w:szCs w:val="20"/>
              </w:rPr>
              <w:t xml:space="preserve">Healthy Heart Award </w:t>
            </w:r>
            <w:r w:rsidRPr="00111C5D">
              <w:rPr>
                <w:rFonts w:cs="Times New Roman"/>
                <w:szCs w:val="20"/>
              </w:rPr>
              <w:t>is</w:t>
            </w:r>
            <w:r w:rsidRPr="0091450A">
              <w:rPr>
                <w:rFonts w:cs="Times New Roman"/>
                <w:szCs w:val="20"/>
              </w:rPr>
              <w:t xml:space="preserve"> an established, free programme coordinated by the </w:t>
            </w:r>
            <w:r w:rsidR="00D61B3E" w:rsidRPr="0091450A">
              <w:rPr>
                <w:rFonts w:cs="Times New Roman"/>
                <w:szCs w:val="20"/>
              </w:rPr>
              <w:t>Heart Foundation</w:t>
            </w:r>
            <w:r w:rsidRPr="0091450A">
              <w:rPr>
                <w:rFonts w:cs="Times New Roman"/>
                <w:szCs w:val="20"/>
              </w:rPr>
              <w:t xml:space="preserve"> and partially funded by the MoH. It assists ECE services to create an environment promoting healthy eating and physical activity to under 5s and their families. There are three award levels</w:t>
            </w:r>
            <w:r w:rsidR="00B60CEB" w:rsidRPr="0091450A">
              <w:rPr>
                <w:rFonts w:cs="Times New Roman"/>
                <w:szCs w:val="20"/>
              </w:rPr>
              <w:t xml:space="preserve"> </w:t>
            </w:r>
            <w:r w:rsidR="00637DB9" w:rsidRPr="0091450A">
              <w:rPr>
                <w:rFonts w:cs="Times New Roman"/>
                <w:szCs w:val="20"/>
              </w:rPr>
              <w:fldChar w:fldCharType="begin" w:fldLock="1"/>
            </w:r>
            <w:r w:rsidR="009C4029">
              <w:rPr>
                <w:rFonts w:cs="Times New Roman"/>
                <w:szCs w:val="20"/>
              </w:rPr>
              <w:instrText>ADDIN CSL_CITATION {"citationItems":[{"id":"ITEM-1","itemData":{"URL":"http://www.heartfoundation.org.nz/programmes-resources/schools-and-eces/healthy-heart-award","author":[{"dropping-particle":"","family":"Heart Foundation of New Zealand","given":"","non-dropping-particle":"","parse-names":false,"suffix":""}],"id":"ITEM-1","issue":"02/04/2014","issued":{"date-parts":[["0"]]},"title":"The Healthy Heart Award for Early Childhood Education","type":"webpage"},"uris":["http://www.mendeley.com/documents/?uuid=4e8f747e-f94d-3152-9ae2-1796f426c874","http://www.mendeley.com/documents/?uuid=95431dbe-6dae-405e-baed-b61f41c28bb1"]}],"mendeley":{"formattedCitation":"(118)","plainTextFormattedCitation":"(118)","previouslyFormattedCitation":"(118)"},"properties":{"noteIndex":0},"schema":"https://github.com/citation-style-language/schema/raw/master/csl-citation.json"}</w:instrText>
            </w:r>
            <w:r w:rsidR="00637DB9" w:rsidRPr="0091450A">
              <w:rPr>
                <w:rFonts w:cs="Times New Roman"/>
                <w:szCs w:val="20"/>
              </w:rPr>
              <w:fldChar w:fldCharType="separate"/>
            </w:r>
            <w:r w:rsidR="004C06EB" w:rsidRPr="004C06EB">
              <w:rPr>
                <w:rFonts w:cs="Times New Roman"/>
                <w:noProof/>
                <w:szCs w:val="20"/>
              </w:rPr>
              <w:t>(118)</w:t>
            </w:r>
            <w:r w:rsidR="00637DB9" w:rsidRPr="0091450A">
              <w:rPr>
                <w:rFonts w:cs="Times New Roman"/>
                <w:szCs w:val="20"/>
              </w:rPr>
              <w:fldChar w:fldCharType="end"/>
            </w:r>
            <w:r w:rsidRPr="0091450A">
              <w:rPr>
                <w:rFonts w:cs="Times New Roman"/>
                <w:szCs w:val="20"/>
              </w:rPr>
              <w:t>.</w:t>
            </w:r>
            <w:r w:rsidR="003F064D" w:rsidRPr="0091450A">
              <w:rPr>
                <w:rFonts w:cs="Times New Roman"/>
                <w:color w:val="0000FF"/>
                <w:szCs w:val="20"/>
                <w:lang w:eastAsia="en-NZ"/>
              </w:rPr>
              <w:t xml:space="preserve"> </w:t>
            </w:r>
            <w:r w:rsidR="00BB63A9" w:rsidRPr="0091450A">
              <w:rPr>
                <w:rFonts w:cs="Times New Roman"/>
                <w:szCs w:val="20"/>
              </w:rPr>
              <w:t xml:space="preserve">The </w:t>
            </w:r>
            <w:r w:rsidR="00D61B3E" w:rsidRPr="0091450A">
              <w:rPr>
                <w:rFonts w:cs="Times New Roman"/>
                <w:szCs w:val="20"/>
              </w:rPr>
              <w:t>Heart Foundation</w:t>
            </w:r>
            <w:r w:rsidR="00BB63A9" w:rsidRPr="0091450A">
              <w:rPr>
                <w:rFonts w:cs="Times New Roman"/>
                <w:szCs w:val="20"/>
              </w:rPr>
              <w:t xml:space="preserve"> has several other resources available for schools and ECE services related to ECE menu development and school canteen menu development </w:t>
            </w:r>
            <w:r w:rsidR="00637DB9" w:rsidRPr="0091450A">
              <w:rPr>
                <w:rFonts w:cs="Times New Roman"/>
                <w:szCs w:val="20"/>
              </w:rPr>
              <w:fldChar w:fldCharType="begin" w:fldLock="1"/>
            </w:r>
            <w:r w:rsidR="009C4029">
              <w:rPr>
                <w:rFonts w:cs="Times New Roman"/>
                <w:szCs w:val="20"/>
              </w:rPr>
              <w:instrText>ADDIN CSL_CITATION {"citationItems":[{"id":"ITEM-1","itemData":{"URL":"http://www.heartfoundation.org.nz/programmes-resources/schools-and-eces/schools-and-ece-food-services","author":[{"dropping-particle":"","family":"Heart Foundation of New Zealand","given":"","non-dropping-particle":"","parse-names":false,"suffix":""}],"id":"ITEM-1","issue":"14/06/2013","issued":{"date-parts":[["0"]]},"title":"Schools and ECE Food Services","type":"webpage"},"uris":["http://www.mendeley.com/documents/?uuid=a2e7aa93-e7ac-37ab-9507-46613df02cca","http://www.mendeley.com/documents/?uuid=73c3ca92-a9ec-40d7-9e5e-977384173e12"]}],"mendeley":{"formattedCitation":"(119)","plainTextFormattedCitation":"(119)","previouslyFormattedCitation":"(119)"},"properties":{"noteIndex":0},"schema":"https://github.com/citation-style-language/schema/raw/master/csl-citation.json"}</w:instrText>
            </w:r>
            <w:r w:rsidR="00637DB9" w:rsidRPr="0091450A">
              <w:rPr>
                <w:rFonts w:cs="Times New Roman"/>
                <w:szCs w:val="20"/>
              </w:rPr>
              <w:fldChar w:fldCharType="separate"/>
            </w:r>
            <w:r w:rsidR="004C06EB" w:rsidRPr="004C06EB">
              <w:rPr>
                <w:rFonts w:cs="Times New Roman"/>
                <w:noProof/>
                <w:szCs w:val="20"/>
              </w:rPr>
              <w:t>(119)</w:t>
            </w:r>
            <w:r w:rsidR="00637DB9" w:rsidRPr="0091450A">
              <w:rPr>
                <w:rFonts w:cs="Times New Roman"/>
                <w:szCs w:val="20"/>
              </w:rPr>
              <w:fldChar w:fldCharType="end"/>
            </w:r>
            <w:r w:rsidR="00886736" w:rsidRPr="0091450A">
              <w:rPr>
                <w:rFonts w:cs="Times New Roman"/>
                <w:szCs w:val="20"/>
              </w:rPr>
              <w:t>.</w:t>
            </w:r>
            <w:r w:rsidR="00ED5BEB" w:rsidRPr="0091450A">
              <w:rPr>
                <w:rFonts w:cs="Times New Roman"/>
                <w:szCs w:val="20"/>
              </w:rPr>
              <w:t xml:space="preserve"> </w:t>
            </w:r>
            <w:r w:rsidR="00ED5BEB" w:rsidRPr="00B549E8">
              <w:rPr>
                <w:rFonts w:cs="Times New Roman"/>
                <w:szCs w:val="20"/>
              </w:rPr>
              <w:t>At the end of 2019</w:t>
            </w:r>
            <w:r w:rsidR="00B60C53" w:rsidRPr="00B549E8">
              <w:rPr>
                <w:rFonts w:cs="Times New Roman"/>
                <w:szCs w:val="20"/>
              </w:rPr>
              <w:t>,</w:t>
            </w:r>
            <w:r w:rsidR="00ED5BEB" w:rsidRPr="00B549E8">
              <w:rPr>
                <w:rFonts w:cs="Times New Roman"/>
                <w:szCs w:val="20"/>
              </w:rPr>
              <w:t xml:space="preserve"> there w</w:t>
            </w:r>
            <w:r w:rsidR="00B60C53" w:rsidRPr="00B549E8">
              <w:rPr>
                <w:rFonts w:cs="Times New Roman"/>
                <w:szCs w:val="20"/>
              </w:rPr>
              <w:t>ere</w:t>
            </w:r>
            <w:r w:rsidR="00ED5BEB" w:rsidRPr="00B549E8">
              <w:rPr>
                <w:rFonts w:cs="Times New Roman"/>
                <w:szCs w:val="20"/>
              </w:rPr>
              <w:t xml:space="preserve"> 818 early </w:t>
            </w:r>
            <w:r w:rsidR="00ED5BEB" w:rsidRPr="00B549E8">
              <w:rPr>
                <w:rFonts w:cs="Times New Roman"/>
                <w:szCs w:val="20"/>
              </w:rPr>
              <w:lastRenderedPageBreak/>
              <w:t xml:space="preserve">learning services participating in the Healthy Heart Award programme (personal communication, </w:t>
            </w:r>
            <w:r w:rsidR="0091450A" w:rsidRPr="00B549E8">
              <w:rPr>
                <w:rFonts w:cs="Times New Roman"/>
                <w:szCs w:val="20"/>
              </w:rPr>
              <w:t>Heart Foundation</w:t>
            </w:r>
            <w:r w:rsidR="00ED5BEB" w:rsidRPr="00B549E8">
              <w:rPr>
                <w:rFonts w:cs="Times New Roman"/>
                <w:szCs w:val="20"/>
              </w:rPr>
              <w:t>, 2020).</w:t>
            </w:r>
          </w:p>
          <w:p w14:paraId="0A7F6468" w14:textId="148DEC16" w:rsidR="00AF6E92" w:rsidRPr="0091450A" w:rsidRDefault="00AF6E92" w:rsidP="002D613F">
            <w:pPr>
              <w:pStyle w:val="ListParagraph"/>
              <w:numPr>
                <w:ilvl w:val="0"/>
                <w:numId w:val="9"/>
              </w:numPr>
              <w:shd w:val="clear" w:color="auto" w:fill="FFFFFF" w:themeFill="background1"/>
              <w:spacing w:before="40" w:after="40"/>
              <w:contextualSpacing w:val="0"/>
              <w:rPr>
                <w:rFonts w:cs="Times New Roman"/>
                <w:szCs w:val="20"/>
              </w:rPr>
            </w:pPr>
            <w:r w:rsidRPr="00714C2B">
              <w:rPr>
                <w:rFonts w:cs="Times New Roman"/>
                <w:szCs w:val="20"/>
              </w:rPr>
              <w:t xml:space="preserve">HEART START </w:t>
            </w:r>
            <w:proofErr w:type="spellStart"/>
            <w:r w:rsidRPr="00714C2B">
              <w:rPr>
                <w:rFonts w:cs="Times New Roman"/>
                <w:szCs w:val="20"/>
              </w:rPr>
              <w:t>Toitoi</w:t>
            </w:r>
            <w:proofErr w:type="spellEnd"/>
            <w:r w:rsidRPr="0091450A">
              <w:rPr>
                <w:rFonts w:cs="Times New Roman"/>
                <w:szCs w:val="20"/>
              </w:rPr>
              <w:t xml:space="preserve"> Manawa is a free curriculum-linked programme, </w:t>
            </w:r>
            <w:r w:rsidR="00A03B8D">
              <w:rPr>
                <w:rFonts w:cs="Times New Roman"/>
                <w:szCs w:val="20"/>
              </w:rPr>
              <w:t xml:space="preserve">that was </w:t>
            </w:r>
            <w:r w:rsidRPr="0091450A">
              <w:rPr>
                <w:rFonts w:cs="Times New Roman"/>
                <w:szCs w:val="20"/>
              </w:rPr>
              <w:t xml:space="preserve">partially </w:t>
            </w:r>
            <w:r w:rsidR="00270A74" w:rsidRPr="0091450A">
              <w:rPr>
                <w:rFonts w:cs="Times New Roman"/>
                <w:szCs w:val="20"/>
              </w:rPr>
              <w:t>funded by the MoH</w:t>
            </w:r>
            <w:r w:rsidR="00A03B8D">
              <w:rPr>
                <w:rFonts w:cs="Times New Roman"/>
                <w:szCs w:val="20"/>
              </w:rPr>
              <w:t xml:space="preserve"> and offered by the Heart Foun</w:t>
            </w:r>
            <w:r w:rsidR="002B6B90">
              <w:rPr>
                <w:rFonts w:cs="Times New Roman"/>
                <w:szCs w:val="20"/>
              </w:rPr>
              <w:t xml:space="preserve">dation </w:t>
            </w:r>
            <w:r w:rsidR="00A03B8D">
              <w:rPr>
                <w:rFonts w:cs="Times New Roman"/>
                <w:szCs w:val="20"/>
              </w:rPr>
              <w:t>until 2017</w:t>
            </w:r>
            <w:r w:rsidRPr="0091450A">
              <w:rPr>
                <w:rFonts w:cs="Times New Roman"/>
                <w:szCs w:val="20"/>
              </w:rPr>
              <w:t xml:space="preserve">. It </w:t>
            </w:r>
            <w:r w:rsidR="00A03B8D">
              <w:rPr>
                <w:rFonts w:cs="Times New Roman"/>
                <w:szCs w:val="20"/>
              </w:rPr>
              <w:t>was</w:t>
            </w:r>
            <w:r w:rsidR="00A03B8D" w:rsidRPr="0091450A">
              <w:rPr>
                <w:rFonts w:cs="Times New Roman"/>
                <w:szCs w:val="20"/>
              </w:rPr>
              <w:t xml:space="preserve"> </w:t>
            </w:r>
            <w:r w:rsidRPr="0091450A">
              <w:rPr>
                <w:rFonts w:cs="Times New Roman"/>
                <w:szCs w:val="20"/>
              </w:rPr>
              <w:t>offered to all schools across New Zealand. The programme fits with schools existing work and helps build a heart</w:t>
            </w:r>
            <w:r w:rsidR="00B60C53">
              <w:rPr>
                <w:rFonts w:cs="Times New Roman"/>
                <w:szCs w:val="20"/>
              </w:rPr>
              <w:t>-</w:t>
            </w:r>
            <w:r w:rsidRPr="0091450A">
              <w:rPr>
                <w:rFonts w:cs="Times New Roman"/>
                <w:szCs w:val="20"/>
              </w:rPr>
              <w:t>healthy environment</w:t>
            </w:r>
            <w:r w:rsidR="004745E3" w:rsidRPr="0091450A">
              <w:rPr>
                <w:rFonts w:cs="Times New Roman"/>
                <w:szCs w:val="20"/>
              </w:rPr>
              <w:t xml:space="preserve"> </w:t>
            </w:r>
            <w:r w:rsidR="005A10B0" w:rsidRPr="0091450A">
              <w:rPr>
                <w:rFonts w:cs="Times New Roman"/>
                <w:szCs w:val="20"/>
              </w:rPr>
              <w:fldChar w:fldCharType="begin" w:fldLock="1"/>
            </w:r>
            <w:r w:rsidR="009C4029">
              <w:rPr>
                <w:rFonts w:cs="Times New Roman"/>
                <w:szCs w:val="20"/>
              </w:rPr>
              <w:instrText>ADDIN CSL_CITATION {"citationItems":[{"id":"ITEM-1","itemData":{"author":[{"dropping-particle":"","family":"Heart Foundation of New Zealand","given":"","non-dropping-particle":"","parse-names":false,"suffix":""}],"id":"ITEM-1","issue":"02/04/2014","issued":{"date-parts":[["0"]]},"title":"Heart Start","type":"webpage"},"uris":["http://www.mendeley.com/documents/?uuid=16f61aeb-0a06-377d-896f-8040416eec29","http://www.mendeley.com/documents/?uuid=0b5c0d80-e618-42ec-baae-e3c40e115dce"]}],"mendeley":{"formattedCitation":"(120)","plainTextFormattedCitation":"(120)","previouslyFormattedCitation":"(120)"},"properties":{"noteIndex":0},"schema":"https://github.com/citation-style-language/schema/raw/master/csl-citation.json"}</w:instrText>
            </w:r>
            <w:r w:rsidR="005A10B0" w:rsidRPr="0091450A">
              <w:rPr>
                <w:rFonts w:cs="Times New Roman"/>
                <w:szCs w:val="20"/>
              </w:rPr>
              <w:fldChar w:fldCharType="separate"/>
            </w:r>
            <w:r w:rsidR="004C06EB" w:rsidRPr="004C06EB">
              <w:rPr>
                <w:rFonts w:cs="Times New Roman"/>
                <w:noProof/>
                <w:szCs w:val="20"/>
              </w:rPr>
              <w:t>(120)</w:t>
            </w:r>
            <w:r w:rsidR="005A10B0" w:rsidRPr="0091450A">
              <w:rPr>
                <w:rFonts w:cs="Times New Roman"/>
                <w:szCs w:val="20"/>
              </w:rPr>
              <w:fldChar w:fldCharType="end"/>
            </w:r>
            <w:r w:rsidR="005A10B0" w:rsidRPr="0091450A">
              <w:rPr>
                <w:rFonts w:cs="Times New Roman"/>
                <w:szCs w:val="20"/>
              </w:rPr>
              <w:t>.</w:t>
            </w:r>
            <w:r w:rsidRPr="0091450A">
              <w:rPr>
                <w:rFonts w:cs="Times New Roman"/>
                <w:szCs w:val="20"/>
              </w:rPr>
              <w:t xml:space="preserve"> </w:t>
            </w:r>
          </w:p>
          <w:p w14:paraId="444C942D" w14:textId="31F10B91" w:rsidR="0060249E" w:rsidRPr="00B549E8" w:rsidRDefault="00D24639" w:rsidP="002D613F">
            <w:pPr>
              <w:pStyle w:val="ListParagraph"/>
              <w:numPr>
                <w:ilvl w:val="0"/>
                <w:numId w:val="9"/>
              </w:numPr>
              <w:spacing w:before="40" w:after="40"/>
              <w:contextualSpacing w:val="0"/>
              <w:rPr>
                <w:rFonts w:cs="Times New Roman"/>
                <w:strike/>
                <w:szCs w:val="20"/>
              </w:rPr>
            </w:pPr>
            <w:r w:rsidRPr="007159FF">
              <w:rPr>
                <w:rFonts w:cs="Times New Roman"/>
                <w:szCs w:val="20"/>
              </w:rPr>
              <w:t>Food for T</w:t>
            </w:r>
            <w:r w:rsidR="003F064D" w:rsidRPr="007159FF">
              <w:rPr>
                <w:rFonts w:cs="Times New Roman"/>
                <w:szCs w:val="20"/>
              </w:rPr>
              <w:t>hought</w:t>
            </w:r>
            <w:r w:rsidR="00E63362" w:rsidRPr="007159FF">
              <w:rPr>
                <w:rFonts w:cs="Times New Roman"/>
                <w:szCs w:val="20"/>
              </w:rPr>
              <w:t xml:space="preserve"> </w:t>
            </w:r>
            <w:r w:rsidR="00E63362" w:rsidRPr="00111C5D">
              <w:t>uses</w:t>
            </w:r>
            <w:r w:rsidR="00E63362" w:rsidRPr="0091450A">
              <w:t xml:space="preserve"> an inquiry</w:t>
            </w:r>
            <w:r w:rsidR="00B60C53">
              <w:t>-</w:t>
            </w:r>
            <w:r w:rsidR="00BB63A9" w:rsidRPr="0091450A">
              <w:t xml:space="preserve">based learning approach to help </w:t>
            </w:r>
            <w:r w:rsidR="00E63362" w:rsidRPr="0091450A">
              <w:t>students (years 5-6) learn how to make healthy food choices</w:t>
            </w:r>
            <w:r w:rsidR="003F064D" w:rsidRPr="00111C5D">
              <w:rPr>
                <w:rFonts w:cs="Times New Roman"/>
                <w:szCs w:val="20"/>
              </w:rPr>
              <w:t xml:space="preserve"> </w:t>
            </w:r>
            <w:r w:rsidR="005A10B0" w:rsidRPr="00375746">
              <w:rPr>
                <w:rFonts w:cs="Times New Roman"/>
                <w:szCs w:val="20"/>
              </w:rPr>
              <w:fldChar w:fldCharType="begin" w:fldLock="1"/>
            </w:r>
            <w:r w:rsidR="009C4029">
              <w:rPr>
                <w:rFonts w:cs="Times New Roman"/>
                <w:szCs w:val="20"/>
              </w:rPr>
              <w:instrText>ADDIN CSL_CITATION {"citationItems":[{"id":"ITEM-1","itemData":{"URL":"http://www.learnbyheart.org.nz/index.php/schools/food-for-thought","author":[{"dropping-particle":"","family":"Heart Foundation of New Zealand","given":"","non-dropping-particle":"","parse-names":false,"suffix":""}],"id":"ITEM-1","issue":"22/2/2017","issued":{"date-parts":[["0"]]},"title":"Food for Thought","type":"webpage"},"uris":["http://www.mendeley.com/documents/?uuid=4527901a-6848-34a5-815f-b6c41e4b00b2","http://www.mendeley.com/documents/?uuid=5a033e3f-73cd-44ed-845a-9ded4a49a6e5"]}],"mendeley":{"formattedCitation":"(121)","plainTextFormattedCitation":"(121)","previouslyFormattedCitation":"(121)"},"properties":{"noteIndex":0},"schema":"https://github.com/citation-style-language/schema/raw/master/csl-citation.json"}</w:instrText>
            </w:r>
            <w:r w:rsidR="005A10B0" w:rsidRPr="00375746">
              <w:rPr>
                <w:rFonts w:cs="Times New Roman"/>
                <w:szCs w:val="20"/>
              </w:rPr>
              <w:fldChar w:fldCharType="separate"/>
            </w:r>
            <w:r w:rsidR="004C06EB" w:rsidRPr="004C06EB">
              <w:rPr>
                <w:rFonts w:cs="Times New Roman"/>
                <w:noProof/>
                <w:szCs w:val="20"/>
              </w:rPr>
              <w:t>(121)</w:t>
            </w:r>
            <w:r w:rsidR="005A10B0" w:rsidRPr="00375746">
              <w:rPr>
                <w:rFonts w:cs="Times New Roman"/>
                <w:szCs w:val="20"/>
              </w:rPr>
              <w:fldChar w:fldCharType="end"/>
            </w:r>
            <w:r w:rsidR="005A10B0" w:rsidRPr="00111C5D">
              <w:rPr>
                <w:rFonts w:cs="Times New Roman"/>
                <w:szCs w:val="20"/>
              </w:rPr>
              <w:t>.</w:t>
            </w:r>
            <w:r w:rsidR="00E63362" w:rsidRPr="0091450A">
              <w:t xml:space="preserve"> </w:t>
            </w:r>
            <w:r w:rsidR="00E63362" w:rsidRPr="00111C5D">
              <w:rPr>
                <w:rFonts w:cs="Times New Roman"/>
                <w:szCs w:val="20"/>
              </w:rPr>
              <w:t>Food for Thought is owned by Foodstuffs</w:t>
            </w:r>
            <w:r w:rsidR="00BB63A9" w:rsidRPr="00375746">
              <w:rPr>
                <w:rFonts w:cs="Times New Roman"/>
                <w:szCs w:val="20"/>
              </w:rPr>
              <w:t xml:space="preserve"> delivered by Heart Foundation regional staff </w:t>
            </w:r>
            <w:r w:rsidRPr="00C538D6">
              <w:rPr>
                <w:rFonts w:cs="Times New Roman"/>
                <w:szCs w:val="20"/>
              </w:rPr>
              <w:t xml:space="preserve">to </w:t>
            </w:r>
            <w:r w:rsidR="00BB63A9" w:rsidRPr="00C538D6">
              <w:rPr>
                <w:rFonts w:cs="Times New Roman"/>
                <w:szCs w:val="20"/>
              </w:rPr>
              <w:t>low decile schools throughout the country</w:t>
            </w:r>
            <w:r w:rsidR="00E63362" w:rsidRPr="00C538D6">
              <w:rPr>
                <w:rFonts w:cs="Times New Roman"/>
                <w:szCs w:val="20"/>
              </w:rPr>
              <w:t>. It is a free nutrition education programme that assists Year 5 and 6 primary school students make h</w:t>
            </w:r>
            <w:r w:rsidR="00E63362" w:rsidRPr="00FB5269">
              <w:rPr>
                <w:rFonts w:cs="Times New Roman"/>
                <w:szCs w:val="20"/>
              </w:rPr>
              <w:t>ealthier food and lifestyle</w:t>
            </w:r>
            <w:r w:rsidR="00724D44" w:rsidRPr="00FB5269">
              <w:rPr>
                <w:rFonts w:cs="Times New Roman"/>
                <w:szCs w:val="20"/>
              </w:rPr>
              <w:t xml:space="preserve"> choices</w:t>
            </w:r>
            <w:r w:rsidR="00E63362" w:rsidRPr="00FB5269">
              <w:rPr>
                <w:rFonts w:cs="Times New Roman"/>
                <w:szCs w:val="20"/>
              </w:rPr>
              <w:t>. There are nutrition resources, teaching ac</w:t>
            </w:r>
            <w:r w:rsidR="00BB63A9" w:rsidRPr="00FB5269">
              <w:rPr>
                <w:rFonts w:cs="Times New Roman"/>
                <w:szCs w:val="20"/>
              </w:rPr>
              <w:t>tivities and supermarket visits</w:t>
            </w:r>
            <w:r w:rsidR="007D2332" w:rsidRPr="0091450A">
              <w:rPr>
                <w:rFonts w:cs="Times New Roman"/>
                <w:szCs w:val="20"/>
              </w:rPr>
              <w:t xml:space="preserve"> </w:t>
            </w:r>
            <w:r w:rsidR="007D2332" w:rsidRPr="00B549E8">
              <w:rPr>
                <w:rFonts w:cs="Times New Roman"/>
                <w:szCs w:val="20"/>
              </w:rPr>
              <w:fldChar w:fldCharType="begin" w:fldLock="1"/>
            </w:r>
            <w:r w:rsidR="009C4029" w:rsidRPr="00B549E8">
              <w:rPr>
                <w:rFonts w:cs="Times New Roman"/>
                <w:szCs w:val="20"/>
              </w:rPr>
              <w:instrText>ADDIN CSL_CITATION {"citationItems":[{"id":"ITEM-1","itemData":{"URL":"https://www.foodforthought.co.nz/","accessed":{"date-parts":[["2020","1","31"]]},"author":[{"dropping-particle":"","family":"Food For Thought","given":"","non-dropping-particle":"","parse-names":false,"suffix":""}],"id":"ITEM-1","issued":{"date-parts":[["2019"]]},"title":"Food for Thought: A free nutrition education programme","type":"webpage"},"uris":["http://www.mendeley.com/documents/?uuid=2ca5dcf4-6d10-3814-9adf-a6dec548ebfb"]}],"mendeley":{"formattedCitation":"(122)","plainTextFormattedCitation":"(122)","previouslyFormattedCitation":"(122)"},"properties":{"noteIndex":0},"schema":"https://github.com/citation-style-language/schema/raw/master/csl-citation.json"}</w:instrText>
            </w:r>
            <w:r w:rsidR="007D2332" w:rsidRPr="00B549E8">
              <w:rPr>
                <w:rFonts w:cs="Times New Roman"/>
                <w:szCs w:val="20"/>
              </w:rPr>
              <w:fldChar w:fldCharType="separate"/>
            </w:r>
            <w:r w:rsidR="004C06EB" w:rsidRPr="00B549E8">
              <w:rPr>
                <w:rFonts w:cs="Times New Roman"/>
                <w:noProof/>
                <w:szCs w:val="20"/>
              </w:rPr>
              <w:t>(122)</w:t>
            </w:r>
            <w:r w:rsidR="007D2332" w:rsidRPr="00B549E8">
              <w:rPr>
                <w:rFonts w:cs="Times New Roman"/>
                <w:szCs w:val="20"/>
              </w:rPr>
              <w:fldChar w:fldCharType="end"/>
            </w:r>
            <w:r w:rsidR="007D2332" w:rsidRPr="00B549E8">
              <w:rPr>
                <w:rFonts w:cs="Times New Roman"/>
                <w:szCs w:val="20"/>
              </w:rPr>
              <w:t xml:space="preserve">. </w:t>
            </w:r>
            <w:r w:rsidR="00023A8C" w:rsidRPr="00B549E8">
              <w:rPr>
                <w:rFonts w:cs="Times New Roman"/>
                <w:szCs w:val="20"/>
              </w:rPr>
              <w:t>From June to December 2019, the programme reached 2313 children in 94 classrooms (year 5-6) of 40 schools, of which 93% of schools (n=52) were decile 1-4</w:t>
            </w:r>
            <w:r w:rsidR="007D2332" w:rsidRPr="00B549E8">
              <w:rPr>
                <w:rFonts w:cs="Times New Roman"/>
                <w:szCs w:val="20"/>
              </w:rPr>
              <w:t xml:space="preserve"> (personal communication, </w:t>
            </w:r>
            <w:r w:rsidR="0091450A" w:rsidRPr="00B549E8">
              <w:rPr>
                <w:rFonts w:cs="Times New Roman"/>
                <w:szCs w:val="20"/>
              </w:rPr>
              <w:t>Heart Foundation</w:t>
            </w:r>
            <w:r w:rsidR="007D2332" w:rsidRPr="00B549E8">
              <w:rPr>
                <w:rFonts w:cs="Times New Roman"/>
                <w:szCs w:val="20"/>
              </w:rPr>
              <w:t>, 2020)</w:t>
            </w:r>
            <w:r w:rsidR="00023A8C" w:rsidRPr="00B549E8">
              <w:rPr>
                <w:rFonts w:cs="Times New Roman"/>
                <w:szCs w:val="20"/>
              </w:rPr>
              <w:t>.</w:t>
            </w:r>
          </w:p>
          <w:p w14:paraId="602886B8" w14:textId="74F4F103" w:rsidR="0021734E" w:rsidRPr="00B549E8" w:rsidRDefault="00187A7C" w:rsidP="002D613F">
            <w:pPr>
              <w:pStyle w:val="ListParagraph"/>
              <w:numPr>
                <w:ilvl w:val="0"/>
                <w:numId w:val="9"/>
              </w:numPr>
              <w:shd w:val="clear" w:color="auto" w:fill="FFFFFF" w:themeFill="background1"/>
              <w:spacing w:before="40" w:after="40"/>
              <w:contextualSpacing w:val="0"/>
              <w:rPr>
                <w:rFonts w:cs="Times New Roman"/>
                <w:szCs w:val="20"/>
              </w:rPr>
            </w:pPr>
            <w:r w:rsidRPr="007159FF">
              <w:rPr>
                <w:rFonts w:cs="Times New Roman"/>
                <w:szCs w:val="20"/>
              </w:rPr>
              <w:t>HEAT</w:t>
            </w:r>
            <w:r w:rsidRPr="0091450A">
              <w:rPr>
                <w:rFonts w:cs="Times New Roman"/>
                <w:szCs w:val="20"/>
              </w:rPr>
              <w:t xml:space="preserve"> (Healthy Eating Action and Training) is a </w:t>
            </w:r>
            <w:r w:rsidR="00DB52B7" w:rsidRPr="0091450A">
              <w:rPr>
                <w:rFonts w:cs="Times New Roman"/>
                <w:szCs w:val="20"/>
              </w:rPr>
              <w:t xml:space="preserve">nutrition training course, a </w:t>
            </w:r>
            <w:r w:rsidR="00DB52B7" w:rsidRPr="007159FF">
              <w:rPr>
                <w:rFonts w:cs="Times New Roman"/>
                <w:szCs w:val="20"/>
              </w:rPr>
              <w:t xml:space="preserve">level </w:t>
            </w:r>
            <w:r w:rsidR="00812C2D" w:rsidRPr="007159FF">
              <w:rPr>
                <w:rFonts w:cs="Times New Roman"/>
                <w:szCs w:val="20"/>
              </w:rPr>
              <w:t>3-unit</w:t>
            </w:r>
            <w:r w:rsidR="00DB52B7" w:rsidRPr="007159FF">
              <w:rPr>
                <w:rFonts w:cs="Times New Roman"/>
                <w:szCs w:val="20"/>
              </w:rPr>
              <w:t xml:space="preserve"> standard</w:t>
            </w:r>
            <w:r w:rsidR="00DB52B7" w:rsidRPr="0091450A">
              <w:rPr>
                <w:rFonts w:cs="Times New Roman"/>
                <w:szCs w:val="20"/>
              </w:rPr>
              <w:t xml:space="preserve"> qualification in nutrition available for food preparers</w:t>
            </w:r>
            <w:r w:rsidRPr="0091450A">
              <w:rPr>
                <w:rFonts w:cs="Times New Roman"/>
                <w:szCs w:val="20"/>
              </w:rPr>
              <w:t xml:space="preserve"> offered by the Heart Foundation</w:t>
            </w:r>
            <w:r w:rsidR="00DB52B7" w:rsidRPr="0091450A">
              <w:rPr>
                <w:rFonts w:cs="Times New Roman"/>
                <w:szCs w:val="20"/>
              </w:rPr>
              <w:t xml:space="preserve">. </w:t>
            </w:r>
            <w:r w:rsidR="006917BC" w:rsidRPr="00B549E8">
              <w:rPr>
                <w:rFonts w:cs="Times New Roman"/>
                <w:szCs w:val="20"/>
              </w:rPr>
              <w:t xml:space="preserve">The </w:t>
            </w:r>
            <w:r w:rsidR="0060249E" w:rsidRPr="00B549E8">
              <w:t>programme morphed into a Service IQ delivered nutrition course in which the Heart Foundation completed the teachings until it ended in November 2019</w:t>
            </w:r>
            <w:r w:rsidR="0060249E" w:rsidRPr="00B549E8" w:rsidDel="0060249E">
              <w:rPr>
                <w:rFonts w:cs="Times New Roman"/>
                <w:szCs w:val="20"/>
              </w:rPr>
              <w:t xml:space="preserve"> </w:t>
            </w:r>
            <w:r w:rsidR="001A37CC" w:rsidRPr="00B549E8">
              <w:rPr>
                <w:rFonts w:cs="Times New Roman"/>
                <w:szCs w:val="20"/>
              </w:rPr>
              <w:t>(</w:t>
            </w:r>
            <w:r w:rsidR="0021734E" w:rsidRPr="00B549E8">
              <w:rPr>
                <w:rFonts w:cs="Times New Roman"/>
                <w:szCs w:val="20"/>
              </w:rPr>
              <w:t>personal communication, Heart Foundation</w:t>
            </w:r>
            <w:r w:rsidR="00C7639E" w:rsidRPr="00B549E8">
              <w:rPr>
                <w:rFonts w:cs="Times New Roman"/>
                <w:szCs w:val="20"/>
              </w:rPr>
              <w:t>, 20</w:t>
            </w:r>
            <w:r w:rsidR="0060249E" w:rsidRPr="00B549E8">
              <w:rPr>
                <w:rFonts w:cs="Times New Roman"/>
                <w:szCs w:val="20"/>
              </w:rPr>
              <w:t>20</w:t>
            </w:r>
            <w:r w:rsidR="0021734E" w:rsidRPr="00B549E8">
              <w:rPr>
                <w:rFonts w:cs="Times New Roman"/>
                <w:szCs w:val="20"/>
              </w:rPr>
              <w:t>)</w:t>
            </w:r>
            <w:r w:rsidR="00B42934" w:rsidRPr="00B549E8">
              <w:rPr>
                <w:rFonts w:cs="Times New Roman"/>
                <w:szCs w:val="20"/>
              </w:rPr>
              <w:t>.</w:t>
            </w:r>
          </w:p>
          <w:p w14:paraId="21B3280B" w14:textId="15002137" w:rsidR="007E706C" w:rsidRPr="00B549E8" w:rsidRDefault="007E706C" w:rsidP="007159FF">
            <w:pPr>
              <w:pStyle w:val="ListParagraph"/>
              <w:numPr>
                <w:ilvl w:val="0"/>
                <w:numId w:val="9"/>
              </w:numPr>
              <w:shd w:val="clear" w:color="auto" w:fill="FFFFFF" w:themeFill="background1"/>
              <w:spacing w:before="40" w:after="40"/>
              <w:contextualSpacing w:val="0"/>
              <w:rPr>
                <w:rFonts w:cs="Times New Roman"/>
                <w:szCs w:val="20"/>
              </w:rPr>
            </w:pPr>
            <w:r w:rsidRPr="00B549E8">
              <w:rPr>
                <w:rFonts w:cs="Times New Roman"/>
                <w:szCs w:val="20"/>
              </w:rPr>
              <w:t xml:space="preserve">ARPHS has delivered </w:t>
            </w:r>
            <w:r w:rsidR="002E2BDF" w:rsidRPr="00B549E8">
              <w:rPr>
                <w:rFonts w:cs="Times New Roman"/>
                <w:szCs w:val="20"/>
              </w:rPr>
              <w:t>a Kai culture workshop</w:t>
            </w:r>
            <w:r w:rsidRPr="00B549E8">
              <w:rPr>
                <w:rFonts w:cs="Times New Roman"/>
                <w:szCs w:val="20"/>
              </w:rPr>
              <w:t xml:space="preserve"> to AUT ECE students about the importance of healthy kai in the ECE setting and how to achieve implementing a food policy in the settings. ARPHS consider educating the new generation of teachers </w:t>
            </w:r>
            <w:r w:rsidR="002E2BDF" w:rsidRPr="00B549E8">
              <w:rPr>
                <w:rFonts w:cs="Times New Roman"/>
                <w:szCs w:val="20"/>
              </w:rPr>
              <w:t>to be of high importance</w:t>
            </w:r>
            <w:r w:rsidRPr="00B549E8">
              <w:rPr>
                <w:rFonts w:cs="Times New Roman"/>
                <w:szCs w:val="20"/>
              </w:rPr>
              <w:t xml:space="preserve">. Education sessions were held with the Afterschool care programs (Kauri Kids and ECES that are attached to South Auckland leisure centres to review their menus and give guidance on healthy food choices to offer their </w:t>
            </w:r>
            <w:proofErr w:type="spellStart"/>
            <w:r w:rsidRPr="00B549E8">
              <w:rPr>
                <w:rFonts w:cs="Times New Roman"/>
                <w:szCs w:val="20"/>
              </w:rPr>
              <w:t>tamariki</w:t>
            </w:r>
            <w:proofErr w:type="spellEnd"/>
            <w:r w:rsidRPr="00B549E8">
              <w:rPr>
                <w:rFonts w:cs="Times New Roman"/>
                <w:szCs w:val="20"/>
              </w:rPr>
              <w:t xml:space="preserve"> and </w:t>
            </w:r>
            <w:proofErr w:type="spellStart"/>
            <w:r w:rsidRPr="00B549E8">
              <w:rPr>
                <w:rFonts w:cs="Times New Roman"/>
                <w:szCs w:val="20"/>
              </w:rPr>
              <w:t>rangatahi</w:t>
            </w:r>
            <w:proofErr w:type="spellEnd"/>
            <w:r w:rsidRPr="00B549E8">
              <w:rPr>
                <w:rFonts w:cs="Times New Roman"/>
                <w:szCs w:val="20"/>
              </w:rPr>
              <w:t xml:space="preserve"> (personal communication, ARPHS, 2020).</w:t>
            </w:r>
          </w:p>
          <w:p w14:paraId="00B9F1DD" w14:textId="1935BD92" w:rsidR="00C1637C" w:rsidRPr="0091450A" w:rsidRDefault="002E08DF" w:rsidP="002D613F">
            <w:pPr>
              <w:pStyle w:val="ListParagraph"/>
              <w:numPr>
                <w:ilvl w:val="0"/>
                <w:numId w:val="9"/>
              </w:numPr>
              <w:shd w:val="clear" w:color="auto" w:fill="FFFFFF" w:themeFill="background1"/>
              <w:spacing w:before="40" w:after="40"/>
              <w:contextualSpacing w:val="0"/>
              <w:rPr>
                <w:rFonts w:cstheme="minorHAnsi"/>
                <w:szCs w:val="20"/>
              </w:rPr>
            </w:pPr>
            <w:r w:rsidRPr="006845D1">
              <w:rPr>
                <w:rFonts w:cs="Times New Roman"/>
                <w:szCs w:val="20"/>
              </w:rPr>
              <w:t>Health Promoting Schools (HPS</w:t>
            </w:r>
            <w:r w:rsidRPr="0091450A">
              <w:rPr>
                <w:rFonts w:cs="Times New Roman"/>
                <w:szCs w:val="20"/>
              </w:rPr>
              <w:t xml:space="preserve">) </w:t>
            </w:r>
            <w:r w:rsidR="00F7238D" w:rsidRPr="0091450A">
              <w:rPr>
                <w:rFonts w:cs="Times New Roman"/>
                <w:szCs w:val="20"/>
              </w:rPr>
              <w:t xml:space="preserve">was </w:t>
            </w:r>
            <w:r w:rsidRPr="0091450A">
              <w:rPr>
                <w:rFonts w:cs="Times New Roman"/>
                <w:szCs w:val="20"/>
              </w:rPr>
              <w:t xml:space="preserve">an approach where the whole school community works together to address the health and wellbeing of students, staff and their community. </w:t>
            </w:r>
            <w:r w:rsidR="00B81C6B" w:rsidRPr="0091450A">
              <w:rPr>
                <w:rFonts w:cs="Times New Roman"/>
                <w:szCs w:val="20"/>
              </w:rPr>
              <w:t xml:space="preserve">The initiative </w:t>
            </w:r>
            <w:r w:rsidR="002E2BDF" w:rsidRPr="0091450A">
              <w:rPr>
                <w:rFonts w:cs="Times New Roman"/>
                <w:szCs w:val="20"/>
              </w:rPr>
              <w:t>was</w:t>
            </w:r>
            <w:r w:rsidR="00B81C6B" w:rsidRPr="0091450A">
              <w:rPr>
                <w:rFonts w:cs="Times New Roman"/>
                <w:szCs w:val="20"/>
              </w:rPr>
              <w:t xml:space="preserve"> broader than nutrition</w:t>
            </w:r>
            <w:r w:rsidR="001B09D5" w:rsidRPr="0091450A">
              <w:rPr>
                <w:rFonts w:cs="Times New Roman"/>
                <w:szCs w:val="20"/>
              </w:rPr>
              <w:t xml:space="preserve"> only</w:t>
            </w:r>
            <w:r w:rsidR="003718D9" w:rsidRPr="0091450A">
              <w:rPr>
                <w:rFonts w:cs="Times New Roman"/>
                <w:szCs w:val="20"/>
              </w:rPr>
              <w:t xml:space="preserve"> (</w:t>
            </w:r>
            <w:r w:rsidR="001A37CC" w:rsidRPr="0091450A">
              <w:rPr>
                <w:rFonts w:cs="Times New Roman"/>
                <w:szCs w:val="20"/>
              </w:rPr>
              <w:t>e.g.</w:t>
            </w:r>
            <w:r w:rsidRPr="0091450A">
              <w:rPr>
                <w:rFonts w:cs="Times New Roman"/>
                <w:szCs w:val="20"/>
              </w:rPr>
              <w:t xml:space="preserve"> sun-safe and smoke-free schools, kiwi sport, fruit in schools</w:t>
            </w:r>
            <w:r w:rsidR="007F037F" w:rsidRPr="0091450A">
              <w:rPr>
                <w:rFonts w:cs="Times New Roman"/>
                <w:szCs w:val="20"/>
              </w:rPr>
              <w:t>, 5+ A Day School Competition</w:t>
            </w:r>
            <w:r w:rsidRPr="0091450A">
              <w:rPr>
                <w:rFonts w:cs="Times New Roman"/>
                <w:szCs w:val="20"/>
              </w:rPr>
              <w:t xml:space="preserve">) and </w:t>
            </w:r>
            <w:r w:rsidR="00F7238D" w:rsidRPr="0091450A">
              <w:rPr>
                <w:rFonts w:cs="Times New Roman"/>
                <w:szCs w:val="20"/>
              </w:rPr>
              <w:t xml:space="preserve">was </w:t>
            </w:r>
            <w:r w:rsidR="00B81C6B" w:rsidRPr="0091450A">
              <w:rPr>
                <w:rFonts w:cs="Times New Roman"/>
                <w:szCs w:val="20"/>
              </w:rPr>
              <w:t>funded</w:t>
            </w:r>
            <w:r w:rsidRPr="0091450A">
              <w:rPr>
                <w:rFonts w:cs="Times New Roman"/>
                <w:szCs w:val="20"/>
              </w:rPr>
              <w:t xml:space="preserve"> by the MoH. The inquiry-based approach </w:t>
            </w:r>
            <w:r w:rsidR="003F28C3" w:rsidRPr="0091450A">
              <w:rPr>
                <w:rFonts w:cs="Times New Roman"/>
                <w:szCs w:val="20"/>
              </w:rPr>
              <w:t>was</w:t>
            </w:r>
            <w:r w:rsidRPr="0091450A">
              <w:rPr>
                <w:rFonts w:cs="Times New Roman"/>
                <w:szCs w:val="20"/>
              </w:rPr>
              <w:t xml:space="preserve"> outcomes</w:t>
            </w:r>
            <w:r w:rsidR="00B85246">
              <w:rPr>
                <w:rFonts w:cs="Times New Roman"/>
                <w:szCs w:val="20"/>
              </w:rPr>
              <w:t>-</w:t>
            </w:r>
            <w:r w:rsidRPr="0091450A">
              <w:rPr>
                <w:rFonts w:cs="Times New Roman"/>
                <w:szCs w:val="20"/>
              </w:rPr>
              <w:t>focused and sustainable as it buil</w:t>
            </w:r>
            <w:r w:rsidR="003F28C3" w:rsidRPr="0091450A">
              <w:rPr>
                <w:rFonts w:cs="Times New Roman"/>
                <w:szCs w:val="20"/>
              </w:rPr>
              <w:t>t</w:t>
            </w:r>
            <w:r w:rsidRPr="0091450A">
              <w:rPr>
                <w:rFonts w:cs="Times New Roman"/>
                <w:szCs w:val="20"/>
              </w:rPr>
              <w:t xml:space="preserve"> on what schools already d</w:t>
            </w:r>
            <w:r w:rsidR="003F28C3" w:rsidRPr="0091450A">
              <w:rPr>
                <w:rFonts w:cs="Times New Roman"/>
                <w:szCs w:val="20"/>
              </w:rPr>
              <w:t>id</w:t>
            </w:r>
            <w:r w:rsidRPr="0091450A">
              <w:rPr>
                <w:rFonts w:cs="Times New Roman"/>
                <w:szCs w:val="20"/>
              </w:rPr>
              <w:t xml:space="preserve"> and integrate</w:t>
            </w:r>
            <w:r w:rsidR="003F28C3" w:rsidRPr="0091450A">
              <w:rPr>
                <w:rFonts w:cs="Times New Roman"/>
                <w:szCs w:val="20"/>
              </w:rPr>
              <w:t>d</w:t>
            </w:r>
            <w:r w:rsidRPr="0091450A">
              <w:rPr>
                <w:rFonts w:cs="Times New Roman"/>
                <w:szCs w:val="20"/>
              </w:rPr>
              <w:t xml:space="preserve"> the actions and outcomes into schools’ planning and reporting mechanisms.</w:t>
            </w:r>
            <w:r w:rsidR="00797A1A" w:rsidRPr="0091450A">
              <w:rPr>
                <w:rFonts w:cs="Times New Roman"/>
                <w:szCs w:val="20"/>
              </w:rPr>
              <w:t xml:space="preserve"> </w:t>
            </w:r>
            <w:r w:rsidR="006917BC" w:rsidRPr="0091450A">
              <w:rPr>
                <w:rFonts w:cs="Times New Roman"/>
                <w:szCs w:val="20"/>
              </w:rPr>
              <w:t xml:space="preserve">Schools </w:t>
            </w:r>
            <w:r w:rsidR="00F7238D" w:rsidRPr="0091450A">
              <w:rPr>
                <w:rFonts w:cs="Times New Roman"/>
                <w:szCs w:val="20"/>
              </w:rPr>
              <w:t xml:space="preserve">were </w:t>
            </w:r>
            <w:r w:rsidR="006917BC" w:rsidRPr="0091450A">
              <w:rPr>
                <w:rFonts w:cs="Times New Roman"/>
                <w:szCs w:val="20"/>
              </w:rPr>
              <w:t xml:space="preserve">supported by advisors from public health units, district health boards or local government, who </w:t>
            </w:r>
            <w:r w:rsidR="00834A90" w:rsidRPr="0091450A">
              <w:rPr>
                <w:rFonts w:cs="Times New Roman"/>
                <w:szCs w:val="20"/>
              </w:rPr>
              <w:t xml:space="preserve">were </w:t>
            </w:r>
            <w:r w:rsidR="006917BC" w:rsidRPr="0091450A">
              <w:rPr>
                <w:rFonts w:cs="Times New Roman"/>
                <w:szCs w:val="20"/>
              </w:rPr>
              <w:t>contracted by the MoH to support HPS</w:t>
            </w:r>
            <w:r w:rsidR="00662CE1" w:rsidRPr="0091450A">
              <w:rPr>
                <w:rFonts w:cs="Times New Roman"/>
                <w:szCs w:val="20"/>
              </w:rPr>
              <w:t>.</w:t>
            </w:r>
            <w:r w:rsidR="00C45EB6" w:rsidRPr="0091450A">
              <w:rPr>
                <w:rFonts w:cs="Times New Roman"/>
                <w:szCs w:val="20"/>
              </w:rPr>
              <w:t xml:space="preserve"> </w:t>
            </w:r>
            <w:r w:rsidR="00C45EB6" w:rsidRPr="0091450A">
              <w:rPr>
                <w:rFonts w:cstheme="minorHAnsi"/>
                <w:szCs w:val="20"/>
              </w:rPr>
              <w:t>Late last year, the Ministry of Health considered various perspectives on the future of the HPS funding.  This included ways to maximise the impact of the investment and support the Government priorities in child wellbeing. Consequently, the Ministry stopped contracting HPS on 31 December 2019 and reinvested the funding into two main areas:</w:t>
            </w:r>
            <w:r w:rsidR="003F28C3" w:rsidRPr="0091450A">
              <w:rPr>
                <w:rFonts w:cstheme="minorHAnsi"/>
                <w:szCs w:val="20"/>
              </w:rPr>
              <w:t xml:space="preserve"> </w:t>
            </w:r>
            <w:r w:rsidR="00935952" w:rsidRPr="0091450A">
              <w:rPr>
                <w:rFonts w:cstheme="minorHAnsi"/>
                <w:szCs w:val="20"/>
              </w:rPr>
              <w:t>The</w:t>
            </w:r>
            <w:r w:rsidR="003F28C3" w:rsidRPr="0091450A">
              <w:rPr>
                <w:rFonts w:cstheme="minorHAnsi"/>
                <w:szCs w:val="20"/>
              </w:rPr>
              <w:t xml:space="preserve"> Healthy Active Learning initiative (Budget 2019), increasing the total funding made available under Budget 2019 and a new integrated co-designed service model(s) for wellbeing in schools that covers the range of health/health promotion services and achieves the best outcomes for children (personal communication, HPS, </w:t>
            </w:r>
            <w:r w:rsidR="003F28C3" w:rsidRPr="00714C2B">
              <w:rPr>
                <w:rFonts w:cstheme="minorHAnsi"/>
                <w:szCs w:val="20"/>
              </w:rPr>
              <w:t>2020)</w:t>
            </w:r>
            <w:r w:rsidR="00714C2B" w:rsidRPr="00714C2B">
              <w:rPr>
                <w:rFonts w:cstheme="minorHAnsi"/>
                <w:szCs w:val="20"/>
              </w:rPr>
              <w:t>.</w:t>
            </w:r>
            <w:r w:rsidR="003F28C3" w:rsidRPr="00714C2B">
              <w:rPr>
                <w:rFonts w:cstheme="minorHAnsi"/>
                <w:szCs w:val="20"/>
              </w:rPr>
              <w:t xml:space="preserve">  </w:t>
            </w:r>
            <w:r w:rsidR="00033521" w:rsidRPr="00714C2B">
              <w:rPr>
                <w:rFonts w:cstheme="minorHAnsi"/>
                <w:szCs w:val="20"/>
              </w:rPr>
              <w:t xml:space="preserve">Healthy Active Learning (HAL) is a new $47.6 million initiative </w:t>
            </w:r>
            <w:r w:rsidR="00BC0D52" w:rsidRPr="00714C2B">
              <w:rPr>
                <w:rFonts w:cstheme="minorHAnsi"/>
                <w:szCs w:val="20"/>
              </w:rPr>
              <w:t xml:space="preserve">from the 2019 Wellbeing budget </w:t>
            </w:r>
            <w:r w:rsidR="00033521" w:rsidRPr="00714C2B">
              <w:rPr>
                <w:rFonts w:cstheme="minorHAnsi"/>
                <w:szCs w:val="20"/>
              </w:rPr>
              <w:t xml:space="preserve">to be delivered in </w:t>
            </w:r>
            <w:r w:rsidR="00BC0D52" w:rsidRPr="00714C2B">
              <w:rPr>
                <w:rFonts w:cstheme="minorHAnsi"/>
                <w:szCs w:val="20"/>
              </w:rPr>
              <w:t xml:space="preserve">early </w:t>
            </w:r>
            <w:r w:rsidR="00033521" w:rsidRPr="00714C2B">
              <w:rPr>
                <w:rFonts w:cstheme="minorHAnsi"/>
                <w:szCs w:val="20"/>
              </w:rPr>
              <w:t>2020 with the support</w:t>
            </w:r>
            <w:r w:rsidR="00033521" w:rsidRPr="0091450A">
              <w:rPr>
                <w:rFonts w:cstheme="minorHAnsi"/>
                <w:szCs w:val="20"/>
              </w:rPr>
              <w:t xml:space="preserve"> of the Ministry of Health and Sport New Zealand</w:t>
            </w:r>
            <w:r w:rsidR="00C45EB6" w:rsidRPr="0091450A">
              <w:rPr>
                <w:rFonts w:cstheme="minorHAnsi"/>
                <w:szCs w:val="20"/>
              </w:rPr>
              <w:t xml:space="preserve">; </w:t>
            </w:r>
            <w:r w:rsidR="00033521" w:rsidRPr="0091450A">
              <w:rPr>
                <w:rFonts w:cstheme="minorHAnsi"/>
                <w:szCs w:val="20"/>
              </w:rPr>
              <w:fldChar w:fldCharType="begin" w:fldLock="1"/>
            </w:r>
            <w:r w:rsidR="009C4029">
              <w:rPr>
                <w:rFonts w:cstheme="minorHAnsi"/>
                <w:szCs w:val="20"/>
              </w:rPr>
              <w:instrText>ADDIN CSL_CITATION {"citationItems":[{"id":"ITEM-1","itemData":{"URL":"https://sportnz.org.nz/news-and-events/media-releases-and-updates/articles/healthy-active-learning-set-to-roll-out-in-early-2020","accessed":{"date-parts":[["2020","1","20"]]},"author":[{"dropping-particle":"","family":"Sport New Zealand","given":"","non-dropping-particle":"","parse-names":false,"suffix":""}],"id":"ITEM-1","issued":{"date-parts":[["2019"]]},"title":"Healthy Active Learning set to roll out in early 2020","type":"webpage"},"uris":["http://www.mendeley.com/documents/?uuid=5d075743-041b-315b-b701-159b0f142329","http://www.mendeley.com/documents/?uuid=fa09fa88-8393-44c4-bcb8-131780d3006b"]}],"mendeley":{"formattedCitation":"(123)","plainTextFormattedCitation":"(123)","previouslyFormattedCitation":"(123)"},"properties":{"noteIndex":0},"schema":"https://github.com/citation-style-language/schema/raw/master/csl-citation.json"}</w:instrText>
            </w:r>
            <w:r w:rsidR="00033521" w:rsidRPr="0091450A">
              <w:rPr>
                <w:rFonts w:cstheme="minorHAnsi"/>
                <w:szCs w:val="20"/>
              </w:rPr>
              <w:fldChar w:fldCharType="separate"/>
            </w:r>
            <w:r w:rsidR="004C06EB" w:rsidRPr="004C06EB">
              <w:rPr>
                <w:rFonts w:cstheme="minorHAnsi"/>
                <w:noProof/>
                <w:szCs w:val="20"/>
              </w:rPr>
              <w:t>(123)</w:t>
            </w:r>
            <w:r w:rsidR="00033521" w:rsidRPr="0091450A">
              <w:rPr>
                <w:rFonts w:cstheme="minorHAnsi"/>
                <w:szCs w:val="20"/>
              </w:rPr>
              <w:fldChar w:fldCharType="end"/>
            </w:r>
            <w:r w:rsidR="00A20311" w:rsidRPr="0091450A">
              <w:rPr>
                <w:rFonts w:cstheme="minorHAnsi"/>
                <w:szCs w:val="20"/>
              </w:rPr>
              <w:t>.</w:t>
            </w:r>
            <w:r w:rsidR="00C45EB6" w:rsidRPr="0091450A">
              <w:rPr>
                <w:rFonts w:cstheme="minorHAnsi"/>
                <w:szCs w:val="20"/>
              </w:rPr>
              <w:t xml:space="preserve"> </w:t>
            </w:r>
            <w:r w:rsidR="00A20311" w:rsidRPr="0091450A">
              <w:rPr>
                <w:rFonts w:cstheme="minorHAnsi"/>
                <w:szCs w:val="20"/>
              </w:rPr>
              <w:t>It has three components including new curriculum resources, a health promotion workforce and toolkit and a physical activity workforce</w:t>
            </w:r>
            <w:r w:rsidR="00E04610" w:rsidRPr="0091450A">
              <w:rPr>
                <w:rFonts w:cstheme="minorHAnsi"/>
                <w:szCs w:val="20"/>
              </w:rPr>
              <w:t xml:space="preserve"> </w:t>
            </w:r>
            <w:r w:rsidR="00E04610" w:rsidRPr="0091450A">
              <w:rPr>
                <w:rFonts w:cstheme="minorHAnsi"/>
                <w:szCs w:val="20"/>
              </w:rPr>
              <w:fldChar w:fldCharType="begin" w:fldLock="1"/>
            </w:r>
            <w:r w:rsidR="000C6E0F">
              <w:rPr>
                <w:rFonts w:cstheme="minorHAnsi"/>
                <w:szCs w:val="20"/>
              </w:rPr>
              <w:instrText>ADDIN CSL_CITATION {"citationItems":[{"id":"ITEM-1","itemData":{"author":[{"dropping-particle":"","family":"New Zealand Government","given":"","non-dropping-particle":"","parse-names":false,"suffix":""}],"id":"ITEM-1","issued":{"date-parts":[["2019"]]},"title":"Healthy Active Learning","type":"report"},"uris":["http://www.mendeley.com/documents/?uuid=05abdb73-8a1d-3ff1-975e-03e905dad923"]}],"mendeley":{"formattedCitation":"(124)","plainTextFormattedCitation":"(124)","previouslyFormattedCitation":"(124)"},"properties":{"noteIndex":0},"schema":"https://github.com/citation-style-language/schema/raw/master/csl-citation.json"}</w:instrText>
            </w:r>
            <w:r w:rsidR="00E04610" w:rsidRPr="0091450A">
              <w:rPr>
                <w:rFonts w:cstheme="minorHAnsi"/>
                <w:szCs w:val="20"/>
              </w:rPr>
              <w:fldChar w:fldCharType="separate"/>
            </w:r>
            <w:r w:rsidR="004C06EB" w:rsidRPr="004C06EB">
              <w:rPr>
                <w:rFonts w:cstheme="minorHAnsi"/>
                <w:noProof/>
                <w:szCs w:val="20"/>
              </w:rPr>
              <w:t>(124)</w:t>
            </w:r>
            <w:r w:rsidR="00E04610" w:rsidRPr="0091450A">
              <w:rPr>
                <w:rFonts w:cstheme="minorHAnsi"/>
                <w:szCs w:val="20"/>
              </w:rPr>
              <w:fldChar w:fldCharType="end"/>
            </w:r>
            <w:r w:rsidR="00161A4C" w:rsidRPr="0091450A">
              <w:rPr>
                <w:rFonts w:cstheme="minorHAnsi"/>
                <w:szCs w:val="20"/>
              </w:rPr>
              <w:t>.</w:t>
            </w:r>
          </w:p>
          <w:p w14:paraId="6FF48B5E" w14:textId="40320FA5" w:rsidR="00880FDF" w:rsidRPr="00B549E8" w:rsidRDefault="00161A4C" w:rsidP="002D613F">
            <w:pPr>
              <w:pStyle w:val="ListParagraph"/>
              <w:numPr>
                <w:ilvl w:val="0"/>
                <w:numId w:val="9"/>
              </w:numPr>
              <w:shd w:val="clear" w:color="auto" w:fill="FFFFFF" w:themeFill="background1"/>
              <w:spacing w:before="40" w:after="40"/>
              <w:contextualSpacing w:val="0"/>
              <w:rPr>
                <w:rFonts w:cs="Times New Roman"/>
                <w:szCs w:val="20"/>
              </w:rPr>
            </w:pPr>
            <w:r w:rsidRPr="007159FF">
              <w:rPr>
                <w:rFonts w:cs="Times New Roman"/>
                <w:szCs w:val="20"/>
              </w:rPr>
              <w:t xml:space="preserve">Project Energize </w:t>
            </w:r>
            <w:r w:rsidRPr="00111C5D">
              <w:rPr>
                <w:rFonts w:cs="Times New Roman"/>
                <w:szCs w:val="20"/>
              </w:rPr>
              <w:t>delivers</w:t>
            </w:r>
            <w:r w:rsidRPr="0091450A">
              <w:rPr>
                <w:rFonts w:cs="Times New Roman"/>
                <w:szCs w:val="20"/>
              </w:rPr>
              <w:t xml:space="preserve"> the Heart Foundation programme throughout schools and preschools</w:t>
            </w:r>
            <w:r w:rsidR="008245C8" w:rsidRPr="0091450A">
              <w:rPr>
                <w:rFonts w:cs="Times New Roman"/>
                <w:szCs w:val="20"/>
              </w:rPr>
              <w:t xml:space="preserve"> aiming to </w:t>
            </w:r>
            <w:r w:rsidR="008245C8" w:rsidRPr="00B549E8">
              <w:rPr>
                <w:rFonts w:cs="Times New Roman"/>
                <w:szCs w:val="20"/>
              </w:rPr>
              <w:t>get kids active and educate them about healthy foods</w:t>
            </w:r>
            <w:r w:rsidR="00441A55" w:rsidRPr="00B549E8">
              <w:rPr>
                <w:rFonts w:cs="Times New Roman"/>
                <w:szCs w:val="20"/>
              </w:rPr>
              <w:t xml:space="preserve"> </w:t>
            </w:r>
            <w:r w:rsidR="00441A55" w:rsidRPr="00B549E8">
              <w:rPr>
                <w:rFonts w:cs="Times New Roman"/>
                <w:szCs w:val="20"/>
              </w:rPr>
              <w:fldChar w:fldCharType="begin" w:fldLock="1"/>
            </w:r>
            <w:r w:rsidR="009C4029" w:rsidRPr="00B549E8">
              <w:rPr>
                <w:rFonts w:cs="Times New Roman"/>
                <w:szCs w:val="20"/>
              </w:rPr>
              <w:instrText>ADDIN CSL_CITATION {"citationItems":[{"id":"ITEM-1","itemData":{"abstract":"https://www.stuff.co.nz/life-style/well-good/inspire-me/89835416/project-energize-targeting-childhood-obesity","author":[{"dropping-particle":"","family":"Stuff.co.nz","given":"","non-dropping-particle":"","parse-names":false,"suffix":""}],"id":"ITEM-1","issued":{"date-parts":[["2017"]]},"title":"Project Energize: Targeting childhood obesity","type":"article-newspaper"},"uris":["http://www.mendeley.com/documents/?uuid=675c5293-cd33-346e-859f-45410cb1eaa5","http://www.mendeley.com/documents/?uuid=c0783fb0-53ec-4a83-b834-895802a410e2"]}],"mendeley":{"formattedCitation":"(125)","plainTextFormattedCitation":"(125)","previouslyFormattedCitation":"(125)"},"properties":{"noteIndex":0},"schema":"https://github.com/citation-style-language/schema/raw/master/csl-citation.json"}</w:instrText>
            </w:r>
            <w:r w:rsidR="00441A55" w:rsidRPr="00B549E8">
              <w:rPr>
                <w:rFonts w:cs="Times New Roman"/>
                <w:szCs w:val="20"/>
              </w:rPr>
              <w:fldChar w:fldCharType="separate"/>
            </w:r>
            <w:r w:rsidR="004C06EB" w:rsidRPr="00B549E8">
              <w:rPr>
                <w:rFonts w:cs="Times New Roman"/>
                <w:noProof/>
                <w:szCs w:val="20"/>
              </w:rPr>
              <w:t>(125)</w:t>
            </w:r>
            <w:r w:rsidR="00441A55" w:rsidRPr="00B549E8">
              <w:rPr>
                <w:rFonts w:cs="Times New Roman"/>
                <w:szCs w:val="20"/>
              </w:rPr>
              <w:fldChar w:fldCharType="end"/>
            </w:r>
            <w:r w:rsidR="008245C8" w:rsidRPr="00B549E8">
              <w:rPr>
                <w:rFonts w:cs="Times New Roman"/>
                <w:szCs w:val="20"/>
              </w:rPr>
              <w:t>.</w:t>
            </w:r>
          </w:p>
          <w:p w14:paraId="686F4A71" w14:textId="72D8EF65" w:rsidR="00A63C1F" w:rsidRPr="00B549E8" w:rsidRDefault="00880FDF" w:rsidP="002D613F">
            <w:pPr>
              <w:pStyle w:val="ListParagraph"/>
              <w:numPr>
                <w:ilvl w:val="0"/>
                <w:numId w:val="9"/>
              </w:numPr>
              <w:shd w:val="clear" w:color="auto" w:fill="FFFFFF" w:themeFill="background1"/>
              <w:spacing w:before="40" w:after="40"/>
              <w:contextualSpacing w:val="0"/>
              <w:rPr>
                <w:rFonts w:cs="Times New Roman"/>
                <w:szCs w:val="20"/>
              </w:rPr>
            </w:pPr>
            <w:r w:rsidRPr="00B549E8">
              <w:rPr>
                <w:rFonts w:cs="Times New Roman"/>
                <w:szCs w:val="20"/>
                <w:lang w:eastAsia="en-NZ"/>
              </w:rPr>
              <w:t>The Heart Foundation offers flexible support to schools delivering nutrition and physical activity based on the schools identified need. These activities could include policy development, support with food provision, in</w:t>
            </w:r>
            <w:r w:rsidR="00B85246" w:rsidRPr="00B549E8">
              <w:rPr>
                <w:rFonts w:cs="Times New Roman"/>
                <w:szCs w:val="20"/>
                <w:lang w:eastAsia="en-NZ"/>
              </w:rPr>
              <w:t>-</w:t>
            </w:r>
            <w:r w:rsidRPr="00B549E8">
              <w:rPr>
                <w:rFonts w:cs="Times New Roman"/>
                <w:szCs w:val="20"/>
                <w:lang w:eastAsia="en-NZ"/>
              </w:rPr>
              <w:t xml:space="preserve">class education or professional development for teachers. From June to December 2019, 87 schools were supported by a Heart Foundation Nutrition Advisor (personal communication, </w:t>
            </w:r>
            <w:r w:rsidR="0091450A" w:rsidRPr="00B549E8">
              <w:rPr>
                <w:rFonts w:cs="Times New Roman"/>
                <w:szCs w:val="20"/>
                <w:lang w:eastAsia="en-NZ"/>
              </w:rPr>
              <w:t>Heart Foundation</w:t>
            </w:r>
            <w:r w:rsidRPr="00B549E8">
              <w:rPr>
                <w:rFonts w:cs="Times New Roman"/>
                <w:szCs w:val="20"/>
                <w:lang w:eastAsia="en-NZ"/>
              </w:rPr>
              <w:t xml:space="preserve">, 2020). </w:t>
            </w:r>
          </w:p>
          <w:p w14:paraId="7E832224" w14:textId="7D93C48B" w:rsidR="00A63C1F" w:rsidRPr="00B549E8" w:rsidRDefault="00A63C1F" w:rsidP="007159FF">
            <w:pPr>
              <w:pStyle w:val="ListParagraph"/>
              <w:numPr>
                <w:ilvl w:val="0"/>
                <w:numId w:val="9"/>
              </w:numPr>
              <w:shd w:val="clear" w:color="auto" w:fill="FFFFFF" w:themeFill="background1"/>
              <w:spacing w:before="40" w:after="40"/>
              <w:contextualSpacing w:val="0"/>
              <w:rPr>
                <w:rFonts w:cs="Times New Roman"/>
                <w:szCs w:val="20"/>
              </w:rPr>
            </w:pPr>
            <w:r w:rsidRPr="00B549E8">
              <w:rPr>
                <w:rFonts w:cs="Times New Roman"/>
                <w:szCs w:val="20"/>
              </w:rPr>
              <w:t xml:space="preserve">Food Curriculum is a project </w:t>
            </w:r>
            <w:r w:rsidR="00675858" w:rsidRPr="00B549E8">
              <w:rPr>
                <w:rFonts w:cs="Times New Roman"/>
                <w:szCs w:val="20"/>
              </w:rPr>
              <w:t>that</w:t>
            </w:r>
            <w:r w:rsidRPr="00B549E8">
              <w:rPr>
                <w:rFonts w:cs="Times New Roman"/>
                <w:szCs w:val="20"/>
              </w:rPr>
              <w:t xml:space="preserve"> supports home economics/food technology teachers to </w:t>
            </w:r>
            <w:r w:rsidR="00675858" w:rsidRPr="00B549E8">
              <w:rPr>
                <w:rFonts w:cs="Times New Roman"/>
                <w:szCs w:val="20"/>
              </w:rPr>
              <w:t>support</w:t>
            </w:r>
            <w:r w:rsidRPr="00B549E8">
              <w:rPr>
                <w:rFonts w:cs="Times New Roman"/>
                <w:szCs w:val="20"/>
              </w:rPr>
              <w:t xml:space="preserve"> students with the skills of cooking a meal within their budget, cultural and time constraints. Since 2017, the Heart Foundation and Vegetables.co.nz have worked with teachers to develop resources and tools that are aligned to the New Zealand Curriculum. Following teacher consultation, the Year 8 resources were published in July 2018, followed by the Year 7 resources in September 2019. Teachers throughout New Zealand and from a range of school deciles have been trialling the Year 7 and 8 resources and providing feedback. The project is strongly supported through key education associations </w:t>
            </w:r>
            <w:r w:rsidR="00B549E8" w:rsidRPr="00B549E8">
              <w:rPr>
                <w:rFonts w:cs="Times New Roman"/>
                <w:szCs w:val="20"/>
              </w:rPr>
              <w:t>–</w:t>
            </w:r>
            <w:r w:rsidRPr="00B549E8">
              <w:rPr>
                <w:rFonts w:cs="Times New Roman"/>
                <w:szCs w:val="20"/>
              </w:rPr>
              <w:t xml:space="preserve"> HETTANZ</w:t>
            </w:r>
            <w:r w:rsidR="00B549E8" w:rsidRPr="00B549E8">
              <w:rPr>
                <w:rFonts w:cs="Times New Roman"/>
                <w:szCs w:val="20"/>
              </w:rPr>
              <w:t xml:space="preserve"> (Home Economics &amp; Technology Teachers Ass)</w:t>
            </w:r>
            <w:r w:rsidRPr="00B549E8">
              <w:rPr>
                <w:rFonts w:cs="Times New Roman"/>
                <w:szCs w:val="20"/>
              </w:rPr>
              <w:t xml:space="preserve">, NZAIMS </w:t>
            </w:r>
            <w:r w:rsidR="00B549E8" w:rsidRPr="00B549E8">
              <w:rPr>
                <w:rFonts w:cs="Times New Roman"/>
                <w:szCs w:val="20"/>
              </w:rPr>
              <w:t xml:space="preserve">(Assoc Intermediate and Middle Schools) </w:t>
            </w:r>
            <w:r w:rsidRPr="00B549E8">
              <w:rPr>
                <w:rFonts w:cs="Times New Roman"/>
                <w:szCs w:val="20"/>
              </w:rPr>
              <w:t xml:space="preserve">and </w:t>
            </w:r>
            <w:r w:rsidRPr="00B549E8">
              <w:rPr>
                <w:rFonts w:cs="Times New Roman"/>
                <w:szCs w:val="20"/>
              </w:rPr>
              <w:lastRenderedPageBreak/>
              <w:t>TENZ</w:t>
            </w:r>
            <w:r w:rsidR="00B549E8" w:rsidRPr="00B549E8">
              <w:rPr>
                <w:rFonts w:cs="Times New Roman"/>
                <w:szCs w:val="20"/>
              </w:rPr>
              <w:t xml:space="preserve"> (Technology Education)</w:t>
            </w:r>
            <w:r w:rsidRPr="00B549E8">
              <w:rPr>
                <w:rFonts w:cs="Times New Roman"/>
                <w:szCs w:val="20"/>
              </w:rPr>
              <w:t xml:space="preserve">. Professional development workshops have been held around </w:t>
            </w:r>
            <w:r w:rsidR="00066E2B" w:rsidRPr="00B549E8">
              <w:rPr>
                <w:rFonts w:cs="Times New Roman"/>
                <w:szCs w:val="20"/>
              </w:rPr>
              <w:t xml:space="preserve">the </w:t>
            </w:r>
            <w:r w:rsidRPr="00B549E8">
              <w:rPr>
                <w:rFonts w:cs="Times New Roman"/>
                <w:szCs w:val="20"/>
              </w:rPr>
              <w:t>country in 2018 and 2019 to support this work</w:t>
            </w:r>
            <w:r w:rsidR="00675858" w:rsidRPr="00B549E8">
              <w:rPr>
                <w:rFonts w:cs="Times New Roman"/>
                <w:szCs w:val="20"/>
              </w:rPr>
              <w:t xml:space="preserve"> (personal communication, </w:t>
            </w:r>
            <w:r w:rsidR="0091450A" w:rsidRPr="00B549E8">
              <w:rPr>
                <w:rFonts w:cs="Times New Roman"/>
                <w:szCs w:val="20"/>
              </w:rPr>
              <w:t>Heart Foundation</w:t>
            </w:r>
            <w:r w:rsidR="00675858" w:rsidRPr="00B549E8">
              <w:rPr>
                <w:rFonts w:cs="Times New Roman"/>
                <w:szCs w:val="20"/>
              </w:rPr>
              <w:t>, 2020)</w:t>
            </w:r>
            <w:r w:rsidRPr="00B549E8">
              <w:rPr>
                <w:rFonts w:cs="Times New Roman"/>
                <w:szCs w:val="20"/>
              </w:rPr>
              <w:t>.</w:t>
            </w:r>
          </w:p>
          <w:p w14:paraId="1ABA5326" w14:textId="77777777" w:rsidR="00880FDF" w:rsidRPr="0091450A" w:rsidRDefault="00880FDF" w:rsidP="007159FF">
            <w:pPr>
              <w:pStyle w:val="ListParagraph"/>
              <w:shd w:val="clear" w:color="auto" w:fill="FFFFFF" w:themeFill="background1"/>
              <w:spacing w:before="40" w:after="40"/>
              <w:ind w:left="284"/>
              <w:contextualSpacing w:val="0"/>
              <w:rPr>
                <w:rFonts w:cs="Times New Roman"/>
                <w:szCs w:val="20"/>
              </w:rPr>
            </w:pPr>
          </w:p>
          <w:p w14:paraId="7880529F" w14:textId="77777777" w:rsidR="00D86B37" w:rsidRPr="0091450A" w:rsidRDefault="00D86B37" w:rsidP="002D613F">
            <w:pPr>
              <w:spacing w:before="40" w:after="40"/>
              <w:rPr>
                <w:rFonts w:cs="Times New Roman"/>
                <w:szCs w:val="20"/>
                <w:u w:val="single"/>
              </w:rPr>
            </w:pPr>
            <w:r w:rsidRPr="0091450A">
              <w:rPr>
                <w:rFonts w:cs="Times New Roman"/>
                <w:szCs w:val="20"/>
                <w:u w:val="single"/>
              </w:rPr>
              <w:t>Support and training systems for other settings</w:t>
            </w:r>
          </w:p>
          <w:p w14:paraId="500BDCDE" w14:textId="4FAAB414" w:rsidR="00354B76" w:rsidRDefault="00472363" w:rsidP="00354B76">
            <w:pPr>
              <w:pStyle w:val="ListParagraph"/>
              <w:numPr>
                <w:ilvl w:val="0"/>
                <w:numId w:val="9"/>
              </w:numPr>
              <w:shd w:val="clear" w:color="auto" w:fill="FFFFFF" w:themeFill="background1"/>
              <w:spacing w:before="40" w:after="40"/>
              <w:contextualSpacing w:val="0"/>
              <w:rPr>
                <w:rFonts w:cs="Times New Roman"/>
                <w:szCs w:val="20"/>
              </w:rPr>
            </w:pPr>
            <w:r>
              <w:rPr>
                <w:rFonts w:cstheme="minorHAnsi"/>
                <w:szCs w:val="20"/>
              </w:rPr>
              <w:t xml:space="preserve">There are three key </w:t>
            </w:r>
            <w:r w:rsidR="00DF3366">
              <w:rPr>
                <w:rFonts w:cstheme="minorHAnsi"/>
                <w:szCs w:val="20"/>
              </w:rPr>
              <w:t xml:space="preserve">workplace health and well-being tools available in New Zealand. </w:t>
            </w:r>
            <w:proofErr w:type="spellStart"/>
            <w:r w:rsidR="000F6D9E">
              <w:rPr>
                <w:rFonts w:cstheme="minorHAnsi"/>
                <w:szCs w:val="20"/>
              </w:rPr>
              <w:t>WorkWell</w:t>
            </w:r>
            <w:proofErr w:type="spellEnd"/>
            <w:r w:rsidR="000F6D9E">
              <w:rPr>
                <w:rFonts w:cstheme="minorHAnsi"/>
                <w:szCs w:val="20"/>
              </w:rPr>
              <w:t xml:space="preserve">, Good4work and Wellplace.nz. </w:t>
            </w:r>
            <w:hyperlink r:id="rId18" w:tgtFrame="_blank" w:history="1">
              <w:proofErr w:type="spellStart"/>
              <w:r w:rsidRPr="00472363">
                <w:rPr>
                  <w:rStyle w:val="Hyperlink"/>
                  <w:rFonts w:cstheme="minorHAnsi"/>
                  <w:color w:val="auto"/>
                  <w:szCs w:val="20"/>
                  <w:u w:val="none"/>
                  <w:shd w:val="clear" w:color="auto" w:fill="FFFFFF"/>
                </w:rPr>
                <w:t>WorkWell</w:t>
              </w:r>
              <w:proofErr w:type="spellEnd"/>
            </w:hyperlink>
            <w:r w:rsidRPr="00472363">
              <w:rPr>
                <w:rFonts w:cstheme="minorHAnsi"/>
                <w:szCs w:val="20"/>
                <w:shd w:val="clear" w:color="auto" w:fill="FFFFFF"/>
              </w:rPr>
              <w:t xml:space="preserve"> is a free workplace wellbeing initiative available in various regions throughout New Zealand. It is aimed at medium to large workplaces and those wanting to do a more comprehensive wellbeing </w:t>
            </w:r>
            <w:r w:rsidR="000F6D9E">
              <w:rPr>
                <w:rFonts w:cstheme="minorHAnsi"/>
                <w:szCs w:val="20"/>
                <w:shd w:val="clear" w:color="auto" w:fill="FFFFFF"/>
              </w:rPr>
              <w:t>p</w:t>
            </w:r>
            <w:r w:rsidRPr="00472363">
              <w:rPr>
                <w:rFonts w:cstheme="minorHAnsi"/>
                <w:szCs w:val="20"/>
                <w:shd w:val="clear" w:color="auto" w:fill="FFFFFF"/>
              </w:rPr>
              <w:t>rogramme. </w:t>
            </w:r>
            <w:proofErr w:type="spellStart"/>
            <w:r w:rsidRPr="00472363">
              <w:rPr>
                <w:rFonts w:cstheme="minorHAnsi"/>
                <w:szCs w:val="20"/>
                <w:shd w:val="clear" w:color="auto" w:fill="FFFFFF"/>
              </w:rPr>
              <w:t>WorkWell</w:t>
            </w:r>
            <w:proofErr w:type="spellEnd"/>
            <w:r w:rsidRPr="00472363">
              <w:rPr>
                <w:rFonts w:cstheme="minorHAnsi"/>
                <w:szCs w:val="20"/>
                <w:shd w:val="clear" w:color="auto" w:fill="FFFFFF"/>
              </w:rPr>
              <w:t xml:space="preserve"> provides advisor support, easy-to-use resources, networking opportunities and recognition through accreditation</w:t>
            </w:r>
            <w:r w:rsidR="000D712B">
              <w:rPr>
                <w:rFonts w:cstheme="minorHAnsi"/>
                <w:szCs w:val="20"/>
                <w:shd w:val="clear" w:color="auto" w:fill="FFFFFF"/>
              </w:rPr>
              <w:t xml:space="preserve"> </w:t>
            </w:r>
            <w:r w:rsidR="000D712B">
              <w:rPr>
                <w:rFonts w:cstheme="minorHAnsi"/>
                <w:szCs w:val="20"/>
                <w:shd w:val="clear" w:color="auto" w:fill="FFFFFF"/>
              </w:rPr>
              <w:fldChar w:fldCharType="begin" w:fldLock="1"/>
            </w:r>
            <w:r w:rsidR="009C4029">
              <w:rPr>
                <w:rFonts w:cstheme="minorHAnsi"/>
                <w:szCs w:val="20"/>
                <w:shd w:val="clear" w:color="auto" w:fill="FFFFFF"/>
              </w:rPr>
              <w:instrText>ADDIN CSL_CITATION {"citationItems":[{"id":"ITEM-1","itemData":{"URL":"https://www.workwell.health.nz/workwell_home","accessed":{"date-parts":[["2020","2","5"]]},"author":[{"dropping-particle":"","family":"Toi Te Ora Public Health","given":"","non-dropping-particle":"","parse-names":false,"suffix":""}],"id":"ITEM-1","issued":{"date-parts":[["2019"]]},"title":"Home | WorkWell","type":"webpage"},"uris":["http://www.mendeley.com/documents/?uuid=6fd0dccd-c8ec-32b1-9acf-03b585c88154"]}],"mendeley":{"formattedCitation":"(126)","plainTextFormattedCitation":"(126)","previouslyFormattedCitation":"(126)"},"properties":{"noteIndex":0},"schema":"https://github.com/citation-style-language/schema/raw/master/csl-citation.json"}</w:instrText>
            </w:r>
            <w:r w:rsidR="000D712B">
              <w:rPr>
                <w:rFonts w:cstheme="minorHAnsi"/>
                <w:szCs w:val="20"/>
                <w:shd w:val="clear" w:color="auto" w:fill="FFFFFF"/>
              </w:rPr>
              <w:fldChar w:fldCharType="separate"/>
            </w:r>
            <w:r w:rsidR="004C06EB" w:rsidRPr="004C06EB">
              <w:rPr>
                <w:rFonts w:cstheme="minorHAnsi"/>
                <w:noProof/>
                <w:szCs w:val="20"/>
                <w:shd w:val="clear" w:color="auto" w:fill="FFFFFF"/>
              </w:rPr>
              <w:t>(126)</w:t>
            </w:r>
            <w:r w:rsidR="000D712B">
              <w:rPr>
                <w:rFonts w:cstheme="minorHAnsi"/>
                <w:szCs w:val="20"/>
                <w:shd w:val="clear" w:color="auto" w:fill="FFFFFF"/>
              </w:rPr>
              <w:fldChar w:fldCharType="end"/>
            </w:r>
            <w:r w:rsidRPr="00472363">
              <w:rPr>
                <w:rFonts w:cstheme="minorHAnsi"/>
                <w:szCs w:val="20"/>
                <w:shd w:val="clear" w:color="auto" w:fill="FFFFFF"/>
              </w:rPr>
              <w:t>.</w:t>
            </w:r>
            <w:r w:rsidR="000D712B">
              <w:rPr>
                <w:rFonts w:cstheme="minorHAnsi"/>
                <w:szCs w:val="20"/>
                <w:shd w:val="clear" w:color="auto" w:fill="FFFFFF"/>
              </w:rPr>
              <w:t xml:space="preserve"> </w:t>
            </w:r>
            <w:hyperlink r:id="rId19" w:tgtFrame="_blank" w:history="1">
              <w:r w:rsidRPr="00472363">
                <w:rPr>
                  <w:rStyle w:val="Hyperlink"/>
                  <w:rFonts w:cstheme="minorHAnsi"/>
                  <w:color w:val="auto"/>
                  <w:szCs w:val="20"/>
                  <w:u w:val="none"/>
                  <w:shd w:val="clear" w:color="auto" w:fill="FFFFFF"/>
                </w:rPr>
                <w:t>Good4Work</w:t>
              </w:r>
            </w:hyperlink>
            <w:r w:rsidRPr="00472363">
              <w:rPr>
                <w:rFonts w:cstheme="minorHAnsi"/>
                <w:szCs w:val="20"/>
                <w:shd w:val="clear" w:color="auto" w:fill="FFFFFF"/>
              </w:rPr>
              <w:t> is an online workplace wellbeing tool designed for small to medium</w:t>
            </w:r>
            <w:r w:rsidR="00066E2B">
              <w:rPr>
                <w:rFonts w:cstheme="minorHAnsi"/>
                <w:szCs w:val="20"/>
                <w:shd w:val="clear" w:color="auto" w:fill="FFFFFF"/>
              </w:rPr>
              <w:t>-</w:t>
            </w:r>
            <w:r w:rsidRPr="00472363">
              <w:rPr>
                <w:rFonts w:cstheme="minorHAnsi"/>
                <w:szCs w:val="20"/>
                <w:shd w:val="clear" w:color="auto" w:fill="FFFFFF"/>
              </w:rPr>
              <w:t>sized workplaces and those that are just getting started with workplace wellbeing. </w:t>
            </w:r>
            <w:r w:rsidR="00594C09">
              <w:rPr>
                <w:rFonts w:cstheme="minorHAnsi"/>
                <w:szCs w:val="20"/>
                <w:shd w:val="clear" w:color="auto" w:fill="FFFFFF"/>
              </w:rPr>
              <w:t xml:space="preserve">It was </w:t>
            </w:r>
            <w:r w:rsidR="00594C09" w:rsidRPr="0091450A">
              <w:rPr>
                <w:rFonts w:cs="Times New Roman"/>
                <w:szCs w:val="20"/>
              </w:rPr>
              <w:t>developed by a partnership of Auckland Regional Public Health Services (ARPHS), Toi Te Ora Public Health Unit, Health Promotion Agency and Ministry of Health Healthy Families New Zealand</w:t>
            </w:r>
            <w:r w:rsidR="00594C09">
              <w:rPr>
                <w:rFonts w:cs="Times New Roman"/>
                <w:szCs w:val="20"/>
              </w:rPr>
              <w:t>.</w:t>
            </w:r>
            <w:r w:rsidR="00594C09" w:rsidRPr="00472363">
              <w:rPr>
                <w:rFonts w:cstheme="minorHAnsi"/>
                <w:szCs w:val="20"/>
                <w:shd w:val="clear" w:color="auto" w:fill="FFFFFF"/>
              </w:rPr>
              <w:t xml:space="preserve"> </w:t>
            </w:r>
            <w:r w:rsidRPr="00472363">
              <w:rPr>
                <w:rFonts w:cstheme="minorHAnsi"/>
                <w:szCs w:val="20"/>
                <w:shd w:val="clear" w:color="auto" w:fill="FFFFFF"/>
              </w:rPr>
              <w:t>Good4Work takes you through a step-by-step process to help you complete actions to change your work environment and culture</w:t>
            </w:r>
            <w:r w:rsidR="003E77C0">
              <w:rPr>
                <w:rFonts w:cstheme="minorHAnsi"/>
                <w:szCs w:val="20"/>
                <w:shd w:val="clear" w:color="auto" w:fill="FFFFFF"/>
              </w:rPr>
              <w:t xml:space="preserve"> </w:t>
            </w:r>
            <w:r w:rsidR="00DD6BAE">
              <w:rPr>
                <w:rFonts w:cstheme="minorHAnsi"/>
                <w:szCs w:val="20"/>
                <w:shd w:val="clear" w:color="auto" w:fill="FFFFFF"/>
              </w:rPr>
              <w:fldChar w:fldCharType="begin" w:fldLock="1"/>
            </w:r>
            <w:r w:rsidR="009C4029">
              <w:rPr>
                <w:rFonts w:cstheme="minorHAnsi"/>
                <w:szCs w:val="20"/>
                <w:shd w:val="clear" w:color="auto" w:fill="FFFFFF"/>
              </w:rPr>
              <w:instrText>ADDIN CSL_CITATION {"citationItems":[{"id":"ITEM-1","itemData":{"URL":"https://www.good4work.nz/","accessed":{"date-parts":[["2020","2","5"]]},"author":[{"dropping-particle":"","family":"Good4Work","given":"","non-dropping-particle":"","parse-names":false,"suffix":""}],"id":"ITEM-1","issued":{"date-parts":[["0"]]},"title":"Home | Good4Work","type":"webpage"},"uris":["http://www.mendeley.com/documents/?uuid=960c8609-30ce-369a-b234-4ddec86129d4"]}],"mendeley":{"formattedCitation":"(127)","plainTextFormattedCitation":"(127)","previouslyFormattedCitation":"(127)"},"properties":{"noteIndex":0},"schema":"https://github.com/citation-style-language/schema/raw/master/csl-citation.json"}</w:instrText>
            </w:r>
            <w:r w:rsidR="00DD6BAE">
              <w:rPr>
                <w:rFonts w:cstheme="minorHAnsi"/>
                <w:szCs w:val="20"/>
                <w:shd w:val="clear" w:color="auto" w:fill="FFFFFF"/>
              </w:rPr>
              <w:fldChar w:fldCharType="separate"/>
            </w:r>
            <w:r w:rsidR="004C06EB" w:rsidRPr="004C06EB">
              <w:rPr>
                <w:rFonts w:cstheme="minorHAnsi"/>
                <w:noProof/>
                <w:szCs w:val="20"/>
                <w:shd w:val="clear" w:color="auto" w:fill="FFFFFF"/>
              </w:rPr>
              <w:t>(127)</w:t>
            </w:r>
            <w:r w:rsidR="00DD6BAE">
              <w:rPr>
                <w:rFonts w:cstheme="minorHAnsi"/>
                <w:szCs w:val="20"/>
                <w:shd w:val="clear" w:color="auto" w:fill="FFFFFF"/>
              </w:rPr>
              <w:fldChar w:fldCharType="end"/>
            </w:r>
            <w:r w:rsidRPr="00472363">
              <w:rPr>
                <w:rFonts w:cstheme="minorHAnsi"/>
                <w:szCs w:val="20"/>
                <w:shd w:val="clear" w:color="auto" w:fill="FFFFFF"/>
              </w:rPr>
              <w:t>.</w:t>
            </w:r>
            <w:r w:rsidR="00354B76">
              <w:rPr>
                <w:rFonts w:cstheme="minorHAnsi"/>
                <w:szCs w:val="20"/>
                <w:shd w:val="clear" w:color="auto" w:fill="FFFFFF"/>
              </w:rPr>
              <w:t xml:space="preserve"> Finally,</w:t>
            </w:r>
            <w:r w:rsidR="00354B76">
              <w:rPr>
                <w:rFonts w:cstheme="minorHAnsi"/>
                <w:szCs w:val="20"/>
              </w:rPr>
              <w:t xml:space="preserve"> </w:t>
            </w:r>
            <w:hyperlink r:id="rId20" w:tgtFrame="_blank" w:history="1">
              <w:r w:rsidRPr="00472363">
                <w:rPr>
                  <w:rStyle w:val="Hyperlink"/>
                  <w:rFonts w:cstheme="minorHAnsi"/>
                  <w:color w:val="auto"/>
                  <w:szCs w:val="20"/>
                  <w:u w:val="none"/>
                  <w:shd w:val="clear" w:color="auto" w:fill="FFFFFF"/>
                </w:rPr>
                <w:t>Wellplace.nz</w:t>
              </w:r>
            </w:hyperlink>
            <w:r w:rsidRPr="00472363">
              <w:rPr>
                <w:rFonts w:cstheme="minorHAnsi"/>
                <w:szCs w:val="20"/>
                <w:shd w:val="clear" w:color="auto" w:fill="FFFFFF"/>
              </w:rPr>
              <w:t xml:space="preserve"> is a gateway for practical workplace information, ideas and resources to help implement </w:t>
            </w:r>
            <w:r w:rsidR="009C0F7F">
              <w:rPr>
                <w:rFonts w:cstheme="minorHAnsi"/>
                <w:szCs w:val="20"/>
                <w:shd w:val="clear" w:color="auto" w:fill="FFFFFF"/>
              </w:rPr>
              <w:t>a workplace</w:t>
            </w:r>
            <w:r w:rsidRPr="00472363">
              <w:rPr>
                <w:rFonts w:cstheme="minorHAnsi"/>
                <w:szCs w:val="20"/>
                <w:shd w:val="clear" w:color="auto" w:fill="FFFFFF"/>
              </w:rPr>
              <w:t xml:space="preserve"> wellbeing programme.</w:t>
            </w:r>
            <w:r w:rsidR="003E77C0" w:rsidRPr="0091450A">
              <w:rPr>
                <w:rFonts w:cs="Times New Roman"/>
                <w:szCs w:val="20"/>
              </w:rPr>
              <w:t xml:space="preserve"> </w:t>
            </w:r>
            <w:r w:rsidR="00354B76" w:rsidRPr="0091450A">
              <w:rPr>
                <w:rFonts w:cs="Times New Roman"/>
                <w:szCs w:val="20"/>
              </w:rPr>
              <w:t>HPA ha</w:t>
            </w:r>
            <w:r w:rsidR="00066E2B">
              <w:rPr>
                <w:rFonts w:cs="Times New Roman"/>
                <w:szCs w:val="20"/>
              </w:rPr>
              <w:t>s</w:t>
            </w:r>
            <w:r w:rsidR="00354B76" w:rsidRPr="0091450A">
              <w:rPr>
                <w:rFonts w:cs="Times New Roman"/>
                <w:szCs w:val="20"/>
              </w:rPr>
              <w:t xml:space="preserve"> a Wellplace.nz website </w:t>
            </w:r>
            <w:r w:rsidR="00354B76" w:rsidRPr="0091450A">
              <w:rPr>
                <w:rFonts w:cs="Times New Roman"/>
                <w:szCs w:val="20"/>
              </w:rPr>
              <w:fldChar w:fldCharType="begin" w:fldLock="1"/>
            </w:r>
            <w:r w:rsidR="009C4029">
              <w:rPr>
                <w:rFonts w:cs="Times New Roman"/>
                <w:szCs w:val="20"/>
              </w:rPr>
              <w:instrText>ADDIN CSL_CITATION {"citationItems":[{"id":"ITEM-1","itemData":{"URL":"http://www.wellplace.nz","author":[{"dropping-particle":"","family":"Health Promotion Agency","given":"","non-dropping-particle":"","parse-names":false,"suffix":""}],"id":"ITEM-1","issue":"22/2/2017","issued":{"date-parts":[["2015"]]},"title":"Your guide to workplace wellbeing","type":"webpage"},"uris":["http://www.mendeley.com/documents/?uuid=154cabfc-692b-36f5-a35b-88b85f23795b","http://www.mendeley.com/documents/?uuid=c7fe2432-065c-44ce-bb7d-03f4057fe893"]}],"mendeley":{"formattedCitation":"(128)","plainTextFormattedCitation":"(128)","previouslyFormattedCitation":"(128)"},"properties":{"noteIndex":0},"schema":"https://github.com/citation-style-language/schema/raw/master/csl-citation.json"}</w:instrText>
            </w:r>
            <w:r w:rsidR="00354B76" w:rsidRPr="0091450A">
              <w:rPr>
                <w:rFonts w:cs="Times New Roman"/>
                <w:szCs w:val="20"/>
              </w:rPr>
              <w:fldChar w:fldCharType="separate"/>
            </w:r>
            <w:r w:rsidR="004C06EB" w:rsidRPr="004C06EB">
              <w:rPr>
                <w:rFonts w:cs="Times New Roman"/>
                <w:noProof/>
                <w:szCs w:val="20"/>
              </w:rPr>
              <w:t>(128)</w:t>
            </w:r>
            <w:r w:rsidR="00354B76" w:rsidRPr="0091450A">
              <w:rPr>
                <w:rFonts w:cs="Times New Roman"/>
                <w:szCs w:val="20"/>
              </w:rPr>
              <w:fldChar w:fldCharType="end"/>
            </w:r>
            <w:r w:rsidR="00354B76" w:rsidRPr="0091450A">
              <w:rPr>
                <w:rFonts w:cs="Times New Roman"/>
                <w:szCs w:val="20"/>
              </w:rPr>
              <w:t xml:space="preserve"> with a range of healthy eating resources and links.</w:t>
            </w:r>
          </w:p>
          <w:p w14:paraId="62CB48F1" w14:textId="4CD75D7C" w:rsidR="005B63D3" w:rsidRPr="005B63D3" w:rsidRDefault="005B63D3" w:rsidP="00F371A9">
            <w:pPr>
              <w:pStyle w:val="ListParagraph"/>
              <w:numPr>
                <w:ilvl w:val="0"/>
                <w:numId w:val="9"/>
              </w:numPr>
              <w:shd w:val="clear" w:color="auto" w:fill="FFFFFF" w:themeFill="background1"/>
              <w:spacing w:before="40" w:after="40"/>
              <w:contextualSpacing w:val="0"/>
              <w:rPr>
                <w:rFonts w:cs="Times New Roman"/>
                <w:szCs w:val="20"/>
              </w:rPr>
            </w:pPr>
            <w:r w:rsidRPr="005B63D3">
              <w:rPr>
                <w:rFonts w:ascii="Calibri" w:hAnsi="Calibri" w:cs="Times New Roman"/>
                <w:szCs w:val="20"/>
              </w:rPr>
              <w:t>In 2019 HPA introduced healthy kai guidelines to support the health and wellbeing of people at work. A range of practical resources have been developed to support organisations in providing healthy kai at work.</w:t>
            </w:r>
          </w:p>
          <w:p w14:paraId="53473B72" w14:textId="2B5CC47F" w:rsidR="00472363" w:rsidRPr="00472363" w:rsidRDefault="003E77C0" w:rsidP="002D613F">
            <w:pPr>
              <w:pStyle w:val="ListParagraph"/>
              <w:numPr>
                <w:ilvl w:val="0"/>
                <w:numId w:val="9"/>
              </w:numPr>
              <w:spacing w:before="40" w:after="40"/>
              <w:contextualSpacing w:val="0"/>
              <w:rPr>
                <w:rFonts w:cstheme="minorHAnsi"/>
                <w:szCs w:val="20"/>
              </w:rPr>
            </w:pPr>
            <w:r w:rsidRPr="0091450A">
              <w:rPr>
                <w:rFonts w:cs="Times New Roman"/>
                <w:szCs w:val="20"/>
              </w:rPr>
              <w:t>ARPHS provide</w:t>
            </w:r>
            <w:r w:rsidR="00066E2B">
              <w:rPr>
                <w:rFonts w:cs="Times New Roman"/>
                <w:szCs w:val="20"/>
              </w:rPr>
              <w:t>s</w:t>
            </w:r>
            <w:r w:rsidRPr="0091450A">
              <w:rPr>
                <w:rFonts w:cs="Times New Roman"/>
                <w:szCs w:val="20"/>
              </w:rPr>
              <w:t xml:space="preserve"> a set of nationally agreed best practice tools for workplace wellbeing with their partners, they plan to have a monitoring and response process for public policies, legislation and workplace issues, a core group of national and regional agencies supporting shared visions and mutual goals, tools and systems to collect data and champions to promote workplace wellbeing </w:t>
            </w:r>
            <w:r w:rsidRPr="0091450A">
              <w:rPr>
                <w:rFonts w:cs="Times New Roman"/>
                <w:szCs w:val="20"/>
              </w:rPr>
              <w:fldChar w:fldCharType="begin" w:fldLock="1"/>
            </w:r>
            <w:r w:rsidR="009C4029">
              <w:rPr>
                <w:rFonts w:cs="Times New Roman"/>
                <w:szCs w:val="20"/>
              </w:rPr>
              <w:instrText>ADDIN CSL_CITATION {"citationItems":[{"id":"ITEM-1","itemData":{"author":[{"dropping-particle":"","family":"Auckland Regional Public Health Service","given":"","non-dropping-particle":"","parse-names":false,"suffix":""},{"dropping-particle":"","family":"Service","given":"Auckland Regional Public Health","non-dropping-particle":"","parse-names":false,"suffix":""}],"id":"ITEM-1","issued":{"date-parts":[["2017"]]},"publisher-place":"Auckland","title":"Workplace Wellbing Strategy","type":"report"},"uris":["http://www.mendeley.com/documents/?uuid=2c084d48-459c-3bd1-8803-7e8519797df3","http://www.mendeley.com/documents/?uuid=17d8575a-c1b8-452f-9628-66317f24d060"]}],"mendeley":{"formattedCitation":"(129)","plainTextFormattedCitation":"(129)","previouslyFormattedCitation":"(129)"},"properties":{"noteIndex":0},"schema":"https://github.com/citation-style-language/schema/raw/master/csl-citation.json"}</w:instrText>
            </w:r>
            <w:r w:rsidRPr="0091450A">
              <w:rPr>
                <w:rFonts w:cs="Times New Roman"/>
                <w:szCs w:val="20"/>
              </w:rPr>
              <w:fldChar w:fldCharType="separate"/>
            </w:r>
            <w:r w:rsidR="004C06EB" w:rsidRPr="004C06EB">
              <w:rPr>
                <w:rFonts w:cs="Times New Roman"/>
                <w:noProof/>
                <w:szCs w:val="20"/>
              </w:rPr>
              <w:t>(129)</w:t>
            </w:r>
            <w:r w:rsidRPr="0091450A">
              <w:rPr>
                <w:rFonts w:cs="Times New Roman"/>
                <w:szCs w:val="20"/>
              </w:rPr>
              <w:fldChar w:fldCharType="end"/>
            </w:r>
            <w:r w:rsidRPr="0091450A">
              <w:rPr>
                <w:rFonts w:cs="Times New Roman"/>
                <w:szCs w:val="20"/>
              </w:rPr>
              <w:t>.</w:t>
            </w:r>
          </w:p>
          <w:p w14:paraId="5411CAAA" w14:textId="06B1437B" w:rsidR="00D61B3E" w:rsidRPr="0091450A" w:rsidRDefault="00D61B3E" w:rsidP="002D613F">
            <w:pPr>
              <w:pStyle w:val="ListParagraph"/>
              <w:numPr>
                <w:ilvl w:val="0"/>
                <w:numId w:val="9"/>
              </w:numPr>
              <w:spacing w:before="40" w:after="40"/>
              <w:contextualSpacing w:val="0"/>
              <w:rPr>
                <w:rFonts w:cs="Times New Roman"/>
                <w:szCs w:val="20"/>
              </w:rPr>
            </w:pPr>
            <w:r w:rsidRPr="0091450A">
              <w:rPr>
                <w:rFonts w:cs="Times New Roman"/>
                <w:szCs w:val="20"/>
              </w:rPr>
              <w:t xml:space="preserve">The Ministry of Health has developed a Healthy Food and Drink Policy for Organisations </w:t>
            </w:r>
            <w:r w:rsidR="005B6671" w:rsidRPr="0091450A">
              <w:rPr>
                <w:rFonts w:cs="Times New Roman"/>
                <w:szCs w:val="20"/>
              </w:rPr>
              <w:fldChar w:fldCharType="begin" w:fldLock="1"/>
            </w:r>
            <w:r w:rsidR="009C4029">
              <w:rPr>
                <w:rFonts w:cs="Times New Roman"/>
                <w:szCs w:val="20"/>
              </w:rPr>
              <w:instrText>ADDIN CSL_CITATION {"citationItems":[{"id":"ITEM-1","itemData":{"URL":"http://www.health.govt.nz/system/files/documents/publications/healthy-food-and-drink-policy-for-organisations-sept20-16.pdf","author":[{"dropping-particle":"","family":"Ministry of Health","given":"","non-dropping-particle":"","parse-names":false,"suffix":""}],"id":"ITEM-1","issue":"4/12/2016","issued":{"date-parts":[["2016"]]},"title":"Healthy Food and Drink Policy for Organisations ","type":"webpage"},"uris":["http://www.mendeley.com/documents/?uuid=e44ea4cf-6b70-4104-a5f6-5daa3b047c4a","http://www.mendeley.com/documents/?uuid=4b25ddd2-126d-37f3-b071-a46d6fad57d7"]}],"mendeley":{"formattedCitation":"(105)","plainTextFormattedCitation":"(105)","previouslyFormattedCitation":"(105)"},"properties":{"noteIndex":0},"schema":"https://github.com/citation-style-language/schema/raw/master/csl-citation.json"}</w:instrText>
            </w:r>
            <w:r w:rsidR="005B6671" w:rsidRPr="0091450A">
              <w:rPr>
                <w:rFonts w:cs="Times New Roman"/>
                <w:szCs w:val="20"/>
              </w:rPr>
              <w:fldChar w:fldCharType="separate"/>
            </w:r>
            <w:r w:rsidR="004C06EB" w:rsidRPr="004C06EB">
              <w:rPr>
                <w:rFonts w:cs="Times New Roman"/>
                <w:noProof/>
                <w:szCs w:val="20"/>
              </w:rPr>
              <w:t>(105)</w:t>
            </w:r>
            <w:r w:rsidR="005B6671" w:rsidRPr="0091450A">
              <w:rPr>
                <w:rFonts w:cs="Times New Roman"/>
                <w:szCs w:val="20"/>
              </w:rPr>
              <w:fldChar w:fldCharType="end"/>
            </w:r>
            <w:r w:rsidR="004F47DD" w:rsidRPr="0091450A">
              <w:rPr>
                <w:rFonts w:cs="Times New Roman"/>
                <w:szCs w:val="20"/>
              </w:rPr>
              <w:t xml:space="preserve"> </w:t>
            </w:r>
            <w:r w:rsidRPr="0091450A">
              <w:rPr>
                <w:rFonts w:cs="Times New Roman"/>
                <w:szCs w:val="20"/>
              </w:rPr>
              <w:t>which aligns with the National Healthy Food and Drink Policy for DHBs (DHB Healthy Food and Drink Network).  ARPHS are planning to develop some tools and supporting resources to help organisations implement the Healthy Food and Drink Policy for Organisations.</w:t>
            </w:r>
          </w:p>
          <w:p w14:paraId="62DA5A08" w14:textId="2A784F9E" w:rsidR="007E3B6E" w:rsidRPr="0091450A" w:rsidRDefault="00B437BF" w:rsidP="00714C2B">
            <w:pPr>
              <w:pStyle w:val="ListParagraph"/>
              <w:numPr>
                <w:ilvl w:val="0"/>
                <w:numId w:val="9"/>
              </w:numPr>
              <w:spacing w:before="40" w:after="40"/>
              <w:contextualSpacing w:val="0"/>
              <w:rPr>
                <w:rFonts w:cs="Times New Roman"/>
                <w:szCs w:val="20"/>
                <w:lang w:eastAsia="en-NZ"/>
              </w:rPr>
            </w:pPr>
            <w:r w:rsidRPr="0091450A">
              <w:rPr>
                <w:rFonts w:cs="Times New Roman"/>
                <w:szCs w:val="20"/>
                <w:lang w:eastAsia="en-NZ"/>
              </w:rPr>
              <w:t xml:space="preserve">The </w:t>
            </w:r>
            <w:r w:rsidR="007E3B6E" w:rsidRPr="0091450A">
              <w:rPr>
                <w:rFonts w:cs="Times New Roman"/>
                <w:szCs w:val="20"/>
                <w:lang w:eastAsia="en-NZ"/>
              </w:rPr>
              <w:t>Heart Foundation ha</w:t>
            </w:r>
            <w:r w:rsidR="00066E2B">
              <w:rPr>
                <w:rFonts w:cs="Times New Roman"/>
                <w:szCs w:val="20"/>
                <w:lang w:eastAsia="en-NZ"/>
              </w:rPr>
              <w:t>s</w:t>
            </w:r>
            <w:r w:rsidR="007E3B6E" w:rsidRPr="0091450A">
              <w:rPr>
                <w:rFonts w:cs="Times New Roman"/>
                <w:szCs w:val="20"/>
                <w:lang w:eastAsia="en-NZ"/>
              </w:rPr>
              <w:t xml:space="preserve"> ‘Guidelines for preparing healthier cafeteria food</w:t>
            </w:r>
            <w:r w:rsidRPr="0091450A">
              <w:rPr>
                <w:rFonts w:cs="Times New Roman"/>
                <w:szCs w:val="20"/>
                <w:lang w:eastAsia="en-NZ"/>
              </w:rPr>
              <w:t>’</w:t>
            </w:r>
            <w:r w:rsidR="007E3B6E" w:rsidRPr="0091450A">
              <w:rPr>
                <w:rFonts w:cs="Times New Roman"/>
                <w:szCs w:val="20"/>
                <w:lang w:eastAsia="en-NZ"/>
              </w:rPr>
              <w:t xml:space="preserve"> and a Hospitality Hub with a lot of information about healthy food service</w:t>
            </w:r>
            <w:r w:rsidRPr="0091450A">
              <w:rPr>
                <w:rFonts w:cs="Times New Roman"/>
                <w:szCs w:val="20"/>
                <w:lang w:eastAsia="en-NZ"/>
              </w:rPr>
              <w:t xml:space="preserve">. The Hospitality Hub </w:t>
            </w:r>
            <w:r w:rsidR="00714C2B">
              <w:rPr>
                <w:rFonts w:cs="Times New Roman"/>
                <w:szCs w:val="20"/>
                <w:lang w:eastAsia="en-NZ"/>
              </w:rPr>
              <w:t>was</w:t>
            </w:r>
            <w:r w:rsidRPr="0091450A">
              <w:rPr>
                <w:rFonts w:cs="Times New Roman"/>
                <w:szCs w:val="20"/>
                <w:lang w:eastAsia="en-NZ"/>
              </w:rPr>
              <w:t xml:space="preserve"> fu</w:t>
            </w:r>
            <w:r w:rsidR="0021734E" w:rsidRPr="0091450A">
              <w:rPr>
                <w:rFonts w:cs="Times New Roman"/>
                <w:szCs w:val="20"/>
                <w:lang w:eastAsia="en-NZ"/>
              </w:rPr>
              <w:t>n</w:t>
            </w:r>
            <w:r w:rsidRPr="0091450A">
              <w:rPr>
                <w:rFonts w:cs="Times New Roman"/>
                <w:szCs w:val="20"/>
                <w:lang w:eastAsia="en-NZ"/>
              </w:rPr>
              <w:t>d</w:t>
            </w:r>
            <w:r w:rsidR="00B42934" w:rsidRPr="0091450A">
              <w:rPr>
                <w:rFonts w:cs="Times New Roman"/>
                <w:szCs w:val="20"/>
                <w:lang w:eastAsia="en-NZ"/>
              </w:rPr>
              <w:t xml:space="preserve">ed by the MoH </w:t>
            </w:r>
            <w:r w:rsidR="00BB3355" w:rsidRPr="0091450A">
              <w:rPr>
                <w:rFonts w:cs="Times New Roman"/>
                <w:szCs w:val="20"/>
                <w:lang w:eastAsia="en-NZ"/>
              </w:rPr>
              <w:fldChar w:fldCharType="begin" w:fldLock="1"/>
            </w:r>
            <w:r w:rsidR="009C4029">
              <w:rPr>
                <w:rFonts w:cs="Times New Roman"/>
                <w:szCs w:val="20"/>
                <w:lang w:eastAsia="en-NZ"/>
              </w:rPr>
              <w:instrText>ADDIN CSL_CITATION {"citationItems":[{"id":"ITEM-1","itemData":{"URL":"https://www.heartfoundation.org.nz/professionals/food-industry-and-hospitality/hospitality-hub/","author":[{"dropping-particle":"","family":"Heart Foundation of New Zealand","given":"","non-dropping-particle":"","parse-names":false,"suffix":""}],"id":"ITEM-1","issue":"24/3/2017","issued":{"date-parts":[["2016"]]},"title":"Hospitality Hub","type":"webpage"},"uris":["http://www.mendeley.com/documents/?uuid=3ef7a3c9-c993-31a1-938c-1332e277df03","http://www.mendeley.com/documents/?uuid=49e9e438-7d31-46d2-9afa-983ab8931db1"]}],"mendeley":{"formattedCitation":"(130)","plainTextFormattedCitation":"(130)","previouslyFormattedCitation":"(130)"},"properties":{"noteIndex":0},"schema":"https://github.com/citation-style-language/schema/raw/master/csl-citation.json"}</w:instrText>
            </w:r>
            <w:r w:rsidR="00BB3355" w:rsidRPr="0091450A">
              <w:rPr>
                <w:rFonts w:cs="Times New Roman"/>
                <w:szCs w:val="20"/>
                <w:lang w:eastAsia="en-NZ"/>
              </w:rPr>
              <w:fldChar w:fldCharType="separate"/>
            </w:r>
            <w:r w:rsidR="004C06EB" w:rsidRPr="004C06EB">
              <w:rPr>
                <w:rFonts w:cs="Times New Roman"/>
                <w:noProof/>
                <w:szCs w:val="20"/>
                <w:lang w:eastAsia="en-NZ"/>
              </w:rPr>
              <w:t>(130)</w:t>
            </w:r>
            <w:r w:rsidR="00BB3355" w:rsidRPr="0091450A">
              <w:rPr>
                <w:rFonts w:cs="Times New Roman"/>
                <w:szCs w:val="20"/>
                <w:lang w:eastAsia="en-NZ"/>
              </w:rPr>
              <w:fldChar w:fldCharType="end"/>
            </w:r>
            <w:r w:rsidR="00BB3355" w:rsidRPr="0091450A">
              <w:rPr>
                <w:rFonts w:cs="Times New Roman"/>
                <w:szCs w:val="20"/>
                <w:lang w:eastAsia="en-NZ"/>
              </w:rPr>
              <w:t>.</w:t>
            </w:r>
            <w:r w:rsidR="00FC45FD" w:rsidRPr="0091450A">
              <w:rPr>
                <w:rFonts w:cs="Times New Roman"/>
                <w:szCs w:val="20"/>
                <w:lang w:eastAsia="en-NZ"/>
              </w:rPr>
              <w:t xml:space="preserve"> It has been reoriented to support </w:t>
            </w:r>
            <w:r w:rsidR="008254B9">
              <w:rPr>
                <w:rFonts w:cs="Times New Roman"/>
                <w:szCs w:val="20"/>
                <w:lang w:eastAsia="en-NZ"/>
              </w:rPr>
              <w:t xml:space="preserve">food </w:t>
            </w:r>
            <w:r w:rsidR="00714C2B">
              <w:rPr>
                <w:rFonts w:cs="Times New Roman"/>
                <w:szCs w:val="20"/>
                <w:lang w:eastAsia="en-NZ"/>
              </w:rPr>
              <w:t>an</w:t>
            </w:r>
            <w:r w:rsidR="008254B9">
              <w:rPr>
                <w:rFonts w:cs="Times New Roman"/>
                <w:szCs w:val="20"/>
                <w:lang w:eastAsia="en-NZ"/>
              </w:rPr>
              <w:t>d nutrition</w:t>
            </w:r>
            <w:r w:rsidR="00AF4212" w:rsidRPr="0091450A">
              <w:rPr>
                <w:rFonts w:cs="Times New Roman"/>
                <w:szCs w:val="20"/>
                <w:lang w:eastAsia="en-NZ"/>
              </w:rPr>
              <w:t xml:space="preserve"> services </w:t>
            </w:r>
            <w:r w:rsidR="002435E4" w:rsidRPr="0091450A">
              <w:rPr>
                <w:rFonts w:cs="Times New Roman"/>
                <w:szCs w:val="20"/>
                <w:lang w:eastAsia="en-NZ"/>
              </w:rPr>
              <w:t>by</w:t>
            </w:r>
            <w:r w:rsidR="00AF4212" w:rsidRPr="0091450A">
              <w:rPr>
                <w:rFonts w:cs="Times New Roman"/>
                <w:szCs w:val="20"/>
                <w:lang w:eastAsia="en-NZ"/>
              </w:rPr>
              <w:t xml:space="preserve"> the Heart </w:t>
            </w:r>
            <w:r w:rsidR="00066E2B">
              <w:rPr>
                <w:rFonts w:cs="Times New Roman"/>
                <w:szCs w:val="20"/>
                <w:lang w:eastAsia="en-NZ"/>
              </w:rPr>
              <w:t>F</w:t>
            </w:r>
            <w:r w:rsidR="00AF4212" w:rsidRPr="0091450A">
              <w:rPr>
                <w:rFonts w:cs="Times New Roman"/>
                <w:szCs w:val="20"/>
                <w:lang w:eastAsia="en-NZ"/>
              </w:rPr>
              <w:t>oundation</w:t>
            </w:r>
            <w:r w:rsidR="002435E4" w:rsidRPr="0091450A">
              <w:rPr>
                <w:rFonts w:cs="Times New Roman"/>
                <w:szCs w:val="20"/>
                <w:lang w:eastAsia="en-NZ"/>
              </w:rPr>
              <w:t>.</w:t>
            </w:r>
          </w:p>
          <w:p w14:paraId="5A63427B" w14:textId="04F34711" w:rsidR="007E3B6E" w:rsidRPr="0091450A" w:rsidRDefault="003320D8" w:rsidP="002D613F">
            <w:pPr>
              <w:pStyle w:val="ListParagraph"/>
              <w:numPr>
                <w:ilvl w:val="0"/>
                <w:numId w:val="9"/>
              </w:numPr>
              <w:spacing w:before="40" w:after="40"/>
              <w:contextualSpacing w:val="0"/>
              <w:rPr>
                <w:rFonts w:cs="Times New Roman"/>
                <w:szCs w:val="20"/>
                <w:lang w:eastAsia="en-NZ"/>
              </w:rPr>
            </w:pPr>
            <w:r w:rsidRPr="0091450A">
              <w:rPr>
                <w:rFonts w:cs="Times New Roman"/>
                <w:szCs w:val="20"/>
                <w:lang w:eastAsia="en-NZ"/>
              </w:rPr>
              <w:t xml:space="preserve">The </w:t>
            </w:r>
            <w:r w:rsidR="007E3B6E" w:rsidRPr="0091450A">
              <w:rPr>
                <w:rFonts w:cs="Times New Roman"/>
                <w:szCs w:val="20"/>
                <w:lang w:eastAsia="en-NZ"/>
              </w:rPr>
              <w:t>ANA website</w:t>
            </w:r>
            <w:r w:rsidRPr="0091450A">
              <w:rPr>
                <w:rFonts w:cs="Times New Roman"/>
                <w:szCs w:val="20"/>
                <w:lang w:eastAsia="en-NZ"/>
              </w:rPr>
              <w:t xml:space="preserve"> has a number of Workplace Health guides produced by District Health Boards </w:t>
            </w:r>
            <w:r w:rsidR="00436C2C" w:rsidRPr="0091450A">
              <w:rPr>
                <w:rFonts w:cs="Times New Roman"/>
                <w:szCs w:val="20"/>
                <w:lang w:eastAsia="en-NZ"/>
              </w:rPr>
              <w:fldChar w:fldCharType="begin" w:fldLock="1"/>
            </w:r>
            <w:r w:rsidR="009C4029">
              <w:rPr>
                <w:rFonts w:cs="Times New Roman"/>
                <w:szCs w:val="20"/>
                <w:lang w:eastAsia="en-NZ"/>
              </w:rPr>
              <w:instrText>ADDIN CSL_CITATION {"citationItems":[{"id":"ITEM-1","itemData":{"URL":"http://ana.org.nz/resource-category/workplace-wellness/","author":[{"dropping-particle":"","family":"Activity &amp; Nutrition Aotearoa","given":"","non-dropping-particle":"","parse-names":false,"suffix":""}],"id":"ITEM-1","issue":"24/3/2017","issued":{"date-parts":[["2017"]]},"title":"Workplace Wellness","type":"webpage","volume":"2017"},"uris":["http://www.mendeley.com/documents/?uuid=6b0f6222-f501-3fed-ab28-31f21305ab55","http://www.mendeley.com/documents/?uuid=519b3f81-e815-44fc-9497-2f3b1da4d016"]}],"mendeley":{"formattedCitation":"(131)","plainTextFormattedCitation":"(131)","previouslyFormattedCitation":"(131)"},"properties":{"noteIndex":0},"schema":"https://github.com/citation-style-language/schema/raw/master/csl-citation.json"}</w:instrText>
            </w:r>
            <w:r w:rsidR="00436C2C" w:rsidRPr="0091450A">
              <w:rPr>
                <w:rFonts w:cs="Times New Roman"/>
                <w:szCs w:val="20"/>
                <w:lang w:eastAsia="en-NZ"/>
              </w:rPr>
              <w:fldChar w:fldCharType="separate"/>
            </w:r>
            <w:r w:rsidR="004C06EB" w:rsidRPr="004C06EB">
              <w:rPr>
                <w:rFonts w:cs="Times New Roman"/>
                <w:noProof/>
                <w:szCs w:val="20"/>
                <w:lang w:eastAsia="en-NZ"/>
              </w:rPr>
              <w:t>(131)</w:t>
            </w:r>
            <w:r w:rsidR="00436C2C" w:rsidRPr="0091450A">
              <w:rPr>
                <w:rFonts w:cs="Times New Roman"/>
                <w:szCs w:val="20"/>
                <w:lang w:eastAsia="en-NZ"/>
              </w:rPr>
              <w:fldChar w:fldCharType="end"/>
            </w:r>
            <w:r w:rsidR="00436C2C" w:rsidRPr="0091450A">
              <w:rPr>
                <w:rFonts w:cs="Times New Roman"/>
                <w:szCs w:val="20"/>
                <w:lang w:eastAsia="en-NZ"/>
              </w:rPr>
              <w:t xml:space="preserve">. </w:t>
            </w:r>
            <w:r w:rsidR="007E3B6E" w:rsidRPr="0091450A">
              <w:rPr>
                <w:rFonts w:cs="Times New Roman"/>
                <w:szCs w:val="20"/>
                <w:lang w:eastAsia="en-NZ"/>
              </w:rPr>
              <w:t xml:space="preserve">Sport Northland </w:t>
            </w:r>
            <w:r w:rsidR="00473CC5" w:rsidRPr="0091450A">
              <w:rPr>
                <w:rFonts w:cs="Times New Roman"/>
                <w:szCs w:val="20"/>
                <w:lang w:eastAsia="en-NZ"/>
              </w:rPr>
              <w:t>has Active Workplace programme which supports workplaces to create healthier environments</w:t>
            </w:r>
            <w:r w:rsidR="009C4029">
              <w:rPr>
                <w:rFonts w:cs="Times New Roman"/>
                <w:szCs w:val="20"/>
                <w:lang w:eastAsia="en-NZ"/>
              </w:rPr>
              <w:t xml:space="preserve"> </w:t>
            </w:r>
            <w:r w:rsidR="009C4029">
              <w:rPr>
                <w:rFonts w:cs="Times New Roman"/>
                <w:szCs w:val="20"/>
                <w:lang w:eastAsia="en-NZ"/>
              </w:rPr>
              <w:fldChar w:fldCharType="begin" w:fldLock="1"/>
            </w:r>
            <w:r w:rsidR="00EC12A7">
              <w:rPr>
                <w:rFonts w:cs="Times New Roman"/>
                <w:szCs w:val="20"/>
                <w:lang w:eastAsia="en-NZ"/>
              </w:rPr>
              <w:instrText>ADDIN CSL_CITATION {"citationItems":[{"id":"ITEM-1","itemData":{"URL":"https://www.sportnorthland.co.nz/get-active/active-workplaces","accessed":{"date-parts":[["2020","2","13"]]},"author":[{"dropping-particle":"","family":"Sport Northland","given":"","non-dropping-particle":"","parse-names":false,"suffix":""}],"id":"ITEM-1","issued":{"date-parts":[["2018"]]},"title":"Active Workplace Programme","type":"webpage"},"uris":["http://www.mendeley.com/documents/?uuid=715bd279-73c8-33c4-af2e-becaf43327e9"]}],"mendeley":{"formattedCitation":"(132)","plainTextFormattedCitation":"(132)","previouslyFormattedCitation":"(132)"},"properties":{"noteIndex":0},"schema":"https://github.com/citation-style-language/schema/raw/master/csl-citation.json"}</w:instrText>
            </w:r>
            <w:r w:rsidR="009C4029">
              <w:rPr>
                <w:rFonts w:cs="Times New Roman"/>
                <w:szCs w:val="20"/>
                <w:lang w:eastAsia="en-NZ"/>
              </w:rPr>
              <w:fldChar w:fldCharType="separate"/>
            </w:r>
            <w:r w:rsidR="009C4029" w:rsidRPr="009C4029">
              <w:rPr>
                <w:rFonts w:cs="Times New Roman"/>
                <w:noProof/>
                <w:szCs w:val="20"/>
                <w:lang w:eastAsia="en-NZ"/>
              </w:rPr>
              <w:t>(132)</w:t>
            </w:r>
            <w:r w:rsidR="009C4029">
              <w:rPr>
                <w:rFonts w:cs="Times New Roman"/>
                <w:szCs w:val="20"/>
                <w:lang w:eastAsia="en-NZ"/>
              </w:rPr>
              <w:fldChar w:fldCharType="end"/>
            </w:r>
            <w:r w:rsidR="00473CC5" w:rsidRPr="0091450A">
              <w:rPr>
                <w:rFonts w:cs="Times New Roman"/>
                <w:szCs w:val="20"/>
                <w:lang w:eastAsia="en-NZ"/>
              </w:rPr>
              <w:t>. The focus is on activity and workplaces can choose additional key focus areas like nutrition.</w:t>
            </w:r>
          </w:p>
          <w:p w14:paraId="79B28ECC" w14:textId="5341D8CC" w:rsidR="00BE1ADE" w:rsidRDefault="00B51604" w:rsidP="002D613F">
            <w:pPr>
              <w:pStyle w:val="ListParagraph"/>
              <w:numPr>
                <w:ilvl w:val="0"/>
                <w:numId w:val="9"/>
              </w:numPr>
              <w:spacing w:before="40" w:after="40"/>
              <w:contextualSpacing w:val="0"/>
              <w:rPr>
                <w:rFonts w:cs="Times New Roman"/>
                <w:szCs w:val="20"/>
                <w:lang w:eastAsia="en-NZ"/>
              </w:rPr>
            </w:pPr>
            <w:r w:rsidRPr="0091450A">
              <w:rPr>
                <w:rFonts w:cs="Times New Roman"/>
                <w:szCs w:val="20"/>
                <w:lang w:eastAsia="en-NZ"/>
              </w:rPr>
              <w:t>Pacific Heartbeat offer</w:t>
            </w:r>
            <w:r w:rsidR="00066E2B">
              <w:rPr>
                <w:rFonts w:cs="Times New Roman"/>
                <w:szCs w:val="20"/>
                <w:lang w:eastAsia="en-NZ"/>
              </w:rPr>
              <w:t>s</w:t>
            </w:r>
            <w:r w:rsidRPr="0091450A">
              <w:rPr>
                <w:rFonts w:cs="Times New Roman"/>
                <w:szCs w:val="20"/>
                <w:lang w:eastAsia="en-NZ"/>
              </w:rPr>
              <w:t xml:space="preserve"> a variety of nutrition courses which caterers could attend. The Pacific community nutrition course is a short course that teaches participants to plan cheap and tasty meals. The Pacific workforce nutrition course is for health professionals and those that support Pacific communities to learn about the benefits of good nutrition. The AUT Certificate in Proficiency in Pacific Nutrition focuses on the relationship between the types of food consumed and the health impact</w:t>
            </w:r>
            <w:r w:rsidR="00065A42">
              <w:rPr>
                <w:rFonts w:cs="Times New Roman"/>
                <w:szCs w:val="20"/>
                <w:lang w:eastAsia="en-NZ"/>
              </w:rPr>
              <w:t xml:space="preserve"> </w:t>
            </w:r>
            <w:r w:rsidR="00065A42">
              <w:rPr>
                <w:rFonts w:cs="Times New Roman"/>
                <w:szCs w:val="20"/>
                <w:lang w:eastAsia="en-NZ"/>
              </w:rPr>
              <w:fldChar w:fldCharType="begin" w:fldLock="1"/>
            </w:r>
            <w:r w:rsidR="00EC12A7">
              <w:rPr>
                <w:rFonts w:cs="Times New Roman"/>
                <w:szCs w:val="20"/>
                <w:lang w:eastAsia="en-NZ"/>
              </w:rPr>
              <w:instrText>ADDIN CSL_CITATION {"citationItems":[{"id":"ITEM-1","itemData":{"URL":"https://www.heartfoundation.org.nz/your-heart/pacific-heartbeat/nutrition-courses","accessed":{"date-parts":[["2020","2","5"]]},"author":[{"dropping-particle":"","family":"Heart Foundation","given":"","non-dropping-particle":"","parse-names":false,"suffix":""}],"id":"ITEM-1","issued":{"date-parts":[["2019"]]},"title":"Pacific nutrition courses - Heart Foundation","type":"webpage"},"uris":["http://www.mendeley.com/documents/?uuid=b68aa028-5214-3c7d-9e72-f940cf1d20db"]}],"mendeley":{"formattedCitation":"(133)","plainTextFormattedCitation":"(133)","previouslyFormattedCitation":"(133)"},"properties":{"noteIndex":0},"schema":"https://github.com/citation-style-language/schema/raw/master/csl-citation.json"}</w:instrText>
            </w:r>
            <w:r w:rsidR="00065A42">
              <w:rPr>
                <w:rFonts w:cs="Times New Roman"/>
                <w:szCs w:val="20"/>
                <w:lang w:eastAsia="en-NZ"/>
              </w:rPr>
              <w:fldChar w:fldCharType="separate"/>
            </w:r>
            <w:r w:rsidR="009C4029" w:rsidRPr="009C4029">
              <w:rPr>
                <w:rFonts w:cs="Times New Roman"/>
                <w:noProof/>
                <w:szCs w:val="20"/>
                <w:lang w:eastAsia="en-NZ"/>
              </w:rPr>
              <w:t>(133)</w:t>
            </w:r>
            <w:r w:rsidR="00065A42">
              <w:rPr>
                <w:rFonts w:cs="Times New Roman"/>
                <w:szCs w:val="20"/>
                <w:lang w:eastAsia="en-NZ"/>
              </w:rPr>
              <w:fldChar w:fldCharType="end"/>
            </w:r>
            <w:r w:rsidRPr="0091450A">
              <w:rPr>
                <w:rFonts w:cs="Times New Roman"/>
                <w:szCs w:val="20"/>
                <w:lang w:eastAsia="en-NZ"/>
              </w:rPr>
              <w:t xml:space="preserve">. </w:t>
            </w:r>
          </w:p>
          <w:p w14:paraId="75891AAE" w14:textId="77777777" w:rsidR="00471C3A" w:rsidRDefault="004765C2" w:rsidP="00471C3A">
            <w:pPr>
              <w:pStyle w:val="ListParagraph"/>
              <w:numPr>
                <w:ilvl w:val="0"/>
                <w:numId w:val="9"/>
              </w:numPr>
              <w:shd w:val="clear" w:color="auto" w:fill="FFFFFF"/>
              <w:rPr>
                <w:rFonts w:cs="Times New Roman"/>
                <w:szCs w:val="20"/>
                <w:lang w:eastAsia="en-NZ"/>
              </w:rPr>
            </w:pPr>
            <w:proofErr w:type="spellStart"/>
            <w:r w:rsidRPr="00A62702">
              <w:rPr>
                <w:rFonts w:cs="Times New Roman"/>
                <w:szCs w:val="20"/>
                <w:lang w:eastAsia="en-NZ"/>
              </w:rPr>
              <w:t>Tairawhiti</w:t>
            </w:r>
            <w:proofErr w:type="spellEnd"/>
            <w:r w:rsidRPr="00A62702">
              <w:rPr>
                <w:rFonts w:cs="Times New Roman"/>
                <w:szCs w:val="20"/>
                <w:lang w:eastAsia="en-NZ"/>
              </w:rPr>
              <w:t xml:space="preserve"> DHB - </w:t>
            </w:r>
            <w:r w:rsidR="00A62702" w:rsidRPr="007159FF">
              <w:rPr>
                <w:rFonts w:cs="Times New Roman"/>
                <w:szCs w:val="20"/>
                <w:lang w:eastAsia="en-NZ"/>
              </w:rPr>
              <w:t>c</w:t>
            </w:r>
            <w:r w:rsidRPr="007159FF">
              <w:rPr>
                <w:rFonts w:cs="Times New Roman"/>
                <w:szCs w:val="20"/>
                <w:lang w:eastAsia="en-NZ"/>
              </w:rPr>
              <w:t>ontribut</w:t>
            </w:r>
            <w:r w:rsidR="00A62702" w:rsidRPr="007159FF">
              <w:rPr>
                <w:rFonts w:cs="Times New Roman"/>
                <w:szCs w:val="20"/>
                <w:lang w:eastAsia="en-NZ"/>
              </w:rPr>
              <w:t>es</w:t>
            </w:r>
            <w:r w:rsidRPr="007159FF">
              <w:rPr>
                <w:rFonts w:cs="Times New Roman"/>
                <w:szCs w:val="20"/>
                <w:lang w:eastAsia="en-NZ"/>
              </w:rPr>
              <w:t xml:space="preserve"> toward</w:t>
            </w:r>
            <w:r w:rsidR="00A62702" w:rsidRPr="007159FF">
              <w:rPr>
                <w:rFonts w:cs="Times New Roman"/>
                <w:szCs w:val="20"/>
                <w:lang w:eastAsia="en-NZ"/>
              </w:rPr>
              <w:t>s</w:t>
            </w:r>
            <w:r w:rsidRPr="007159FF">
              <w:rPr>
                <w:rFonts w:cs="Times New Roman"/>
                <w:szCs w:val="20"/>
                <w:lang w:eastAsia="en-NZ"/>
              </w:rPr>
              <w:t xml:space="preserve"> a Midland School/Kura Milk and Water only policy survey and assist</w:t>
            </w:r>
            <w:r w:rsidR="00454494">
              <w:rPr>
                <w:rFonts w:cs="Times New Roman"/>
                <w:szCs w:val="20"/>
                <w:lang w:eastAsia="en-NZ"/>
              </w:rPr>
              <w:t>s</w:t>
            </w:r>
            <w:r w:rsidRPr="007159FF">
              <w:rPr>
                <w:rFonts w:cs="Times New Roman"/>
                <w:szCs w:val="20"/>
                <w:lang w:eastAsia="en-NZ"/>
              </w:rPr>
              <w:t xml:space="preserve"> Schools/Kura with policy development</w:t>
            </w:r>
            <w:r w:rsidR="00A62702" w:rsidRPr="007159FF">
              <w:rPr>
                <w:rFonts w:cs="Times New Roman"/>
                <w:szCs w:val="20"/>
                <w:lang w:eastAsia="en-NZ"/>
              </w:rPr>
              <w:t>; p</w:t>
            </w:r>
            <w:r w:rsidRPr="007159FF">
              <w:rPr>
                <w:rFonts w:cs="Times New Roman"/>
                <w:szCs w:val="20"/>
                <w:lang w:eastAsia="en-NZ"/>
              </w:rPr>
              <w:t>rovid</w:t>
            </w:r>
            <w:r w:rsidR="00A62702" w:rsidRPr="007159FF">
              <w:rPr>
                <w:rFonts w:cs="Times New Roman"/>
                <w:szCs w:val="20"/>
                <w:lang w:eastAsia="en-NZ"/>
              </w:rPr>
              <w:t>es</w:t>
            </w:r>
            <w:r w:rsidRPr="007159FF">
              <w:rPr>
                <w:rFonts w:cs="Times New Roman"/>
                <w:szCs w:val="20"/>
                <w:lang w:eastAsia="en-NZ"/>
              </w:rPr>
              <w:t xml:space="preserve"> support to Maori Women’s Welfare League to promote ‘ </w:t>
            </w:r>
            <w:proofErr w:type="spellStart"/>
            <w:r w:rsidRPr="007159FF">
              <w:rPr>
                <w:rFonts w:cs="Times New Roman"/>
                <w:szCs w:val="20"/>
                <w:lang w:eastAsia="en-NZ"/>
              </w:rPr>
              <w:t>Kapata</w:t>
            </w:r>
            <w:proofErr w:type="spellEnd"/>
            <w:r w:rsidRPr="007159FF">
              <w:rPr>
                <w:rFonts w:cs="Times New Roman"/>
                <w:szCs w:val="20"/>
                <w:lang w:eastAsia="en-NZ"/>
              </w:rPr>
              <w:t xml:space="preserve"> Kai’ ( Healthy Kai in the homes )</w:t>
            </w:r>
            <w:r w:rsidR="00A62702" w:rsidRPr="007159FF">
              <w:rPr>
                <w:rFonts w:cs="Times New Roman"/>
                <w:szCs w:val="20"/>
                <w:lang w:eastAsia="en-NZ"/>
              </w:rPr>
              <w:t xml:space="preserve">; </w:t>
            </w:r>
            <w:r w:rsidRPr="007159FF">
              <w:rPr>
                <w:rFonts w:cs="Times New Roman"/>
                <w:szCs w:val="20"/>
                <w:lang w:eastAsia="en-NZ"/>
              </w:rPr>
              <w:t>Promot</w:t>
            </w:r>
            <w:r w:rsidR="00A62702" w:rsidRPr="007159FF">
              <w:rPr>
                <w:rFonts w:cs="Times New Roman"/>
                <w:szCs w:val="20"/>
                <w:lang w:eastAsia="en-NZ"/>
              </w:rPr>
              <w:t>es</w:t>
            </w:r>
            <w:r w:rsidRPr="007159FF">
              <w:rPr>
                <w:rFonts w:cs="Times New Roman"/>
                <w:szCs w:val="20"/>
                <w:lang w:eastAsia="en-NZ"/>
              </w:rPr>
              <w:t xml:space="preserve"> ‘ Ae to </w:t>
            </w:r>
            <w:proofErr w:type="spellStart"/>
            <w:r w:rsidRPr="007159FF">
              <w:rPr>
                <w:rFonts w:cs="Times New Roman"/>
                <w:szCs w:val="20"/>
                <w:lang w:eastAsia="en-NZ"/>
              </w:rPr>
              <w:t>wai</w:t>
            </w:r>
            <w:proofErr w:type="spellEnd"/>
            <w:r w:rsidRPr="007159FF">
              <w:rPr>
                <w:rFonts w:cs="Times New Roman"/>
                <w:szCs w:val="20"/>
                <w:lang w:eastAsia="en-NZ"/>
              </w:rPr>
              <w:t xml:space="preserve"> ‘ water only and Healthy Kai at our  annual ‘Pa Wars’</w:t>
            </w:r>
            <w:r w:rsidR="00A62702" w:rsidRPr="007159FF">
              <w:rPr>
                <w:rFonts w:cs="Times New Roman"/>
                <w:szCs w:val="20"/>
                <w:lang w:eastAsia="en-NZ"/>
              </w:rPr>
              <w:t>; w</w:t>
            </w:r>
            <w:r w:rsidRPr="007159FF">
              <w:rPr>
                <w:rFonts w:cs="Times New Roman"/>
                <w:szCs w:val="20"/>
                <w:lang w:eastAsia="en-NZ"/>
              </w:rPr>
              <w:t>ork</w:t>
            </w:r>
            <w:r w:rsidR="00A62702" w:rsidRPr="007159FF">
              <w:rPr>
                <w:rFonts w:cs="Times New Roman"/>
                <w:szCs w:val="20"/>
                <w:lang w:eastAsia="en-NZ"/>
              </w:rPr>
              <w:t>s</w:t>
            </w:r>
            <w:r w:rsidRPr="007159FF">
              <w:rPr>
                <w:rFonts w:cs="Times New Roman"/>
                <w:szCs w:val="20"/>
                <w:lang w:eastAsia="en-NZ"/>
              </w:rPr>
              <w:t xml:space="preserve"> in collaboration with Toi </w:t>
            </w:r>
            <w:proofErr w:type="spellStart"/>
            <w:r w:rsidRPr="007159FF">
              <w:rPr>
                <w:rFonts w:cs="Times New Roman"/>
                <w:szCs w:val="20"/>
                <w:lang w:eastAsia="en-NZ"/>
              </w:rPr>
              <w:t>Tangata</w:t>
            </w:r>
            <w:proofErr w:type="spellEnd"/>
            <w:r w:rsidRPr="007159FF">
              <w:rPr>
                <w:rFonts w:cs="Times New Roman"/>
                <w:szCs w:val="20"/>
                <w:lang w:eastAsia="en-NZ"/>
              </w:rPr>
              <w:t xml:space="preserve"> to promote  ‘He Pi </w:t>
            </w:r>
            <w:proofErr w:type="spellStart"/>
            <w:r w:rsidRPr="007159FF">
              <w:rPr>
                <w:rFonts w:cs="Times New Roman"/>
                <w:szCs w:val="20"/>
                <w:lang w:eastAsia="en-NZ"/>
              </w:rPr>
              <w:t>Karere</w:t>
            </w:r>
            <w:proofErr w:type="spellEnd"/>
            <w:r w:rsidRPr="007159FF">
              <w:rPr>
                <w:rFonts w:cs="Times New Roman"/>
                <w:szCs w:val="20"/>
                <w:lang w:eastAsia="en-NZ"/>
              </w:rPr>
              <w:t xml:space="preserve"> ‘ (Healthy Eating) in </w:t>
            </w:r>
            <w:proofErr w:type="spellStart"/>
            <w:r w:rsidRPr="007159FF">
              <w:rPr>
                <w:rFonts w:cs="Times New Roman"/>
                <w:szCs w:val="20"/>
                <w:lang w:eastAsia="en-NZ"/>
              </w:rPr>
              <w:t>Kohanga</w:t>
            </w:r>
            <w:proofErr w:type="spellEnd"/>
            <w:r w:rsidRPr="007159FF">
              <w:rPr>
                <w:rFonts w:cs="Times New Roman"/>
                <w:szCs w:val="20"/>
                <w:lang w:eastAsia="en-NZ"/>
              </w:rPr>
              <w:t xml:space="preserve"> </w:t>
            </w:r>
            <w:proofErr w:type="spellStart"/>
            <w:r w:rsidRPr="007159FF">
              <w:rPr>
                <w:rFonts w:cs="Times New Roman"/>
                <w:szCs w:val="20"/>
                <w:lang w:eastAsia="en-NZ"/>
              </w:rPr>
              <w:t>reo</w:t>
            </w:r>
            <w:proofErr w:type="spellEnd"/>
            <w:r w:rsidR="00A62702" w:rsidRPr="007159FF">
              <w:rPr>
                <w:rFonts w:cs="Times New Roman"/>
                <w:szCs w:val="20"/>
                <w:lang w:eastAsia="en-NZ"/>
              </w:rPr>
              <w:t>; and p</w:t>
            </w:r>
            <w:r w:rsidRPr="007159FF">
              <w:rPr>
                <w:rFonts w:cs="Times New Roman"/>
                <w:szCs w:val="20"/>
                <w:lang w:eastAsia="en-NZ"/>
              </w:rPr>
              <w:t>romot</w:t>
            </w:r>
            <w:r w:rsidR="00A62702" w:rsidRPr="007159FF">
              <w:rPr>
                <w:rFonts w:cs="Times New Roman"/>
                <w:szCs w:val="20"/>
                <w:lang w:eastAsia="en-NZ"/>
              </w:rPr>
              <w:t>es</w:t>
            </w:r>
            <w:r w:rsidRPr="007159FF">
              <w:rPr>
                <w:rFonts w:cs="Times New Roman"/>
                <w:szCs w:val="20"/>
                <w:lang w:eastAsia="en-NZ"/>
              </w:rPr>
              <w:t xml:space="preserve"> community and whanau ‘</w:t>
            </w:r>
            <w:proofErr w:type="spellStart"/>
            <w:r w:rsidRPr="007159FF">
              <w:rPr>
                <w:rFonts w:cs="Times New Roman"/>
                <w:szCs w:val="20"/>
                <w:lang w:eastAsia="en-NZ"/>
              </w:rPr>
              <w:t>maara</w:t>
            </w:r>
            <w:proofErr w:type="spellEnd"/>
            <w:r w:rsidRPr="007159FF">
              <w:rPr>
                <w:rFonts w:cs="Times New Roman"/>
                <w:szCs w:val="20"/>
                <w:lang w:eastAsia="en-NZ"/>
              </w:rPr>
              <w:t xml:space="preserve"> Kai ‘( vegetable gardens)  among rural coastal communities and schools/</w:t>
            </w:r>
            <w:proofErr w:type="spellStart"/>
            <w:r w:rsidRPr="007159FF">
              <w:rPr>
                <w:rFonts w:cs="Times New Roman"/>
                <w:szCs w:val="20"/>
                <w:lang w:eastAsia="en-NZ"/>
              </w:rPr>
              <w:t>kura</w:t>
            </w:r>
            <w:proofErr w:type="spellEnd"/>
            <w:r w:rsidRPr="007159FF">
              <w:rPr>
                <w:rFonts w:cs="Times New Roman"/>
                <w:szCs w:val="20"/>
                <w:lang w:eastAsia="en-NZ"/>
              </w:rPr>
              <w:t>.   </w:t>
            </w:r>
          </w:p>
          <w:p w14:paraId="7F0934E6" w14:textId="2568FE82" w:rsidR="004765C2" w:rsidRPr="007159FF" w:rsidRDefault="00AE321C" w:rsidP="007159FF">
            <w:pPr>
              <w:pStyle w:val="ListParagraph"/>
              <w:numPr>
                <w:ilvl w:val="0"/>
                <w:numId w:val="9"/>
              </w:numPr>
              <w:shd w:val="clear" w:color="auto" w:fill="FFFFFF"/>
              <w:rPr>
                <w:rFonts w:cs="Times New Roman"/>
                <w:szCs w:val="20"/>
                <w:lang w:eastAsia="en-NZ"/>
              </w:rPr>
            </w:pPr>
            <w:r>
              <w:rPr>
                <w:rFonts w:cs="Times New Roman"/>
                <w:szCs w:val="20"/>
                <w:lang w:eastAsia="en-NZ"/>
              </w:rPr>
              <w:t xml:space="preserve">Southern Canterbury District Health Board: </w:t>
            </w:r>
            <w:r w:rsidR="00471C3A" w:rsidRPr="007159FF">
              <w:rPr>
                <w:rFonts w:cs="Times New Roman"/>
                <w:szCs w:val="20"/>
                <w:lang w:eastAsia="en-NZ"/>
              </w:rPr>
              <w:t>The WAVE (Wellbeing and Vitality in Education) team enabled ECE, schools and tertiary settings who identified nutrition as a health priority to work in areas such as policy development, promotion of water-only events and policy, ECE and school gardens, ECE and school lunch ideas and curriculum links. The WAVE magazine produced and distributed to all South Canterbury ECE, schools and tertiary providers x4/year included nutrition information amongst other health issues.</w:t>
            </w:r>
          </w:p>
          <w:p w14:paraId="51C5BB9A" w14:textId="77777777" w:rsidR="00FC5781" w:rsidRPr="0091450A" w:rsidRDefault="00FC5781" w:rsidP="002D613F">
            <w:pPr>
              <w:rPr>
                <w:rFonts w:cs="Times New Roman"/>
                <w:b/>
                <w:color w:val="1F497D" w:themeColor="text2"/>
                <w:szCs w:val="20"/>
                <w:lang w:eastAsia="en-NZ"/>
              </w:rPr>
            </w:pPr>
          </w:p>
          <w:p w14:paraId="0D7D9234" w14:textId="147A62FE"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030AAB8C" w14:textId="22DB475E" w:rsidR="007063E4" w:rsidRPr="0091450A" w:rsidRDefault="007063E4" w:rsidP="007159FF">
            <w:pPr>
              <w:pStyle w:val="ListParagraph"/>
              <w:keepNext/>
              <w:numPr>
                <w:ilvl w:val="0"/>
                <w:numId w:val="24"/>
              </w:numPr>
              <w:shd w:val="clear" w:color="auto" w:fill="FFFFFF" w:themeFill="background1"/>
              <w:spacing w:before="40" w:after="40"/>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xml:space="preserve">: The Healthy Eating Advisory Service supports settings such as childcare centres, schools, workplaces, health services, food outlets, parks and sporting centres to provide healthy foods and drinks </w:t>
            </w:r>
            <w:r w:rsidRPr="0091450A">
              <w:rPr>
                <w:rFonts w:eastAsia="Times New Roman" w:cs="Times New Roman"/>
                <w:szCs w:val="20"/>
                <w:lang w:eastAsia="en-NZ"/>
              </w:rPr>
              <w:lastRenderedPageBreak/>
              <w:t>to the public in line with Victorian Government policies and guidelines.</w:t>
            </w:r>
            <w:r w:rsidRPr="0091450A">
              <w:rPr>
                <w:szCs w:val="20"/>
              </w:rPr>
              <w:t xml:space="preserve"> </w:t>
            </w:r>
            <w:r w:rsidRPr="0091450A">
              <w:rPr>
                <w:rFonts w:eastAsia="Times New Roman" w:cs="Times New Roman"/>
                <w:szCs w:val="20"/>
                <w:lang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r w:rsidR="004745E3" w:rsidRPr="0091450A">
              <w:rPr>
                <w:rFonts w:eastAsia="Times New Roman" w:cs="Times New Roman"/>
                <w:szCs w:val="20"/>
                <w:lang w:eastAsia="en-NZ"/>
              </w:rPr>
              <w:t xml:space="preserve"> </w:t>
            </w:r>
            <w:r w:rsidR="00A72BCA"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{"citationItems":[{"id":"ITEM-1","itemData":{"id":"ITEM-1","issued":{"date-parts":[["2017"]]},"title":"Healthy Eating Advisory Service. Improving wellbeing through healthy eating.","type":"article-journal"},"uris":["http://www.mendeley.com/documents/?uuid=ca9aab4a-cd7d-3ee5-9268-fe24434b1226","http://www.mendeley.com/documents/?uuid=5a9d7806-0d1b-40fe-8531-d5b0e07dd505"]}],"mendeley":{"formattedCitation":"(134)","plainTextFormattedCitation":"(134)","previouslyFormattedCitation":"(134)"},"properties":{"noteIndex":0},"schema":"https://github.com/citation-style-language/schema/raw/master/csl-citation.json"}</w:instrText>
            </w:r>
            <w:r w:rsidR="00A72BCA"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(134)</w:t>
            </w:r>
            <w:r w:rsidR="00A72BCA" w:rsidRPr="0091450A">
              <w:rPr>
                <w:rFonts w:eastAsia="Times New Roman" w:cs="Times New Roman"/>
                <w:szCs w:val="20"/>
                <w:lang w:eastAsia="en-NZ"/>
              </w:rPr>
              <w:fldChar w:fldCharType="end"/>
            </w:r>
            <w:r w:rsidR="00A72BCA" w:rsidRPr="0091450A">
              <w:rPr>
                <w:rFonts w:eastAsia="Times New Roman" w:cs="Times New Roman"/>
                <w:szCs w:val="20"/>
                <w:lang w:eastAsia="en-NZ"/>
              </w:rPr>
              <w:t>.</w:t>
            </w:r>
          </w:p>
          <w:p w14:paraId="353D2EA1" w14:textId="7E5F50AE" w:rsidR="007063E4" w:rsidRPr="0091450A" w:rsidRDefault="007063E4" w:rsidP="007159FF">
            <w:pPr>
              <w:pStyle w:val="ListParagraph"/>
              <w:keepNext/>
              <w:numPr>
                <w:ilvl w:val="0"/>
                <w:numId w:val="24"/>
              </w:numPr>
              <w:shd w:val="clear" w:color="auto" w:fill="FFFFFF" w:themeFill="background1"/>
              <w:spacing w:before="40" w:after="40"/>
              <w:contextualSpacing w:val="0"/>
              <w:rPr>
                <w:rFonts w:eastAsia="Times New Roman" w:cs="Times New Roman"/>
                <w:lang w:eastAsia="en-NZ"/>
              </w:rPr>
            </w:pPr>
            <w:r w:rsidRPr="0091450A">
              <w:rPr>
                <w:rFonts w:eastAsia="Times New Roman" w:cs="Times New Roman"/>
                <w:b/>
                <w:bCs/>
                <w:lang w:eastAsia="en-NZ"/>
              </w:rPr>
              <w:t>Japan</w:t>
            </w:r>
            <w:r w:rsidRPr="0091450A">
              <w:rPr>
                <w:rFonts w:eastAsia="Times New Roman" w:cs="Times New Roman"/>
                <w:lang w:eastAsia="en-NZ"/>
              </w:rPr>
              <w:t xml:space="preserve">: In 2005, Basic Law on </w:t>
            </w:r>
            <w:proofErr w:type="spellStart"/>
            <w:r w:rsidRPr="0091450A">
              <w:rPr>
                <w:rFonts w:eastAsia="Times New Roman" w:cs="Times New Roman"/>
                <w:lang w:eastAsia="en-NZ"/>
              </w:rPr>
              <w:t>Shokuiku</w:t>
            </w:r>
            <w:proofErr w:type="spellEnd"/>
            <w:r w:rsidRPr="0091450A">
              <w:rPr>
                <w:rFonts w:eastAsia="Times New Roman" w:cs="Times New Roman"/>
                <w:lang w:eastAsia="en-NZ"/>
              </w:rPr>
              <w:t xml:space="preserve"> </w:t>
            </w:r>
            <w:r w:rsidR="00CC1376" w:rsidRPr="0091450A">
              <w:rPr>
                <w:rFonts w:eastAsia="Times New Roman" w:cs="Times New Roman"/>
                <w:lang w:eastAsia="en-NZ"/>
              </w:rPr>
              <w:t>(‘</w:t>
            </w:r>
            <w:proofErr w:type="spellStart"/>
            <w:r w:rsidR="00CC1376" w:rsidRPr="0091450A">
              <w:rPr>
                <w:rFonts w:eastAsia="Times New Roman" w:cs="Times New Roman"/>
                <w:lang w:eastAsia="en-NZ"/>
              </w:rPr>
              <w:t>Shoku</w:t>
            </w:r>
            <w:proofErr w:type="spellEnd"/>
            <w:r w:rsidR="00CC1376" w:rsidRPr="0091450A">
              <w:rPr>
                <w:rFonts w:eastAsia="Times New Roman" w:cs="Times New Roman"/>
                <w:lang w:eastAsia="en-NZ"/>
              </w:rPr>
              <w:t>’ means diet, ‘</w:t>
            </w:r>
            <w:proofErr w:type="spellStart"/>
            <w:r w:rsidR="00CC1376" w:rsidRPr="0091450A">
              <w:rPr>
                <w:rFonts w:eastAsia="Times New Roman" w:cs="Times New Roman"/>
                <w:lang w:eastAsia="en-NZ"/>
              </w:rPr>
              <w:t>iku</w:t>
            </w:r>
            <w:proofErr w:type="spellEnd"/>
            <w:r w:rsidR="00CC1376" w:rsidRPr="0091450A">
              <w:rPr>
                <w:rFonts w:eastAsia="Times New Roman" w:cs="Times New Roman"/>
                <w:lang w:eastAsia="en-NZ"/>
              </w:rPr>
              <w:t xml:space="preserve">’ means growth and education) </w:t>
            </w:r>
            <w:r w:rsidRPr="0091450A">
              <w:rPr>
                <w:rFonts w:eastAsia="Times New Roman" w:cs="Times New Roman"/>
                <w:lang w:eastAsia="en-NZ"/>
              </w:rPr>
              <w:t xml:space="preserve">was enacted and it was the first law that regulates one’s diets and eating habits. It involved Cabinet Office as the leading office to plan, formulate and coordinate </w:t>
            </w:r>
            <w:proofErr w:type="spellStart"/>
            <w:r w:rsidRPr="0091450A">
              <w:rPr>
                <w:rFonts w:eastAsia="Times New Roman" w:cs="Times New Roman"/>
                <w:lang w:eastAsia="en-NZ"/>
              </w:rPr>
              <w:t>Shokuiku</w:t>
            </w:r>
            <w:proofErr w:type="spellEnd"/>
            <w:r w:rsidRPr="0091450A">
              <w:rPr>
                <w:rFonts w:eastAsia="Times New Roman" w:cs="Times New Roman"/>
                <w:lang w:eastAsia="en-NZ"/>
              </w:rPr>
              <w:t xml:space="preserve"> policy and strategy, in collaboration with </w:t>
            </w:r>
            <w:r w:rsidR="002E2BDF" w:rsidRPr="0091450A">
              <w:rPr>
                <w:rFonts w:eastAsia="Times New Roman" w:cs="Times New Roman"/>
                <w:lang w:eastAsia="en-NZ"/>
              </w:rPr>
              <w:t>other Ministries</w:t>
            </w:r>
            <w:r w:rsidRPr="0091450A">
              <w:rPr>
                <w:rFonts w:eastAsia="Times New Roman" w:cs="Times New Roman"/>
                <w:lang w:eastAsia="en-NZ"/>
              </w:rPr>
              <w:t xml:space="preserve">. The laws included several concepts, which are </w:t>
            </w:r>
            <w:r w:rsidR="00066E2B">
              <w:rPr>
                <w:rFonts w:eastAsia="Times New Roman" w:cs="Times New Roman"/>
                <w:lang w:eastAsia="en-NZ"/>
              </w:rPr>
              <w:t xml:space="preserve">the </w:t>
            </w:r>
            <w:r w:rsidRPr="0091450A">
              <w:rPr>
                <w:rFonts w:eastAsia="Times New Roman" w:cs="Times New Roman"/>
                <w:lang w:eastAsia="en-NZ"/>
              </w:rPr>
              <w:t xml:space="preserve">promotion of </w:t>
            </w:r>
            <w:proofErr w:type="spellStart"/>
            <w:r w:rsidRPr="0091450A">
              <w:rPr>
                <w:rFonts w:eastAsia="Times New Roman" w:cs="Times New Roman"/>
                <w:lang w:eastAsia="en-NZ"/>
              </w:rPr>
              <w:t>Shokuiku</w:t>
            </w:r>
            <w:proofErr w:type="spellEnd"/>
            <w:r w:rsidRPr="0091450A">
              <w:rPr>
                <w:rFonts w:eastAsia="Times New Roman" w:cs="Times New Roman"/>
                <w:lang w:eastAsia="en-NZ"/>
              </w:rPr>
              <w:t xml:space="preserve"> at home, schools or nursery schools and promotion of interaction between farm producers and consumers</w:t>
            </w:r>
            <w:r w:rsidR="004745E3" w:rsidRPr="0091450A">
              <w:rPr>
                <w:rFonts w:eastAsia="Times New Roman" w:cs="Times New Roman"/>
                <w:lang w:eastAsia="en-NZ"/>
              </w:rPr>
              <w:t xml:space="preserve"> </w:t>
            </w:r>
            <w:r w:rsidRPr="0091450A">
              <w:rPr>
                <w:rFonts w:eastAsia="Times New Roman" w:cs="Times New Roman"/>
                <w:lang w:eastAsia="en-NZ"/>
              </w:rPr>
              <w:fldChar w:fldCharType="begin" w:fldLock="1"/>
            </w:r>
            <w:r w:rsidR="00EC12A7">
              <w:rPr>
                <w:rFonts w:eastAsia="Times New Roman" w:cs="Times New Roman"/>
                <w:lang w:eastAsia="en-NZ"/>
              </w:rPr>
              <w:instrText>ADDIN CSL_CITATION {"citationItems":[{"id":"ITEM-1","itemData":{"ISBN":"0964-7058 (Print)\r0964-7058 (Linking)","PMID":"22374574","author":[{"dropping-particle":"","family":"Miyoshi","given":"M","non-dropping-particle":"","parse-names":false,"suffix":""},{"dropping-particle":"","family":"Tsuboyama-Kasaoka","given":"N","non-dropping-particle":"","parse-names":false,"suffix":""},{"dropping-particle":"","family":"Nishi","given":"N","non-dropping-particle":"","parse-names":false,"suffix":""}],"container-title":"Asia Pac J Clin Nutr","id":"ITEM-1","issue":"1","issued":{"date-parts":[["2012"]]},"page":"159-162","title":"School-based \"Shokuiku\" program in Japan: application to nutrition education in Asian countries","type":"article-journal","volume":"21"},"uris":["http://www.mendeley.com/documents/?uuid=3e5fbe52-eeba-35cb-a9b7-38407a7b7478","http://www.mendeley.com/documents/?uuid=9058d47d-c16b-4785-9894-3c66833d5939"]}],"mendeley":{"formattedCitation":"(135)","plainTextFormattedCitation":"(135)","previouslyFormattedCitation":"(135)"},"properties":{"noteIndex":0},"schema":"https://github.com/citation-style-language/schema/raw/master/csl-citation.json"}</w:instrText>
            </w:r>
            <w:r w:rsidRPr="0091450A">
              <w:rPr>
                <w:rFonts w:eastAsia="Times New Roman" w:cs="Times New Roman"/>
                <w:lang w:eastAsia="en-NZ"/>
              </w:rPr>
              <w:fldChar w:fldCharType="separate"/>
            </w:r>
            <w:r w:rsidR="009C4029" w:rsidRPr="009C4029">
              <w:rPr>
                <w:rFonts w:eastAsia="Times New Roman" w:cs="Times New Roman"/>
                <w:noProof/>
                <w:lang w:eastAsia="en-NZ"/>
              </w:rPr>
              <w:t>(135)</w:t>
            </w:r>
            <w:r w:rsidRPr="0091450A">
              <w:rPr>
                <w:rFonts w:eastAsia="Times New Roman" w:cs="Times New Roman"/>
                <w:lang w:eastAsia="en-NZ"/>
              </w:rPr>
              <w:fldChar w:fldCharType="end"/>
            </w:r>
            <w:r w:rsidR="5AC0CDEF" w:rsidRPr="0091450A">
              <w:rPr>
                <w:rFonts w:eastAsia="Times New Roman" w:cs="Times New Roman"/>
                <w:lang w:eastAsia="en-NZ"/>
              </w:rPr>
              <w:t>.</w:t>
            </w:r>
            <w:r w:rsidRPr="0091450A">
              <w:rPr>
                <w:rFonts w:eastAsia="Times New Roman" w:cs="Times New Roman"/>
                <w:lang w:eastAsia="en-NZ"/>
              </w:rPr>
              <w:t xml:space="preserve"> Dietitian</w:t>
            </w:r>
            <w:r w:rsidR="00CC1376" w:rsidRPr="0091450A">
              <w:rPr>
                <w:rFonts w:eastAsia="Times New Roman" w:cs="Times New Roman"/>
                <w:lang w:eastAsia="en-NZ"/>
              </w:rPr>
              <w:t>s</w:t>
            </w:r>
            <w:r w:rsidRPr="0091450A">
              <w:rPr>
                <w:rFonts w:eastAsia="Times New Roman" w:cs="Times New Roman"/>
                <w:lang w:eastAsia="en-NZ"/>
              </w:rPr>
              <w:t xml:space="preserve"> </w:t>
            </w:r>
            <w:r w:rsidR="002E2BDF" w:rsidRPr="0091450A">
              <w:rPr>
                <w:rFonts w:eastAsia="Times New Roman" w:cs="Times New Roman"/>
                <w:lang w:eastAsia="en-NZ"/>
              </w:rPr>
              <w:t>play</w:t>
            </w:r>
            <w:r w:rsidR="00CC1376" w:rsidRPr="0091450A">
              <w:rPr>
                <w:rFonts w:eastAsia="Times New Roman" w:cs="Times New Roman"/>
                <w:lang w:eastAsia="en-NZ"/>
              </w:rPr>
              <w:t xml:space="preserve"> </w:t>
            </w:r>
            <w:r w:rsidR="00BD5651" w:rsidRPr="0091450A">
              <w:rPr>
                <w:rFonts w:eastAsia="Times New Roman" w:cs="Times New Roman"/>
                <w:lang w:eastAsia="en-NZ"/>
              </w:rPr>
              <w:t>an important role</w:t>
            </w:r>
            <w:r w:rsidRPr="0091450A">
              <w:rPr>
                <w:rFonts w:eastAsia="Times New Roman" w:cs="Times New Roman"/>
                <w:lang w:eastAsia="en-NZ"/>
              </w:rPr>
              <w:t xml:space="preserve"> to implement </w:t>
            </w:r>
            <w:proofErr w:type="spellStart"/>
            <w:r w:rsidRPr="0091450A">
              <w:rPr>
                <w:rFonts w:eastAsia="Times New Roman" w:cs="Times New Roman"/>
                <w:lang w:eastAsia="en-NZ"/>
              </w:rPr>
              <w:t>Shokuiku</w:t>
            </w:r>
            <w:proofErr w:type="spellEnd"/>
            <w:r w:rsidRPr="0091450A">
              <w:rPr>
                <w:rFonts w:eastAsia="Times New Roman" w:cs="Times New Roman"/>
                <w:lang w:eastAsia="en-NZ"/>
              </w:rPr>
              <w:t xml:space="preserve"> programs by providing guidance in various setting</w:t>
            </w:r>
            <w:r w:rsidR="00CC1376" w:rsidRPr="0091450A">
              <w:rPr>
                <w:rFonts w:eastAsia="Times New Roman" w:cs="Times New Roman"/>
                <w:lang w:eastAsia="en-NZ"/>
              </w:rPr>
              <w:t>s</w:t>
            </w:r>
            <w:r w:rsidRPr="0091450A">
              <w:rPr>
                <w:rFonts w:eastAsia="Times New Roman" w:cs="Times New Roman"/>
                <w:lang w:eastAsia="en-NZ"/>
              </w:rPr>
              <w:t>. In Japan, dietitian</w:t>
            </w:r>
            <w:r w:rsidR="002E2BDF" w:rsidRPr="0091450A">
              <w:rPr>
                <w:rFonts w:eastAsia="Times New Roman" w:cs="Times New Roman"/>
                <w:lang w:eastAsia="en-NZ"/>
              </w:rPr>
              <w:t>s</w:t>
            </w:r>
            <w:r w:rsidRPr="0091450A">
              <w:rPr>
                <w:rFonts w:eastAsia="Times New Roman" w:cs="Times New Roman"/>
                <w:lang w:eastAsia="en-NZ"/>
              </w:rPr>
              <w:t xml:space="preserve"> </w:t>
            </w:r>
            <w:r w:rsidR="002E2BDF" w:rsidRPr="0091450A">
              <w:rPr>
                <w:rFonts w:eastAsia="Times New Roman" w:cs="Times New Roman"/>
                <w:lang w:eastAsia="en-NZ"/>
              </w:rPr>
              <w:t>are</w:t>
            </w:r>
            <w:r w:rsidRPr="0091450A">
              <w:rPr>
                <w:rFonts w:eastAsia="Times New Roman" w:cs="Times New Roman"/>
                <w:lang w:eastAsia="en-NZ"/>
              </w:rPr>
              <w:t xml:space="preserve"> assigned </w:t>
            </w:r>
            <w:r w:rsidR="002E2BDF" w:rsidRPr="0091450A">
              <w:rPr>
                <w:rFonts w:eastAsia="Times New Roman" w:cs="Times New Roman"/>
                <w:lang w:eastAsia="en-NZ"/>
              </w:rPr>
              <w:t>to</w:t>
            </w:r>
            <w:r w:rsidRPr="0091450A">
              <w:rPr>
                <w:rFonts w:eastAsia="Times New Roman" w:cs="Times New Roman"/>
                <w:lang w:eastAsia="en-NZ"/>
              </w:rPr>
              <w:t xml:space="preserve"> facilit</w:t>
            </w:r>
            <w:r w:rsidR="002E2BDF" w:rsidRPr="0091450A">
              <w:rPr>
                <w:rFonts w:eastAsia="Times New Roman" w:cs="Times New Roman"/>
                <w:lang w:eastAsia="en-NZ"/>
              </w:rPr>
              <w:t>ies</w:t>
            </w:r>
            <w:r w:rsidRPr="0091450A">
              <w:rPr>
                <w:rFonts w:eastAsia="Times New Roman" w:cs="Times New Roman"/>
                <w:lang w:eastAsia="en-NZ"/>
              </w:rPr>
              <w:t xml:space="preserve"> with mass food service</w:t>
            </w:r>
            <w:r w:rsidR="002E2BDF" w:rsidRPr="0091450A">
              <w:rPr>
                <w:rFonts w:eastAsia="Times New Roman" w:cs="Times New Roman"/>
                <w:lang w:eastAsia="en-NZ"/>
              </w:rPr>
              <w:t xml:space="preserve">. </w:t>
            </w:r>
            <w:r w:rsidRPr="0091450A">
              <w:rPr>
                <w:rFonts w:eastAsia="Times New Roman" w:cs="Times New Roman"/>
                <w:lang w:eastAsia="en-NZ"/>
              </w:rPr>
              <w:t xml:space="preserve">In </w:t>
            </w:r>
            <w:r w:rsidR="002E2BDF" w:rsidRPr="0091450A">
              <w:rPr>
                <w:rFonts w:eastAsia="Times New Roman" w:cs="Times New Roman"/>
                <w:lang w:eastAsia="en-NZ"/>
              </w:rPr>
              <w:t xml:space="preserve">a </w:t>
            </w:r>
            <w:r w:rsidRPr="0091450A">
              <w:rPr>
                <w:rFonts w:eastAsia="Times New Roman" w:cs="Times New Roman"/>
                <w:lang w:eastAsia="en-NZ"/>
              </w:rPr>
              <w:t>specific setting</w:t>
            </w:r>
            <w:r w:rsidR="002E2BDF" w:rsidRPr="0091450A">
              <w:rPr>
                <w:rFonts w:eastAsia="Times New Roman" w:cs="Times New Roman"/>
                <w:lang w:eastAsia="en-NZ"/>
              </w:rPr>
              <w:t>,</w:t>
            </w:r>
            <w:r w:rsidRPr="0091450A">
              <w:rPr>
                <w:rFonts w:eastAsia="Times New Roman" w:cs="Times New Roman"/>
                <w:lang w:eastAsia="en-NZ"/>
              </w:rPr>
              <w:t xml:space="preserve"> such as </w:t>
            </w:r>
            <w:r w:rsidR="002E2BDF" w:rsidRPr="0091450A">
              <w:rPr>
                <w:rFonts w:eastAsia="Times New Roman" w:cs="Times New Roman"/>
                <w:lang w:eastAsia="en-NZ"/>
              </w:rPr>
              <w:t xml:space="preserve">a </w:t>
            </w:r>
            <w:r w:rsidRPr="0091450A">
              <w:rPr>
                <w:rFonts w:eastAsia="Times New Roman" w:cs="Times New Roman"/>
                <w:lang w:eastAsia="en-NZ"/>
              </w:rPr>
              <w:t xml:space="preserve">school, </w:t>
            </w:r>
            <w:r w:rsidR="002E2BDF" w:rsidRPr="0091450A">
              <w:rPr>
                <w:rFonts w:eastAsia="Times New Roman" w:cs="Times New Roman"/>
                <w:lang w:eastAsia="en-NZ"/>
              </w:rPr>
              <w:t>a</w:t>
            </w:r>
            <w:r w:rsidRPr="0091450A">
              <w:rPr>
                <w:rFonts w:eastAsia="Times New Roman" w:cs="Times New Roman"/>
                <w:lang w:eastAsia="en-NZ"/>
              </w:rPr>
              <w:t xml:space="preserve"> Diet and Nutrition Teacher Sys</w:t>
            </w:r>
            <w:r w:rsidR="00CC1376" w:rsidRPr="0091450A">
              <w:rPr>
                <w:rFonts w:eastAsia="Times New Roman" w:cs="Times New Roman"/>
                <w:lang w:eastAsia="en-NZ"/>
              </w:rPr>
              <w:t xml:space="preserve">tem </w:t>
            </w:r>
            <w:r w:rsidR="002E2BDF" w:rsidRPr="0091450A">
              <w:rPr>
                <w:rFonts w:eastAsia="Times New Roman" w:cs="Times New Roman"/>
                <w:lang w:eastAsia="en-NZ"/>
              </w:rPr>
              <w:t xml:space="preserve">was established </w:t>
            </w:r>
            <w:r w:rsidR="00CC1376" w:rsidRPr="0091450A">
              <w:rPr>
                <w:rFonts w:eastAsia="Times New Roman" w:cs="Times New Roman"/>
                <w:lang w:eastAsia="en-NZ"/>
              </w:rPr>
              <w:t>in 2007. The t</w:t>
            </w:r>
            <w:r w:rsidRPr="0091450A">
              <w:rPr>
                <w:rFonts w:eastAsia="Times New Roman" w:cs="Times New Roman"/>
                <w:lang w:eastAsia="en-NZ"/>
              </w:rPr>
              <w:t>eachers are responsible to supervise school lunch programs, formulate menus and ensure hygiene standards in public elementary schools and junior high schools in accordance with the needs of local communities. They also deal with dietary education issues in collaboration with nutrition experts such as registered dietitian</w:t>
            </w:r>
            <w:r w:rsidR="00CC1376" w:rsidRPr="0091450A">
              <w:rPr>
                <w:rFonts w:eastAsia="Times New Roman" w:cs="Times New Roman"/>
                <w:lang w:eastAsia="en-NZ"/>
              </w:rPr>
              <w:t>s</w:t>
            </w:r>
            <w:r w:rsidRPr="0091450A">
              <w:rPr>
                <w:rFonts w:eastAsia="Times New Roman" w:cs="Times New Roman"/>
                <w:lang w:eastAsia="en-NZ"/>
              </w:rPr>
              <w:t xml:space="preserve"> </w:t>
            </w:r>
            <w:r w:rsidRPr="0091450A">
              <w:rPr>
                <w:rFonts w:eastAsia="Times New Roman" w:cs="Times New Roman"/>
                <w:lang w:eastAsia="en-NZ"/>
              </w:rPr>
              <w:fldChar w:fldCharType="begin" w:fldLock="1"/>
            </w:r>
            <w:r w:rsidR="00EC12A7">
              <w:rPr>
                <w:rFonts w:eastAsia="Times New Roman" w:cs="Times New Roman"/>
                <w:lang w:eastAsia="en-NZ"/>
              </w:rPr>
              <w:instrText>ADDIN CSL_CITATION {"citationItems":[{"id":"ITEM-1","itemData":{"ISBN":"0964-7058 (Print)\r0964-7058 (Linking)","PMID":"22374573","author":[{"dropping-particle":"","family":"Tanaka","given":"N","non-dropping-particle":"","parse-names":false,"suffix":""},{"dropping-particle":"","family":"Miyoshi","given":"M","non-dropping-particle":"","parse-names":false,"suffix":""}],"container-title":"Asia Pac J Clin Nutr","id":"ITEM-1","issue":"1","issued":{"date-parts":[["2012"]]},"page":"155-158","title":"School lunch program for health promotion among children in Japan","type":"article-journal","volume":"21"},"uris":["http://www.mendeley.com/documents/?uuid=376b29b4-100b-35fe-8d02-6035789381e1","http://www.mendeley.com/documents/?uuid=e96700d7-a1fb-4a30-bb10-b5d4d9f9c240"]}],"mendeley":{"formattedCitation":"(136)","plainTextFormattedCitation":"(136)","previouslyFormattedCitation":"(136)"},"properties":{"noteIndex":0},"schema":"https://github.com/citation-style-language/schema/raw/master/csl-citation.json"}</w:instrText>
            </w:r>
            <w:r w:rsidRPr="0091450A">
              <w:rPr>
                <w:rFonts w:eastAsia="Times New Roman" w:cs="Times New Roman"/>
                <w:lang w:eastAsia="en-NZ"/>
              </w:rPr>
              <w:fldChar w:fldCharType="separate"/>
            </w:r>
            <w:r w:rsidR="009C4029" w:rsidRPr="009C4029">
              <w:rPr>
                <w:rFonts w:eastAsia="Times New Roman" w:cs="Times New Roman"/>
                <w:noProof/>
                <w:lang w:eastAsia="en-NZ"/>
              </w:rPr>
              <w:t>(136)</w:t>
            </w:r>
            <w:r w:rsidRPr="0091450A">
              <w:rPr>
                <w:rFonts w:eastAsia="Times New Roman" w:cs="Times New Roman"/>
                <w:lang w:eastAsia="en-NZ"/>
              </w:rPr>
              <w:fldChar w:fldCharType="end"/>
            </w:r>
            <w:r w:rsidR="5AC0CDEF" w:rsidRPr="0091450A">
              <w:rPr>
                <w:rFonts w:eastAsia="Times New Roman" w:cs="Times New Roman"/>
                <w:lang w:eastAsia="en-NZ"/>
              </w:rPr>
              <w:t>.</w:t>
            </w:r>
            <w:r w:rsidRPr="0091450A">
              <w:rPr>
                <w:rFonts w:eastAsia="Times New Roman" w:cs="Times New Roman"/>
                <w:lang w:eastAsia="en-NZ"/>
              </w:rPr>
              <w:t xml:space="preserve"> </w:t>
            </w:r>
            <w:r w:rsidR="002E2BDF" w:rsidRPr="0091450A">
              <w:rPr>
                <w:rFonts w:eastAsia="Times New Roman" w:cs="Times New Roman"/>
                <w:lang w:eastAsia="en-NZ"/>
              </w:rPr>
              <w:t>T</w:t>
            </w:r>
            <w:r w:rsidRPr="0091450A">
              <w:rPr>
                <w:rFonts w:eastAsia="Times New Roman" w:cs="Times New Roman"/>
                <w:lang w:eastAsia="en-NZ"/>
              </w:rPr>
              <w:t xml:space="preserve">he revised School Lunch Act 2008, included </w:t>
            </w:r>
            <w:r w:rsidR="002E2BDF" w:rsidRPr="0091450A">
              <w:rPr>
                <w:rFonts w:eastAsia="Times New Roman" w:cs="Times New Roman"/>
                <w:lang w:eastAsia="en-NZ"/>
              </w:rPr>
              <w:t xml:space="preserve">a </w:t>
            </w:r>
            <w:r w:rsidRPr="0091450A">
              <w:rPr>
                <w:rFonts w:eastAsia="Times New Roman" w:cs="Times New Roman"/>
                <w:lang w:eastAsia="en-NZ"/>
              </w:rPr>
              <w:t xml:space="preserve">School Lunch Practice Standard which including reference intake values of energy and </w:t>
            </w:r>
            <w:r w:rsidR="002E2BDF" w:rsidRPr="0091450A">
              <w:rPr>
                <w:rFonts w:eastAsia="Times New Roman" w:cs="Times New Roman"/>
                <w:lang w:eastAsia="en-NZ"/>
              </w:rPr>
              <w:t>nutrients</w:t>
            </w:r>
            <w:r w:rsidRPr="0091450A">
              <w:rPr>
                <w:rFonts w:eastAsia="Times New Roman" w:cs="Times New Roman"/>
                <w:lang w:eastAsia="en-NZ"/>
              </w:rPr>
              <w:t xml:space="preserve"> </w:t>
            </w:r>
            <w:r w:rsidRPr="0091450A">
              <w:rPr>
                <w:rFonts w:eastAsia="Times New Roman" w:cs="Times New Roman"/>
                <w:lang w:eastAsia="en-NZ"/>
              </w:rPr>
              <w:fldChar w:fldCharType="begin" w:fldLock="1"/>
            </w:r>
            <w:r w:rsidR="00EC12A7">
              <w:rPr>
                <w:rFonts w:eastAsia="Times New Roman" w:cs="Times New Roman"/>
                <w:lang w:eastAsia="en-NZ"/>
              </w:rPr>
              <w:instrText>ADDIN CSL_CITATION {"citationItems":[{"id":"ITEM-1","itemData":{"author":[{"dropping-particle":"","family":"Ministry of Education Culture Sports Science and Technology","given":"","non-dropping-particle":"","parse-names":false,"suffix":""}],"id":"ITEM-1","issued":{"date-parts":[["2009"]]},"publisher":"Ministry of Education, Culture, Sports, Science and Technology.","title":"Reference Intake Values for School Lunch. ","type":"report"},"uris":["http://www.mendeley.com/documents/?uuid=8bc4de9e-0c4e-310e-96cd-8094ead3a497","http://www.mendeley.com/documents/?uuid=485d3b33-76df-4ce1-a93c-0008f1a6c01a"]}],"mendeley":{"formattedCitation":"(137)","plainTextFormattedCitation":"(137)","previouslyFormattedCitation":"(137)"},"properties":{"noteIndex":0},"schema":"https://github.com/citation-style-language/schema/raw/master/csl-citation.json"}</w:instrText>
            </w:r>
            <w:r w:rsidRPr="0091450A">
              <w:rPr>
                <w:rFonts w:eastAsia="Times New Roman" w:cs="Times New Roman"/>
                <w:lang w:eastAsia="en-NZ"/>
              </w:rPr>
              <w:fldChar w:fldCharType="separate"/>
            </w:r>
            <w:r w:rsidR="009C4029" w:rsidRPr="009C4029">
              <w:rPr>
                <w:rFonts w:eastAsia="Times New Roman" w:cs="Times New Roman"/>
                <w:noProof/>
                <w:lang w:eastAsia="en-NZ"/>
              </w:rPr>
              <w:t>(137)</w:t>
            </w:r>
            <w:r w:rsidRPr="0091450A">
              <w:rPr>
                <w:rFonts w:eastAsia="Times New Roman" w:cs="Times New Roman"/>
                <w:lang w:eastAsia="en-NZ"/>
              </w:rPr>
              <w:fldChar w:fldCharType="end"/>
            </w:r>
            <w:r w:rsidR="5AC0CDEF" w:rsidRPr="0091450A">
              <w:rPr>
                <w:rFonts w:eastAsia="Times New Roman" w:cs="Times New Roman"/>
                <w:lang w:eastAsia="en-NZ"/>
              </w:rPr>
              <w:t>.</w:t>
            </w:r>
            <w:r w:rsidRPr="0091450A">
              <w:rPr>
                <w:rFonts w:eastAsia="Times New Roman" w:cs="Times New Roman"/>
                <w:lang w:eastAsia="en-NZ"/>
              </w:rPr>
              <w:t xml:space="preserve"> Moreover, it outlined </w:t>
            </w:r>
            <w:r w:rsidR="00066E2B">
              <w:rPr>
                <w:rFonts w:eastAsia="Times New Roman" w:cs="Times New Roman"/>
                <w:lang w:eastAsia="en-NZ"/>
              </w:rPr>
              <w:t xml:space="preserve">the </w:t>
            </w:r>
            <w:r w:rsidRPr="0091450A">
              <w:rPr>
                <w:rFonts w:eastAsia="Times New Roman" w:cs="Times New Roman"/>
                <w:lang w:eastAsia="en-NZ"/>
              </w:rPr>
              <w:t>cost</w:t>
            </w:r>
            <w:r w:rsidR="00046833" w:rsidRPr="0091450A">
              <w:rPr>
                <w:rFonts w:eastAsia="Times New Roman" w:cs="Times New Roman"/>
                <w:lang w:eastAsia="en-NZ"/>
              </w:rPr>
              <w:t>s of facilities and manpower (</w:t>
            </w:r>
            <w:r w:rsidR="001A37CC" w:rsidRPr="0091450A">
              <w:rPr>
                <w:rFonts w:eastAsia="Times New Roman" w:cs="Times New Roman"/>
                <w:lang w:eastAsia="en-NZ"/>
              </w:rPr>
              <w:t>e.g.</w:t>
            </w:r>
            <w:r w:rsidRPr="0091450A">
              <w:rPr>
                <w:rFonts w:eastAsia="Times New Roman" w:cs="Times New Roman"/>
                <w:lang w:eastAsia="en-NZ"/>
              </w:rPr>
              <w:t xml:space="preserve"> cooks) to be covered by municipalities </w:t>
            </w:r>
            <w:r w:rsidR="0017280F" w:rsidRPr="0091450A">
              <w:rPr>
                <w:rFonts w:eastAsia="Times New Roman" w:cs="Times New Roman"/>
                <w:lang w:eastAsia="en-NZ"/>
              </w:rPr>
              <w:t>so</w:t>
            </w:r>
            <w:r w:rsidRPr="0091450A">
              <w:rPr>
                <w:rFonts w:eastAsia="Times New Roman" w:cs="Times New Roman"/>
                <w:lang w:eastAsia="en-NZ"/>
              </w:rPr>
              <w:t xml:space="preserve"> guardians only cover the cost of ingredients </w:t>
            </w:r>
            <w:r w:rsidRPr="0091450A">
              <w:rPr>
                <w:rFonts w:eastAsia="Times New Roman" w:cs="Times New Roman"/>
                <w:lang w:eastAsia="en-NZ"/>
              </w:rPr>
              <w:fldChar w:fldCharType="begin" w:fldLock="1"/>
            </w:r>
            <w:r w:rsidR="00EC12A7">
              <w:rPr>
                <w:rFonts w:eastAsia="Times New Roman" w:cs="Times New Roman"/>
                <w:lang w:eastAsia="en-NZ"/>
              </w:rPr>
              <w:instrText>ADDIN CSL_CITATION {"citationItems":[{"id":"ITEM-1","itemData":{"author":[{"dropping-particle":"","family":"Ministry of Education Culture Sports Science and Technology","given":"","non-dropping-particle":"","parse-names":false,"suffix":""}],"id":"ITEM-1","issued":{"date-parts":[["2009"]]},"publisher":"Ministry of Education, Culture, Sports, Science and Technology. ","title":"A Study on the Implementation Status of School Lunch Program 2008. ","type":"report"},"uris":["http://www.mendeley.com/documents/?uuid=396e190a-e6ee-3f74-8ff3-fc6d3cf038d4","http://www.mendeley.com/documents/?uuid=cb967fde-8fa8-4bcc-bdd4-cd6fc5e04031"]}],"mendeley":{"formattedCitation":"(138)","plainTextFormattedCitation":"(138)","previouslyFormattedCitation":"(138)"},"properties":{"noteIndex":0},"schema":"https://github.com/citation-style-language/schema/raw/master/csl-citation.json"}</w:instrText>
            </w:r>
            <w:r w:rsidRPr="0091450A">
              <w:rPr>
                <w:rFonts w:eastAsia="Times New Roman" w:cs="Times New Roman"/>
                <w:lang w:eastAsia="en-NZ"/>
              </w:rPr>
              <w:fldChar w:fldCharType="separate"/>
            </w:r>
            <w:r w:rsidR="009C4029" w:rsidRPr="009C4029">
              <w:rPr>
                <w:rFonts w:eastAsia="Times New Roman" w:cs="Times New Roman"/>
                <w:noProof/>
                <w:lang w:eastAsia="en-NZ"/>
              </w:rPr>
              <w:t>(138)</w:t>
            </w:r>
            <w:r w:rsidRPr="0091450A">
              <w:rPr>
                <w:rFonts w:eastAsia="Times New Roman" w:cs="Times New Roman"/>
                <w:lang w:eastAsia="en-NZ"/>
              </w:rPr>
              <w:fldChar w:fldCharType="end"/>
            </w:r>
            <w:r w:rsidR="5AC0CDEF" w:rsidRPr="0091450A">
              <w:rPr>
                <w:rFonts w:eastAsia="Times New Roman" w:cs="Times New Roman"/>
                <w:lang w:eastAsia="en-NZ"/>
              </w:rPr>
              <w:t>.</w:t>
            </w:r>
          </w:p>
          <w:p w14:paraId="0DBC1A07" w14:textId="7771BFDD" w:rsidR="004B0AC3" w:rsidRPr="0091450A" w:rsidRDefault="004B0AC3" w:rsidP="002D613F">
            <w:pPr>
              <w:pStyle w:val="NoSpacing"/>
              <w:jc w:val="both"/>
              <w:rPr>
                <w:highlight w:val="magenta"/>
                <w:lang w:val="en-NZ"/>
              </w:rPr>
            </w:pPr>
            <w:r w:rsidRPr="0091450A">
              <w:rPr>
                <w:highlight w:val="magenta"/>
                <w:lang w:val="en-NZ"/>
              </w:rPr>
              <w:t xml:space="preserve"> </w:t>
            </w:r>
          </w:p>
        </w:tc>
      </w:tr>
    </w:tbl>
    <w:p w14:paraId="06830619" w14:textId="05B837D9" w:rsidR="00AD764E" w:rsidRPr="0091450A" w:rsidRDefault="00AD764E"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322A6D12" w14:textId="77777777" w:rsidTr="00A41587">
        <w:tc>
          <w:tcPr>
            <w:tcW w:w="9209" w:type="dxa"/>
          </w:tcPr>
          <w:p w14:paraId="6B8D98C3" w14:textId="38F2C891" w:rsidR="00AE3D68"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5 </w:t>
            </w:r>
            <w:r w:rsidR="00AE3D68" w:rsidRPr="0091450A">
              <w:rPr>
                <w:rFonts w:cs="Times New Roman"/>
                <w:b/>
                <w:color w:val="1F497D" w:themeColor="text2"/>
                <w:sz w:val="28"/>
                <w:szCs w:val="28"/>
              </w:rPr>
              <w:t xml:space="preserve">FOOD PROVISION: </w:t>
            </w:r>
            <w:r w:rsidR="00775085" w:rsidRPr="0091450A">
              <w:rPr>
                <w:rFonts w:cs="Times New Roman"/>
                <w:bCs/>
                <w:szCs w:val="20"/>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r>
      <w:tr w:rsidR="00AE3D68" w:rsidRPr="0091450A" w14:paraId="4843410C" w14:textId="77777777" w:rsidTr="00A41587">
        <w:tc>
          <w:tcPr>
            <w:tcW w:w="9209" w:type="dxa"/>
          </w:tcPr>
          <w:p w14:paraId="20A72BAD" w14:textId="6E89AA39" w:rsidR="00AE3D68" w:rsidRPr="0091450A" w:rsidRDefault="001B59F5" w:rsidP="002D613F">
            <w:pPr>
              <w:shd w:val="clear" w:color="auto" w:fill="FFFFFF" w:themeFill="background1"/>
              <w:spacing w:before="40" w:after="40"/>
              <w:rPr>
                <w:rFonts w:cs="Times New Roman"/>
                <w:color w:val="000000"/>
                <w:lang w:eastAsia="en-NZ"/>
              </w:rPr>
            </w:pPr>
            <w:bookmarkStart w:id="36" w:name="_Toc31623734"/>
            <w:r w:rsidRPr="0091450A">
              <w:rPr>
                <w:rStyle w:val="Heading3Char"/>
              </w:rPr>
              <w:t>PROV4</w:t>
            </w:r>
            <w:bookmarkEnd w:id="36"/>
            <w:r w:rsidR="00AE3D68" w:rsidRPr="0091450A">
              <w:rPr>
                <w:rFonts w:cs="Times New Roman"/>
                <w:b/>
                <w:color w:val="1F497D" w:themeColor="text2"/>
                <w:sz w:val="28"/>
                <w:szCs w:val="28"/>
              </w:rPr>
              <w:t xml:space="preserve">: </w:t>
            </w:r>
            <w:r w:rsidR="000D1C6C" w:rsidRPr="0091450A">
              <w:rPr>
                <w:rFonts w:cs="Times New Roman"/>
                <w:b/>
                <w:color w:val="000000"/>
                <w:lang w:eastAsia="en-NZ"/>
              </w:rPr>
              <w:t>Government actively encourages and supports private companies to provide and promote healthy foods and meals in their workplaces</w:t>
            </w:r>
          </w:p>
        </w:tc>
      </w:tr>
      <w:tr w:rsidR="00AE3D68" w:rsidRPr="0091450A" w14:paraId="65981C57" w14:textId="77777777" w:rsidTr="00A41587">
        <w:trPr>
          <w:trHeight w:val="1266"/>
        </w:trPr>
        <w:tc>
          <w:tcPr>
            <w:tcW w:w="9209" w:type="dxa"/>
          </w:tcPr>
          <w:p w14:paraId="7589485E" w14:textId="36EFEC54"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EA20F86" w14:textId="3771E752" w:rsidR="003E594E" w:rsidRPr="0091450A" w:rsidRDefault="004E7542" w:rsidP="002D613F">
            <w:pPr>
              <w:pStyle w:val="ListParagraph"/>
              <w:numPr>
                <w:ilvl w:val="0"/>
                <w:numId w:val="27"/>
              </w:numPr>
              <w:shd w:val="clear" w:color="auto" w:fill="FFFFFF" w:themeFill="background1"/>
              <w:spacing w:before="40" w:after="40"/>
              <w:contextualSpacing w:val="0"/>
              <w:rPr>
                <w:szCs w:val="20"/>
              </w:rPr>
            </w:pPr>
            <w:r w:rsidRPr="0091450A">
              <w:rPr>
                <w:rFonts w:cs="Times New Roman"/>
                <w:color w:val="000000"/>
                <w:szCs w:val="20"/>
                <w:lang w:eastAsia="en-NZ"/>
              </w:rPr>
              <w:t>The Health Promotion Agency</w:t>
            </w:r>
            <w:r w:rsidR="003E594E" w:rsidRPr="0091450A">
              <w:rPr>
                <w:rFonts w:cs="Times New Roman"/>
                <w:color w:val="000000"/>
                <w:szCs w:val="20"/>
                <w:lang w:eastAsia="en-NZ"/>
              </w:rPr>
              <w:t xml:space="preserve"> (HPA)</w:t>
            </w:r>
            <w:r w:rsidRPr="0091450A">
              <w:rPr>
                <w:rFonts w:cs="Times New Roman"/>
                <w:color w:val="000000"/>
                <w:szCs w:val="20"/>
                <w:lang w:eastAsia="en-NZ"/>
              </w:rPr>
              <w:t xml:space="preserve"> guide to providing healthier beverage options for workplaces</w:t>
            </w:r>
            <w:r w:rsidR="008F40EC" w:rsidRPr="0091450A">
              <w:rPr>
                <w:rFonts w:cs="Times New Roman"/>
                <w:color w:val="000000"/>
                <w:szCs w:val="20"/>
                <w:lang w:eastAsia="en-NZ"/>
              </w:rPr>
              <w:t xml:space="preserve"> </w:t>
            </w:r>
            <w:r w:rsidR="008F40EC" w:rsidRPr="0091450A">
              <w:rPr>
                <w:rFonts w:cs="Times New Roman"/>
                <w:color w:val="000000"/>
                <w:szCs w:val="20"/>
                <w:lang w:eastAsia="en-NZ"/>
              </w:rPr>
              <w:fldChar w:fldCharType="begin" w:fldLock="1"/>
            </w:r>
            <w:r w:rsidR="00EC12A7">
              <w:rPr>
                <w:rFonts w:cs="Times New Roman"/>
                <w:color w:val="000000"/>
                <w:szCs w:val="20"/>
                <w:lang w:eastAsia="en-NZ"/>
              </w:rPr>
              <w:instrText>ADDIN CSL_CITATION {"citationItems":[{"id":"ITEM-1","itemData":{"author":[{"dropping-particle":"","family":"Health Promotion Agency","given":"","non-dropping-particle":"","parse-names":false,"suffix":""}],"id":"ITEM-1","issued":{"date-parts":[["2013"]]},"publisher":"Health Promotion Agency","publisher-place":"Wellington","title":"Providing healthier beverage options in your workplace","type":"report"},"uris":["http://www.mendeley.com/documents/?uuid=c040adfa-5f20-36ad-a80b-6f23942933d4","http://www.mendeley.com/documents/?uuid=e2626c7d-67ca-4857-887c-a75b4a9dd46b"]}],"mendeley":{"formattedCitation":"(139)","plainTextFormattedCitation":"(139)","previouslyFormattedCitation":"(139)"},"properties":{"noteIndex":0},"schema":"https://github.com/citation-style-language/schema/raw/master/csl-citation.json"}</w:instrText>
            </w:r>
            <w:r w:rsidR="008F40EC" w:rsidRPr="0091450A">
              <w:rPr>
                <w:rFonts w:cs="Times New Roman"/>
                <w:color w:val="000000"/>
                <w:szCs w:val="20"/>
                <w:lang w:eastAsia="en-NZ"/>
              </w:rPr>
              <w:fldChar w:fldCharType="separate"/>
            </w:r>
            <w:r w:rsidR="009C4029" w:rsidRPr="009C4029">
              <w:rPr>
                <w:rFonts w:cs="Times New Roman"/>
                <w:noProof/>
                <w:color w:val="000000"/>
                <w:szCs w:val="20"/>
                <w:lang w:eastAsia="en-NZ"/>
              </w:rPr>
              <w:t>(139)</w:t>
            </w:r>
            <w:r w:rsidR="008F40EC" w:rsidRPr="0091450A">
              <w:rPr>
                <w:rFonts w:cs="Times New Roman"/>
                <w:color w:val="000000"/>
                <w:szCs w:val="20"/>
                <w:lang w:eastAsia="en-NZ"/>
              </w:rPr>
              <w:fldChar w:fldCharType="end"/>
            </w:r>
            <w:r w:rsidR="00361C03" w:rsidRPr="0091450A">
              <w:rPr>
                <w:rFonts w:cs="Times New Roman"/>
                <w:color w:val="000000"/>
                <w:szCs w:val="20"/>
                <w:lang w:eastAsia="en-NZ"/>
              </w:rPr>
              <w:t xml:space="preserve"> </w:t>
            </w:r>
            <w:r w:rsidRPr="0091450A">
              <w:rPr>
                <w:rFonts w:cs="Times New Roman"/>
                <w:color w:val="000000"/>
                <w:szCs w:val="20"/>
                <w:lang w:eastAsia="en-NZ"/>
              </w:rPr>
              <w:t>explain</w:t>
            </w:r>
            <w:r w:rsidR="005B63D3">
              <w:rPr>
                <w:rFonts w:cs="Times New Roman"/>
                <w:color w:val="000000"/>
                <w:szCs w:val="20"/>
                <w:lang w:eastAsia="en-NZ"/>
              </w:rPr>
              <w:t>ed</w:t>
            </w:r>
            <w:r w:rsidRPr="0091450A">
              <w:rPr>
                <w:rFonts w:cs="Times New Roman"/>
                <w:color w:val="000000"/>
                <w:szCs w:val="20"/>
                <w:lang w:eastAsia="en-NZ"/>
              </w:rPr>
              <w:t xml:space="preserve"> how to improve the </w:t>
            </w:r>
            <w:r w:rsidR="00B81C6B" w:rsidRPr="0091450A">
              <w:rPr>
                <w:rFonts w:cs="Times New Roman"/>
                <w:color w:val="000000"/>
                <w:szCs w:val="20"/>
                <w:lang w:eastAsia="en-NZ"/>
              </w:rPr>
              <w:t xml:space="preserve">range </w:t>
            </w:r>
            <w:r w:rsidRPr="0091450A">
              <w:rPr>
                <w:rFonts w:cs="Times New Roman"/>
                <w:color w:val="000000"/>
                <w:szCs w:val="20"/>
                <w:lang w:eastAsia="en-NZ"/>
              </w:rPr>
              <w:t xml:space="preserve">of beverages </w:t>
            </w:r>
            <w:r w:rsidR="00860CD2" w:rsidRPr="0091450A">
              <w:rPr>
                <w:rFonts w:cs="Times New Roman"/>
                <w:color w:val="000000"/>
                <w:szCs w:val="20"/>
                <w:lang w:eastAsia="en-NZ"/>
              </w:rPr>
              <w:t xml:space="preserve">supplied in vending machines, cafeterias and at staff functions </w:t>
            </w:r>
            <w:r w:rsidRPr="0091450A">
              <w:rPr>
                <w:rFonts w:cs="Times New Roman"/>
                <w:color w:val="000000"/>
                <w:szCs w:val="20"/>
                <w:lang w:eastAsia="en-NZ"/>
              </w:rPr>
              <w:t>in workplaces. They are designed to help gain the support of management and staff to improve the quality of available beverages as part of workplace health, safety and wellness responsibilities.</w:t>
            </w:r>
            <w:r w:rsidRPr="0091450A">
              <w:rPr>
                <w:szCs w:val="20"/>
              </w:rPr>
              <w:t xml:space="preserve"> </w:t>
            </w:r>
            <w:r w:rsidR="005B63D3">
              <w:rPr>
                <w:szCs w:val="20"/>
              </w:rPr>
              <w:t>This is not currently available but will be updated in the near future.</w:t>
            </w:r>
          </w:p>
          <w:p w14:paraId="52749C9A" w14:textId="117126E2" w:rsidR="00860CD2" w:rsidRPr="0091450A" w:rsidRDefault="00ED48EA" w:rsidP="002D613F">
            <w:pPr>
              <w:pStyle w:val="ListParagraph"/>
              <w:numPr>
                <w:ilvl w:val="0"/>
                <w:numId w:val="27"/>
              </w:numPr>
              <w:rPr>
                <w:rFonts w:cs="Times New Roman"/>
                <w:szCs w:val="20"/>
              </w:rPr>
            </w:pPr>
            <w:r w:rsidRPr="0091450A">
              <w:rPr>
                <w:szCs w:val="20"/>
              </w:rPr>
              <w:t>The Ministry of Health developed a ‘Healthy Food and Drink Policy for Organisations’ for use by non</w:t>
            </w:r>
            <w:r w:rsidR="00066E2B">
              <w:rPr>
                <w:szCs w:val="20"/>
              </w:rPr>
              <w:t>-</w:t>
            </w:r>
            <w:r w:rsidRPr="0091450A">
              <w:rPr>
                <w:szCs w:val="20"/>
              </w:rPr>
              <w:t xml:space="preserve">DHB, non-health </w:t>
            </w:r>
            <w:r w:rsidR="00370AC7" w:rsidRPr="0091450A">
              <w:rPr>
                <w:szCs w:val="20"/>
              </w:rPr>
              <w:t>sector organisations</w:t>
            </w:r>
            <w:r w:rsidRPr="0091450A">
              <w:rPr>
                <w:szCs w:val="20"/>
              </w:rPr>
              <w:t xml:space="preserve"> which aligns with the National Healthy Food and Drink Policy for DHBs (DHB Healthy Food and Drink Network). The Policy has recently been updated and will be published in 2020 along with a toolkit of supporting resources to help with implementation (personal communication, </w:t>
            </w:r>
            <w:r w:rsidR="0017280F" w:rsidRPr="0091450A">
              <w:rPr>
                <w:szCs w:val="20"/>
              </w:rPr>
              <w:t xml:space="preserve">MoH, </w:t>
            </w:r>
            <w:r w:rsidRPr="0091450A">
              <w:rPr>
                <w:szCs w:val="20"/>
              </w:rPr>
              <w:t>2020)</w:t>
            </w:r>
            <w:r w:rsidR="00C443E1" w:rsidRPr="0091450A">
              <w:rPr>
                <w:rFonts w:cs="Times New Roman"/>
                <w:szCs w:val="20"/>
              </w:rPr>
              <w:t xml:space="preserve"> </w:t>
            </w:r>
            <w:r w:rsidR="009725D4" w:rsidRPr="0091450A">
              <w:rPr>
                <w:rFonts w:cs="Times New Roman"/>
                <w:szCs w:val="20"/>
              </w:rPr>
              <w:fldChar w:fldCharType="begin" w:fldLock="1"/>
            </w:r>
            <w:r w:rsidR="009C4029">
              <w:rPr>
                <w:rFonts w:cs="Times New Roman"/>
                <w:szCs w:val="20"/>
              </w:rPr>
              <w:instrText>ADDIN CSL_CITATION {"citationItems":[{"id":"ITEM-1","itemData":{"URL":"http://www.health.govt.nz/system/files/documents/publications/healthy-food-and-drink-policy-for-organisations-sept20-16.pdf","author":[{"dropping-particle":"","family":"Ministry of Health","given":"","non-dropping-particle":"","parse-names":false,"suffix":""}],"id":"ITEM-1","issue":"4/12/2016","issued":{"date-parts":[["2016"]]},"title":"Healthy Food and Drink Policy for Organisations ","type":"webpage"},"uris":["http://www.mendeley.com/documents/?uuid=e44ea4cf-6b70-4104-a5f6-5daa3b047c4a","http://www.mendeley.com/documents/?uuid=4b25ddd2-126d-37f3-b071-a46d6fad57d7"]}],"mendeley":{"formattedCitation":"(105)","plainTextFormattedCitation":"(105)","previouslyFormattedCitation":"(105)"},"properties":{"noteIndex":0},"schema":"https://github.com/citation-style-language/schema/raw/master/csl-citation.json"}</w:instrText>
            </w:r>
            <w:r w:rsidR="009725D4" w:rsidRPr="0091450A">
              <w:rPr>
                <w:rFonts w:cs="Times New Roman"/>
                <w:szCs w:val="20"/>
              </w:rPr>
              <w:fldChar w:fldCharType="separate"/>
            </w:r>
            <w:r w:rsidR="004C06EB" w:rsidRPr="004C06EB">
              <w:rPr>
                <w:rFonts w:cs="Times New Roman"/>
                <w:noProof/>
                <w:szCs w:val="20"/>
              </w:rPr>
              <w:t>(105)</w:t>
            </w:r>
            <w:r w:rsidR="009725D4" w:rsidRPr="0091450A">
              <w:rPr>
                <w:rFonts w:cs="Times New Roman"/>
                <w:szCs w:val="20"/>
              </w:rPr>
              <w:fldChar w:fldCharType="end"/>
            </w:r>
            <w:r w:rsidR="00DB72AF" w:rsidRPr="0091450A">
              <w:rPr>
                <w:rFonts w:cs="Times New Roman"/>
                <w:szCs w:val="20"/>
              </w:rPr>
              <w:t>.</w:t>
            </w:r>
            <w:r w:rsidR="00860CD2" w:rsidRPr="0091450A">
              <w:rPr>
                <w:rFonts w:cs="Times New Roman"/>
                <w:szCs w:val="20"/>
              </w:rPr>
              <w:t xml:space="preserve"> </w:t>
            </w:r>
          </w:p>
          <w:p w14:paraId="5126AE60" w14:textId="5EAEBE56" w:rsidR="006438EB" w:rsidRDefault="004E7542" w:rsidP="002D613F">
            <w:pPr>
              <w:pStyle w:val="ListParagraph"/>
              <w:numPr>
                <w:ilvl w:val="0"/>
                <w:numId w:val="27"/>
              </w:numPr>
              <w:shd w:val="clear" w:color="auto" w:fill="FFFFFF" w:themeFill="background1"/>
              <w:spacing w:before="40" w:after="40"/>
              <w:contextualSpacing w:val="0"/>
              <w:rPr>
                <w:b/>
                <w:color w:val="1F497D" w:themeColor="text2"/>
              </w:rPr>
            </w:pPr>
            <w:r w:rsidRPr="0091450A">
              <w:rPr>
                <w:rFonts w:cs="Times New Roman"/>
                <w:color w:val="000000"/>
                <w:szCs w:val="20"/>
                <w:lang w:eastAsia="en-NZ"/>
              </w:rPr>
              <w:t>I</w:t>
            </w:r>
            <w:r w:rsidR="00172337" w:rsidRPr="0091450A">
              <w:rPr>
                <w:rFonts w:cs="Times New Roman"/>
                <w:color w:val="000000"/>
                <w:szCs w:val="20"/>
                <w:lang w:eastAsia="en-NZ"/>
              </w:rPr>
              <w:t>n New Zealand</w:t>
            </w:r>
            <w:r w:rsidR="00066E2B">
              <w:rPr>
                <w:rFonts w:cs="Times New Roman"/>
                <w:color w:val="000000"/>
                <w:szCs w:val="20"/>
                <w:lang w:eastAsia="en-NZ"/>
              </w:rPr>
              <w:t>,</w:t>
            </w:r>
            <w:r w:rsidR="00B549E8">
              <w:rPr>
                <w:rFonts w:cs="Times New Roman"/>
                <w:color w:val="000000"/>
                <w:szCs w:val="20"/>
                <w:lang w:eastAsia="en-NZ"/>
              </w:rPr>
              <w:t xml:space="preserve"> some</w:t>
            </w:r>
            <w:r w:rsidR="00172337" w:rsidRPr="0091450A">
              <w:rPr>
                <w:rFonts w:cs="Times New Roman"/>
                <w:color w:val="000000"/>
                <w:szCs w:val="20"/>
                <w:lang w:eastAsia="en-NZ"/>
              </w:rPr>
              <w:t xml:space="preserve"> local public health service units </w:t>
            </w:r>
            <w:r w:rsidR="00B549E8">
              <w:rPr>
                <w:rFonts w:cs="Times New Roman"/>
                <w:color w:val="000000"/>
                <w:szCs w:val="20"/>
                <w:lang w:eastAsia="en-NZ"/>
              </w:rPr>
              <w:t>promote the workplace health</w:t>
            </w:r>
            <w:r w:rsidR="00172337" w:rsidRPr="0091450A">
              <w:rPr>
                <w:rFonts w:cs="Times New Roman"/>
                <w:color w:val="000000"/>
                <w:szCs w:val="20"/>
                <w:lang w:eastAsia="en-NZ"/>
              </w:rPr>
              <w:t xml:space="preserve"> </w:t>
            </w:r>
            <w:r w:rsidR="00B549E8">
              <w:rPr>
                <w:rFonts w:cs="Times New Roman"/>
                <w:color w:val="000000"/>
                <w:szCs w:val="20"/>
                <w:lang w:eastAsia="en-NZ"/>
              </w:rPr>
              <w:t>programmes described in PROV3</w:t>
            </w:r>
            <w:r w:rsidR="00485B33">
              <w:rPr>
                <w:rFonts w:cs="Times New Roman"/>
                <w:color w:val="000000"/>
                <w:szCs w:val="20"/>
                <w:lang w:eastAsia="en-NZ"/>
              </w:rPr>
              <w:t xml:space="preserve">: </w:t>
            </w:r>
            <w:proofErr w:type="spellStart"/>
            <w:r w:rsidR="00485B33">
              <w:rPr>
                <w:rFonts w:cstheme="minorHAnsi"/>
                <w:szCs w:val="20"/>
              </w:rPr>
              <w:t>WorkWell</w:t>
            </w:r>
            <w:proofErr w:type="spellEnd"/>
            <w:r w:rsidR="00485B33">
              <w:rPr>
                <w:rFonts w:cstheme="minorHAnsi"/>
                <w:szCs w:val="20"/>
              </w:rPr>
              <w:t>, Good4work and Wellplace.nz</w:t>
            </w:r>
            <w:r w:rsidR="00B549E8">
              <w:rPr>
                <w:rFonts w:cs="Times New Roman"/>
                <w:color w:val="000000"/>
                <w:szCs w:val="20"/>
                <w:lang w:eastAsia="en-NZ"/>
              </w:rPr>
              <w:t xml:space="preserve">. </w:t>
            </w:r>
          </w:p>
          <w:p w14:paraId="14B2796B" w14:textId="34E54314" w:rsidR="0098194D" w:rsidRPr="00B549E8" w:rsidRDefault="006F76D2" w:rsidP="002D613F">
            <w:pPr>
              <w:pStyle w:val="ListParagraph"/>
              <w:numPr>
                <w:ilvl w:val="0"/>
                <w:numId w:val="27"/>
              </w:numPr>
              <w:shd w:val="clear" w:color="auto" w:fill="FFFFFF" w:themeFill="background1"/>
              <w:spacing w:before="40" w:after="40"/>
              <w:contextualSpacing w:val="0"/>
              <w:rPr>
                <w:b/>
              </w:rPr>
            </w:pPr>
            <w:r w:rsidRPr="00B549E8">
              <w:rPr>
                <w:bCs/>
              </w:rPr>
              <w:t>The Taranaki District Health Board</w:t>
            </w:r>
            <w:r w:rsidR="0098194D" w:rsidRPr="00B549E8">
              <w:rPr>
                <w:rFonts w:ascii="Calibri" w:hAnsi="Calibri" w:cs="Calibri"/>
                <w:shd w:val="clear" w:color="auto" w:fill="FFFFFF"/>
              </w:rPr>
              <w:t xml:space="preserve"> provide</w:t>
            </w:r>
            <w:r w:rsidRPr="00B549E8">
              <w:rPr>
                <w:rFonts w:ascii="Calibri" w:hAnsi="Calibri" w:cs="Calibri"/>
                <w:shd w:val="clear" w:color="auto" w:fill="FFFFFF"/>
              </w:rPr>
              <w:t>s</w:t>
            </w:r>
            <w:r w:rsidR="00B71855" w:rsidRPr="00B549E8">
              <w:rPr>
                <w:rFonts w:ascii="Calibri" w:hAnsi="Calibri" w:cs="Calibri"/>
                <w:shd w:val="clear" w:color="auto" w:fill="FFFFFF"/>
              </w:rPr>
              <w:t xml:space="preserve"> support</w:t>
            </w:r>
            <w:r w:rsidR="0098194D" w:rsidRPr="00B549E8">
              <w:rPr>
                <w:rFonts w:ascii="Calibri" w:hAnsi="Calibri" w:cs="Calibri"/>
                <w:shd w:val="clear" w:color="auto" w:fill="FFFFFF"/>
              </w:rPr>
              <w:t xml:space="preserve"> to organisations with DHB contracts to implement the National Healthy Food &amp; Drink Policy through the development of a toolkit, workshops and ongoing support in policy development (when requested from the organisations).</w:t>
            </w:r>
          </w:p>
          <w:p w14:paraId="2F841A15" w14:textId="77777777" w:rsidR="006D0763" w:rsidRPr="0091450A" w:rsidRDefault="006D0763" w:rsidP="002D613F">
            <w:pPr>
              <w:shd w:val="clear" w:color="auto" w:fill="FFFFFF" w:themeFill="background1"/>
              <w:spacing w:before="40" w:after="40"/>
              <w:rPr>
                <w:b/>
                <w:color w:val="1F497D" w:themeColor="text2"/>
              </w:rPr>
            </w:pPr>
          </w:p>
          <w:p w14:paraId="2D4A2FBA" w14:textId="3CD5F745"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3C3B2A93" w14:textId="5185CD23" w:rsidR="008E1954" w:rsidRPr="0091450A" w:rsidRDefault="008E1954" w:rsidP="002D613F">
            <w:pPr>
              <w:pStyle w:val="ListParagraph"/>
              <w:keepNext/>
              <w:numPr>
                <w:ilvl w:val="0"/>
                <w:numId w:val="27"/>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Victoria (Australia</w:t>
            </w:r>
            <w:r w:rsidRPr="0091450A">
              <w:rPr>
                <w:rFonts w:eastAsia="Times New Roman" w:cs="Times New Roman"/>
                <w:szCs w:val="20"/>
                <w:lang w:eastAsia="en-NZ"/>
              </w:rPr>
              <w:t>): ‘Healthy choices: healthy eating policy and catering guide for workplaces’ is a guideline for workplaces to support them in providing and promoting healthier foods options to their staff. The guideline is supported by the Healthy Eating Advisory Service that helps private</w:t>
            </w:r>
            <w:r w:rsidR="009602EB">
              <w:rPr>
                <w:rFonts w:eastAsia="Times New Roman" w:cs="Times New Roman"/>
                <w:szCs w:val="20"/>
                <w:lang w:eastAsia="en-NZ"/>
              </w:rPr>
              <w:t>-</w:t>
            </w:r>
            <w:r w:rsidRPr="0091450A">
              <w:rPr>
                <w:rFonts w:eastAsia="Times New Roman" w:cs="Times New Roman"/>
                <w:szCs w:val="20"/>
                <w:lang w:eastAsia="en-NZ"/>
              </w:rPr>
              <w:t>sector settings to implement such policies. Menu assessments and cook/caterer training are available free of charge to some eligible workplaces</w:t>
            </w:r>
            <w:r w:rsidR="004745E3" w:rsidRPr="0091450A">
              <w:rPr>
                <w:rFonts w:eastAsia="Times New Roman" w:cs="Times New Roman"/>
                <w:szCs w:val="20"/>
                <w:lang w:eastAsia="en-NZ"/>
              </w:rPr>
              <w:t xml:space="preserve"> </w:t>
            </w:r>
            <w:r w:rsidR="00290602"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{"citationItems":[{"id":"ITEM-1","itemData":{"URL":"https://www2.health.vic.gov.au/getfile//?sc_itemid=%7BD5628D86-B37D-42F7-8B9A-687F4A3E85FB%7D","author":[{"dropping-particle":"","family":"Victoria State Government","given":"","non-dropping-particle":"","parse-names":false,"suffix":""}],"id":"ITEM-1","issue":"16/03/2017","issued":{"date-parts":[["2017"]]},"title":"Healthy Eating Policy and Catering Guide for Workplaces","type":"webpage"},"uris":["http://www.mendeley.com/documents/?uuid=314a7f05-4926-31f5-be03-ffe2f3b6398b","http://www.mendeley.com/documents/?uuid=2c0b62c6-f69e-4839-81f5-3fa7d87ce42c"]}],"mendeley":{"formattedCitation":"(140)","plainTextFormattedCitation":"(140)","previouslyFormattedCitation":"(140)"},"properties":{"noteIndex":0},"schema":"https://github.com/citation-style-language/schema/raw/master/csl-citation.json"}</w:instrText>
            </w:r>
            <w:r w:rsidR="00290602"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(140)</w:t>
            </w:r>
            <w:r w:rsidR="00290602" w:rsidRPr="0091450A">
              <w:rPr>
                <w:rFonts w:eastAsia="Times New Roman" w:cs="Times New Roman"/>
                <w:szCs w:val="20"/>
                <w:lang w:eastAsia="en-NZ"/>
              </w:rPr>
              <w:fldChar w:fldCharType="end"/>
            </w:r>
            <w:r w:rsidR="00290602" w:rsidRPr="0091450A">
              <w:rPr>
                <w:rFonts w:eastAsia="Times New Roman" w:cs="Times New Roman"/>
                <w:szCs w:val="20"/>
                <w:lang w:eastAsia="en-NZ"/>
              </w:rPr>
              <w:t>.</w:t>
            </w:r>
          </w:p>
          <w:p w14:paraId="3E33D5A6" w14:textId="039B2F34" w:rsidR="006D0763" w:rsidRPr="0091450A" w:rsidRDefault="006D0763" w:rsidP="002D613F">
            <w:pPr>
              <w:pStyle w:val="ListParagraph"/>
              <w:keepNext/>
              <w:numPr>
                <w:ilvl w:val="0"/>
                <w:numId w:val="27"/>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Singapore</w:t>
            </w:r>
            <w:r w:rsidRPr="0091450A">
              <w:rPr>
                <w:rFonts w:eastAsia="Times New Roman" w:cs="Times New Roman"/>
                <w:szCs w:val="20"/>
                <w:lang w:eastAsia="en-NZ"/>
              </w:rPr>
              <w:t xml:space="preserve">: The National Workplace Health Promotion Programme, launched in Singapore in 2000, is run by the Health Promotion Board. Both private and public institutions are encouraged to improve the w0rkplace environment by providing tools and grants. Grants are awarded to help companies start and sustain health promotion programmes. Tools include a sample Healthy Workplace Nutrition Policy, a </w:t>
            </w:r>
            <w:r w:rsidRPr="0091450A">
              <w:rPr>
                <w:rFonts w:eastAsia="Times New Roman" w:cs="Times New Roman"/>
                <w:szCs w:val="20"/>
                <w:lang w:eastAsia="en-NZ"/>
              </w:rPr>
              <w:lastRenderedPageBreak/>
              <w:t>sample Healthy Workplace Catering Policy, and a detailed Essential Guide to Workplace Health, setting out ways to transform the workplace into a health-supporting work environment</w:t>
            </w:r>
            <w:r w:rsidR="004745E3" w:rsidRPr="0091450A">
              <w:rPr>
                <w:rFonts w:eastAsia="Times New Roman" w:cs="Times New Roman"/>
                <w:szCs w:val="20"/>
                <w:lang w:eastAsia="en-NZ"/>
              </w:rPr>
              <w:t xml:space="preserve"> </w:t>
            </w:r>
            <w:r w:rsidR="00290602"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{"citationItems":[{"id":"ITEM-1","itemData":{"URL":"http://www.wcrf.org/int/policy/nourishing-framework/offer-healthy-foods","author":[{"dropping-particle":"","family":"World Cancer Research Fund","given":"","non-dropping-particle":"","parse-names":false,"suffix":""}],"id":"ITEM-1","issue":"22/02/2016","issued":{"date-parts":[["2016"]]},"title":"NOURISHING Framework - Offer healthy foods","type":"webpage"},"uris":["http://www.mendeley.com/documents/?uuid=ceeab7e8-6a86-40d5-bd69-1d1489b772ad","http://www.mendeley.com/documents/?uuid=b5e39f7e-b5a8-36b6-991a-016c88f289be"]}],"mendeley":{"formattedCitation":"(101)","plainTextFormattedCitation":"(101)","previouslyFormattedCitation":"(101)"},"properties":{"noteIndex":0},"schema":"https://github.com/citation-style-language/schema/raw/master/csl-citation.json"}</w:instrText>
            </w:r>
            <w:r w:rsidR="00290602"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(101)</w:t>
            </w:r>
            <w:r w:rsidR="00290602" w:rsidRPr="0091450A">
              <w:rPr>
                <w:rFonts w:eastAsia="Times New Roman" w:cs="Times New Roman"/>
                <w:szCs w:val="20"/>
                <w:lang w:eastAsia="en-NZ"/>
              </w:rPr>
              <w:fldChar w:fldCharType="end"/>
            </w:r>
            <w:r w:rsidR="00290602" w:rsidRPr="0091450A">
              <w:rPr>
                <w:rFonts w:eastAsia="Times New Roman" w:cs="Times New Roman"/>
                <w:szCs w:val="20"/>
                <w:lang w:eastAsia="en-NZ"/>
              </w:rPr>
              <w:t>.</w:t>
            </w:r>
          </w:p>
        </w:tc>
      </w:tr>
    </w:tbl>
    <w:p w14:paraId="140BD49F" w14:textId="7009549B" w:rsidR="00BD5651" w:rsidRDefault="00BD5651" w:rsidP="002D613F">
      <w:pPr>
        <w:spacing w:after="0" w:line="240" w:lineRule="auto"/>
      </w:pPr>
    </w:p>
    <w:p w14:paraId="30FF9F31" w14:textId="77777777" w:rsidR="00817CF7" w:rsidRPr="0091450A" w:rsidRDefault="00817CF7"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7543A133" w14:textId="77777777" w:rsidTr="00CA16E1">
        <w:tc>
          <w:tcPr>
            <w:tcW w:w="9209" w:type="dxa"/>
          </w:tcPr>
          <w:p w14:paraId="7DA670D5" w14:textId="317DDD02" w:rsidR="00AE3D68" w:rsidRPr="0091450A" w:rsidRDefault="008C0F53" w:rsidP="002D613F">
            <w:pPr>
              <w:shd w:val="clear" w:color="auto" w:fill="FFFFFF" w:themeFill="background1"/>
              <w:spacing w:before="40" w:after="40"/>
              <w:rPr>
                <w:rFonts w:cs="Times New Roman"/>
                <w:bCs/>
                <w:szCs w:val="20"/>
              </w:rPr>
            </w:pPr>
            <w:bookmarkStart w:id="37" w:name="_Toc31623735"/>
            <w:r w:rsidRPr="0091450A">
              <w:rPr>
                <w:rStyle w:val="Heading2Char"/>
              </w:rPr>
              <w:t xml:space="preserve">6 </w:t>
            </w:r>
            <w:r w:rsidR="00AE3D68" w:rsidRPr="0091450A">
              <w:rPr>
                <w:rStyle w:val="Heading2Char"/>
              </w:rPr>
              <w:t>FOOD RETAIL</w:t>
            </w:r>
            <w:bookmarkEnd w:id="37"/>
            <w:r w:rsidR="00AE3D68" w:rsidRPr="0091450A">
              <w:rPr>
                <w:rFonts w:cs="Times New Roman"/>
                <w:b/>
                <w:color w:val="1F497D" w:themeColor="text2"/>
                <w:sz w:val="28"/>
                <w:szCs w:val="28"/>
              </w:rPr>
              <w:t xml:space="preserve">: </w:t>
            </w:r>
            <w:r w:rsidR="000D1C6C" w:rsidRPr="0091450A">
              <w:rPr>
                <w:rFonts w:cs="Times New Roman"/>
                <w:bCs/>
                <w:szCs w:val="20"/>
              </w:rPr>
              <w:t>The government has the power to implement policies and programs to support the availability of healthy foods and limit the availability of unhealthy foods in communities (outlet density and locations) and in-store (product placement)</w:t>
            </w:r>
          </w:p>
        </w:tc>
      </w:tr>
      <w:tr w:rsidR="00AE3D68" w:rsidRPr="0091450A" w14:paraId="1D987B7B" w14:textId="77777777" w:rsidTr="00CA16E1">
        <w:tc>
          <w:tcPr>
            <w:tcW w:w="9209" w:type="dxa"/>
          </w:tcPr>
          <w:p w14:paraId="3E8C0B40" w14:textId="4645B01A" w:rsidR="00AE3D68" w:rsidRPr="0091450A" w:rsidRDefault="006F4DF6" w:rsidP="002D613F">
            <w:pPr>
              <w:shd w:val="clear" w:color="auto" w:fill="FFFFFF" w:themeFill="background1"/>
              <w:spacing w:before="40" w:after="40"/>
              <w:rPr>
                <w:rFonts w:cs="Times New Roman"/>
                <w:color w:val="000000"/>
                <w:lang w:eastAsia="en-NZ"/>
              </w:rPr>
            </w:pPr>
            <w:bookmarkStart w:id="38" w:name="_Toc31623736"/>
            <w:r w:rsidRPr="0091450A">
              <w:rPr>
                <w:rStyle w:val="Heading3Char"/>
              </w:rPr>
              <w:t>RETAIL1</w:t>
            </w:r>
            <w:bookmarkEnd w:id="38"/>
            <w:r w:rsidR="00AE3D68" w:rsidRPr="0091450A">
              <w:rPr>
                <w:rFonts w:cs="Times New Roman"/>
                <w:b/>
                <w:color w:val="1F497D" w:themeColor="text2"/>
                <w:sz w:val="28"/>
                <w:szCs w:val="28"/>
              </w:rPr>
              <w:t xml:space="preserve">: </w:t>
            </w:r>
            <w:r w:rsidR="00A20146" w:rsidRPr="0091450A">
              <w:rPr>
                <w:rFonts w:cs="Times New Roman"/>
                <w:b/>
                <w:color w:val="000000"/>
                <w:lang w:eastAsia="en-NZ"/>
              </w:rPr>
              <w:t xml:space="preserve">Zoning laws and policies are robust enough and used, where needed, by local governments to place limits on the density or placement </w:t>
            </w:r>
            <w:r w:rsidR="004909A6" w:rsidRPr="0091450A">
              <w:rPr>
                <w:rFonts w:cs="Times New Roman"/>
                <w:b/>
                <w:color w:val="000000"/>
                <w:lang w:eastAsia="en-NZ"/>
              </w:rPr>
              <w:t>of quick</w:t>
            </w:r>
            <w:r w:rsidR="009602EB">
              <w:rPr>
                <w:rFonts w:cs="Times New Roman"/>
                <w:b/>
                <w:color w:val="000000"/>
                <w:lang w:eastAsia="en-NZ"/>
              </w:rPr>
              <w:t>-</w:t>
            </w:r>
            <w:r w:rsidR="00A20146" w:rsidRPr="0091450A">
              <w:rPr>
                <w:rFonts w:cs="Times New Roman"/>
                <w:b/>
                <w:color w:val="000000"/>
                <w:lang w:eastAsia="en-NZ"/>
              </w:rPr>
              <w:t>serve restaurants or other outlets selling mainly unhealthy foods in communities</w:t>
            </w:r>
          </w:p>
        </w:tc>
      </w:tr>
      <w:tr w:rsidR="00AE3D68" w:rsidRPr="0091450A" w14:paraId="0A9B50E7" w14:textId="77777777" w:rsidTr="00CA16E1">
        <w:tc>
          <w:tcPr>
            <w:tcW w:w="9209" w:type="dxa"/>
          </w:tcPr>
          <w:p w14:paraId="2EAA2540" w14:textId="69162C67"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5A294CC0" w14:textId="77777777" w:rsidR="001D2983" w:rsidRDefault="004A3826" w:rsidP="001D2983">
            <w:pPr>
              <w:pStyle w:val="ListParagraph"/>
              <w:numPr>
                <w:ilvl w:val="0"/>
                <w:numId w:val="10"/>
              </w:numPr>
              <w:shd w:val="clear" w:color="auto" w:fill="FFFFFF" w:themeFill="background1"/>
              <w:spacing w:before="40" w:after="40"/>
              <w:ind w:left="284" w:hanging="284"/>
              <w:contextualSpacing w:val="0"/>
              <w:rPr>
                <w:rFonts w:cs="Times New Roman"/>
                <w:color w:val="000000"/>
                <w:szCs w:val="20"/>
                <w:lang w:eastAsia="en-NZ"/>
              </w:rPr>
            </w:pPr>
            <w:r w:rsidRPr="0091450A">
              <w:rPr>
                <w:rFonts w:cs="Times New Roman"/>
                <w:color w:val="000000"/>
                <w:szCs w:val="20"/>
                <w:lang w:eastAsia="en-NZ"/>
              </w:rPr>
              <w:t>Permitted activities for each zone are set by the District Council through the District plans. Council does</w:t>
            </w:r>
            <w:r w:rsidR="002D08D7" w:rsidRPr="0091450A">
              <w:rPr>
                <w:rFonts w:cs="Times New Roman"/>
                <w:color w:val="000000"/>
                <w:szCs w:val="20"/>
                <w:lang w:eastAsia="en-NZ"/>
              </w:rPr>
              <w:t xml:space="preserve"> </w:t>
            </w:r>
            <w:r w:rsidRPr="0091450A">
              <w:rPr>
                <w:rFonts w:cs="Times New Roman"/>
                <w:color w:val="000000"/>
                <w:szCs w:val="20"/>
                <w:lang w:eastAsia="en-NZ"/>
              </w:rPr>
              <w:t>not regulate the type of commercial activity unless it is impacted by other regulations such as the</w:t>
            </w:r>
            <w:r w:rsidR="002D08D7" w:rsidRPr="0091450A">
              <w:rPr>
                <w:rFonts w:cs="Times New Roman"/>
                <w:color w:val="000000"/>
                <w:szCs w:val="20"/>
                <w:lang w:eastAsia="en-NZ"/>
              </w:rPr>
              <w:t xml:space="preserve"> </w:t>
            </w:r>
            <w:r w:rsidRPr="0091450A">
              <w:rPr>
                <w:rFonts w:cs="Times New Roman"/>
                <w:color w:val="000000"/>
                <w:szCs w:val="20"/>
                <w:lang w:eastAsia="en-NZ"/>
              </w:rPr>
              <w:t>Hazardous Substances legislation. Council does have the ability to regulate other activities using bylaws/policies such as the Trading in Public Places Bylaw. This is primarily to regulate temporary mobile</w:t>
            </w:r>
            <w:r w:rsidR="0039529A" w:rsidRPr="0091450A">
              <w:rPr>
                <w:rFonts w:cs="Times New Roman"/>
                <w:color w:val="000000"/>
                <w:szCs w:val="20"/>
                <w:lang w:eastAsia="en-NZ"/>
              </w:rPr>
              <w:t xml:space="preserve"> </w:t>
            </w:r>
            <w:r w:rsidRPr="0091450A">
              <w:rPr>
                <w:rFonts w:cs="Times New Roman"/>
                <w:color w:val="000000"/>
                <w:szCs w:val="20"/>
                <w:lang w:eastAsia="en-NZ"/>
              </w:rPr>
              <w:t>vendors. Historically, the public health role of the Councils focused on sanitation and food safety and</w:t>
            </w:r>
            <w:r w:rsidR="0039529A" w:rsidRPr="0091450A">
              <w:rPr>
                <w:rFonts w:cs="Times New Roman"/>
                <w:color w:val="000000"/>
                <w:szCs w:val="20"/>
                <w:lang w:eastAsia="en-NZ"/>
              </w:rPr>
              <w:t xml:space="preserve"> </w:t>
            </w:r>
            <w:r w:rsidRPr="0091450A">
              <w:rPr>
                <w:rFonts w:cs="Times New Roman"/>
                <w:color w:val="000000"/>
                <w:szCs w:val="20"/>
                <w:lang w:eastAsia="en-NZ"/>
              </w:rPr>
              <w:t>the control of infectious diseases by having a healthy physical environment. However, the Health Act</w:t>
            </w:r>
            <w:r w:rsidR="0039529A" w:rsidRPr="0091450A">
              <w:rPr>
                <w:rFonts w:cs="Times New Roman"/>
                <w:color w:val="000000"/>
                <w:szCs w:val="20"/>
                <w:lang w:eastAsia="en-NZ"/>
              </w:rPr>
              <w:t xml:space="preserve"> </w:t>
            </w:r>
            <w:r w:rsidRPr="0091450A">
              <w:rPr>
                <w:rFonts w:cs="Times New Roman"/>
                <w:color w:val="000000"/>
                <w:szCs w:val="20"/>
                <w:lang w:eastAsia="en-NZ"/>
              </w:rPr>
              <w:t>1956 imposes on Councils a general duty to improve, promote and protect public health. Councils’ bylaw</w:t>
            </w:r>
            <w:r w:rsidR="0039529A" w:rsidRPr="0091450A">
              <w:rPr>
                <w:rFonts w:cs="Times New Roman"/>
                <w:color w:val="000000"/>
                <w:szCs w:val="20"/>
                <w:lang w:eastAsia="en-NZ"/>
              </w:rPr>
              <w:t xml:space="preserve"> </w:t>
            </w:r>
            <w:r w:rsidRPr="0091450A">
              <w:rPr>
                <w:rFonts w:cs="Times New Roman"/>
                <w:color w:val="000000"/>
                <w:szCs w:val="20"/>
                <w:lang w:eastAsia="en-NZ"/>
              </w:rPr>
              <w:t>making power is covered in the Local Government Act 2002. A territorial authority may make bylaws for</w:t>
            </w:r>
            <w:r w:rsidR="0039529A" w:rsidRPr="0091450A">
              <w:rPr>
                <w:rFonts w:cs="Times New Roman"/>
                <w:color w:val="000000"/>
                <w:szCs w:val="20"/>
                <w:lang w:eastAsia="en-NZ"/>
              </w:rPr>
              <w:t xml:space="preserve"> </w:t>
            </w:r>
            <w:r w:rsidRPr="0091450A">
              <w:rPr>
                <w:rFonts w:cs="Times New Roman"/>
                <w:color w:val="000000"/>
                <w:szCs w:val="20"/>
                <w:lang w:eastAsia="en-NZ"/>
              </w:rPr>
              <w:t>its district for 1 or more of the following purposes: (b) protecting, promoting, and maintaining public</w:t>
            </w:r>
            <w:r w:rsidR="0039529A" w:rsidRPr="0091450A">
              <w:rPr>
                <w:rFonts w:cs="Times New Roman"/>
                <w:color w:val="000000"/>
                <w:szCs w:val="20"/>
                <w:lang w:eastAsia="en-NZ"/>
              </w:rPr>
              <w:t xml:space="preserve"> </w:t>
            </w:r>
            <w:r w:rsidRPr="0091450A">
              <w:rPr>
                <w:rFonts w:cs="Times New Roman"/>
                <w:color w:val="000000"/>
                <w:szCs w:val="20"/>
                <w:lang w:eastAsia="en-NZ"/>
              </w:rPr>
              <w:t>health and safety.</w:t>
            </w:r>
            <w:r w:rsidR="0039529A" w:rsidRPr="0091450A">
              <w:rPr>
                <w:rFonts w:cs="Times New Roman"/>
                <w:color w:val="000000"/>
                <w:szCs w:val="20"/>
                <w:lang w:eastAsia="en-NZ"/>
              </w:rPr>
              <w:t xml:space="preserve"> </w:t>
            </w:r>
          </w:p>
          <w:p w14:paraId="03DDA18F" w14:textId="13D12947" w:rsidR="00A27FA5" w:rsidRPr="001D2983" w:rsidRDefault="00BA7C46" w:rsidP="001D2983">
            <w:pPr>
              <w:pStyle w:val="ListParagraph"/>
              <w:numPr>
                <w:ilvl w:val="0"/>
                <w:numId w:val="10"/>
              </w:numPr>
              <w:shd w:val="clear" w:color="auto" w:fill="FFFFFF" w:themeFill="background1"/>
              <w:spacing w:before="40" w:after="40"/>
              <w:ind w:left="284" w:hanging="284"/>
              <w:contextualSpacing w:val="0"/>
              <w:rPr>
                <w:rFonts w:cs="Times New Roman"/>
                <w:color w:val="000000"/>
                <w:szCs w:val="20"/>
                <w:lang w:eastAsia="en-NZ"/>
              </w:rPr>
            </w:pPr>
            <w:r w:rsidRPr="001D2983">
              <w:rPr>
                <w:rFonts w:cs="Times New Roman"/>
                <w:color w:val="000000"/>
                <w:szCs w:val="20"/>
                <w:lang w:eastAsia="en-NZ"/>
              </w:rPr>
              <w:t xml:space="preserve">No NZ Council has specific rules for regulating the number and location of food outlets. If a Council was to develop a policy on this, it would need to undertake a process using the Special Consultative Procedure under the Local Government Act 2002. Alternatively, there could be new ‘takeaway’ rules developed to be given effect through the District Plan which would require a Plan Change Process under the Resource Management Act 1991. Both involve considerable research and consultation. The real difference between the 2 processes is that </w:t>
            </w:r>
            <w:r w:rsidR="009602EB" w:rsidRPr="001D2983">
              <w:rPr>
                <w:rFonts w:cs="Times New Roman"/>
                <w:color w:val="000000"/>
                <w:szCs w:val="20"/>
                <w:lang w:eastAsia="en-NZ"/>
              </w:rPr>
              <w:t xml:space="preserve">the </w:t>
            </w:r>
            <w:r w:rsidRPr="001D2983">
              <w:rPr>
                <w:rFonts w:cs="Times New Roman"/>
                <w:color w:val="000000"/>
                <w:szCs w:val="20"/>
                <w:lang w:eastAsia="en-NZ"/>
              </w:rPr>
              <w:t>Council’s decisions on Plan Changes can be appealed to the Environment Court which can drag the process out considerably. Policy decisions developed under the Local Government Act can’t be appealed but the process can be challenged to a Judicial Review to see if</w:t>
            </w:r>
            <w:r w:rsidR="00A27FA5" w:rsidRPr="001D2983">
              <w:rPr>
                <w:rFonts w:cs="Times New Roman"/>
                <w:color w:val="000000"/>
                <w:szCs w:val="20"/>
                <w:lang w:eastAsia="en-NZ"/>
              </w:rPr>
              <w:t xml:space="preserve"> </w:t>
            </w:r>
            <w:r w:rsidRPr="001D2983">
              <w:rPr>
                <w:rFonts w:cs="Times New Roman"/>
                <w:color w:val="000000"/>
                <w:szCs w:val="20"/>
                <w:lang w:eastAsia="en-NZ"/>
              </w:rPr>
              <w:t>the process followed was sufficiently robust.</w:t>
            </w:r>
          </w:p>
          <w:p w14:paraId="657AD178" w14:textId="2CF887EC" w:rsidR="006B5D4B" w:rsidRPr="0091450A" w:rsidRDefault="00B32016" w:rsidP="002D613F">
            <w:pPr>
              <w:pStyle w:val="ListParagraph"/>
              <w:numPr>
                <w:ilvl w:val="0"/>
                <w:numId w:val="10"/>
              </w:numPr>
              <w:shd w:val="clear" w:color="auto" w:fill="FFFFFF" w:themeFill="background1"/>
              <w:spacing w:before="40" w:after="40"/>
              <w:ind w:left="284" w:hanging="284"/>
              <w:contextualSpacing w:val="0"/>
              <w:rPr>
                <w:rFonts w:cs="Times New Roman"/>
                <w:bCs/>
                <w:szCs w:val="20"/>
                <w:lang w:eastAsia="en-NZ"/>
              </w:rPr>
            </w:pPr>
            <w:r w:rsidRPr="0091450A">
              <w:rPr>
                <w:rFonts w:cs="Times New Roman"/>
                <w:bCs/>
                <w:szCs w:val="20"/>
                <w:lang w:eastAsia="en-NZ"/>
              </w:rPr>
              <w:t xml:space="preserve">An ANA Evidence Snapshot ‘Promoting Healthy Eating at the Local Government Level’ was published in March 2016 </w:t>
            </w:r>
            <w:r w:rsidR="00A45C87" w:rsidRPr="0091450A">
              <w:rPr>
                <w:rFonts w:cs="Times New Roman"/>
                <w:bCs/>
                <w:szCs w:val="20"/>
                <w:lang w:eastAsia="en-NZ"/>
              </w:rPr>
              <w:fldChar w:fldCharType="begin" w:fldLock="1"/>
            </w:r>
            <w:r w:rsidR="00EC12A7">
              <w:rPr>
                <w:rFonts w:cs="Times New Roman"/>
                <w:bCs/>
                <w:szCs w:val="20"/>
                <w:lang w:eastAsia="en-NZ"/>
              </w:rPr>
              <w:instrText>ADDIN CSL_CITATION {"citationItems":[{"id":"ITEM-1","itemData":{"author":[{"dropping-particle":"","family":"Agencies for Nutrition Action","given":"","non-dropping-particle":"","parse-names":false,"suffix":""}],"id":"ITEM-1","issued":{"date-parts":[["2016"]]},"publisher":"Agencies for Nutrition Action","title":"Promoting healthy eating at the local government level","type":"report"},"uris":["http://www.mendeley.com/documents/?uuid=a90b8323-5502-3dbd-b1ba-a87207bd8f41","http://www.mendeley.com/documents/?uuid=a39770d1-8d6a-491c-b07b-f332331d2ac8"]}],"mendeley":{"formattedCitation":"(141)","plainTextFormattedCitation":"(141)","previouslyFormattedCitation":"(141)"},"properties":{"noteIndex":0},"schema":"https://github.com/citation-style-language/schema/raw/master/csl-citation.json"}</w:instrText>
            </w:r>
            <w:r w:rsidR="00A45C87" w:rsidRPr="0091450A">
              <w:rPr>
                <w:rFonts w:cs="Times New Roman"/>
                <w:bCs/>
                <w:szCs w:val="20"/>
                <w:lang w:eastAsia="en-NZ"/>
              </w:rPr>
              <w:fldChar w:fldCharType="separate"/>
            </w:r>
            <w:r w:rsidR="009C4029" w:rsidRPr="009C4029">
              <w:rPr>
                <w:rFonts w:cs="Times New Roman"/>
                <w:bCs/>
                <w:noProof/>
                <w:szCs w:val="20"/>
                <w:lang w:eastAsia="en-NZ"/>
              </w:rPr>
              <w:t>(141)</w:t>
            </w:r>
            <w:r w:rsidR="00A45C87" w:rsidRPr="0091450A">
              <w:rPr>
                <w:rFonts w:cs="Times New Roman"/>
                <w:bCs/>
                <w:szCs w:val="20"/>
                <w:lang w:eastAsia="en-NZ"/>
              </w:rPr>
              <w:fldChar w:fldCharType="end"/>
            </w:r>
            <w:r w:rsidR="00A45C87" w:rsidRPr="0091450A">
              <w:rPr>
                <w:rFonts w:cs="Times New Roman"/>
                <w:bCs/>
                <w:szCs w:val="20"/>
                <w:lang w:eastAsia="en-NZ"/>
              </w:rPr>
              <w:t>.</w:t>
            </w:r>
            <w:r w:rsidRPr="0091450A">
              <w:rPr>
                <w:rFonts w:cs="Times New Roman"/>
                <w:bCs/>
                <w:szCs w:val="20"/>
                <w:lang w:eastAsia="en-NZ"/>
              </w:rPr>
              <w:t xml:space="preserve"> </w:t>
            </w:r>
          </w:p>
          <w:p w14:paraId="0C0678FC" w14:textId="77777777" w:rsidR="001E4D45" w:rsidRPr="0091450A" w:rsidRDefault="001E4D45" w:rsidP="002D613F">
            <w:pPr>
              <w:spacing w:before="40" w:after="40"/>
              <w:rPr>
                <w:b/>
                <w:color w:val="1F497D"/>
              </w:rPr>
            </w:pPr>
          </w:p>
          <w:p w14:paraId="12B24A81" w14:textId="3620C4EB"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4249EE40" w14:textId="79896ABA" w:rsidR="001E4D45" w:rsidRPr="0091450A" w:rsidRDefault="001E4D45" w:rsidP="002D613F">
            <w:pPr>
              <w:pStyle w:val="ListParagraph"/>
              <w:keepNext/>
              <w:numPr>
                <w:ilvl w:val="0"/>
                <w:numId w:val="93"/>
              </w:numPr>
              <w:spacing w:before="40" w:after="40"/>
              <w:ind w:left="284" w:hanging="284"/>
              <w:rPr>
                <w:rFonts w:eastAsia="Times New Roman" w:cs="Times New Roman"/>
                <w:szCs w:val="20"/>
                <w:lang w:eastAsia="en-NZ"/>
              </w:rPr>
            </w:pPr>
            <w:r w:rsidRPr="0091450A">
              <w:rPr>
                <w:rFonts w:eastAsia="Times New Roman" w:cs="Times New Roman"/>
                <w:b/>
                <w:szCs w:val="20"/>
                <w:lang w:eastAsia="en-NZ"/>
              </w:rPr>
              <w:t>South Korea</w:t>
            </w:r>
            <w:r w:rsidRPr="0091450A">
              <w:rPr>
                <w:rFonts w:eastAsia="Times New Roman" w:cs="Times New Roman"/>
                <w:szCs w:val="20"/>
                <w:lang w:eastAsia="en-NZ"/>
              </w:rPr>
              <w:t xml:space="preserve">: In 2010 the Special Act on Children’s Dietary Life Safety </w:t>
            </w:r>
            <w:r w:rsidR="009441FE" w:rsidRPr="0091450A">
              <w:rPr>
                <w:rFonts w:eastAsia="Times New Roman" w:cs="Times New Roman"/>
                <w:szCs w:val="20"/>
                <w:lang w:eastAsia="en-NZ"/>
              </w:rPr>
              <w:t>Management established</w:t>
            </w:r>
            <w:r w:rsidRPr="0091450A">
              <w:rPr>
                <w:rFonts w:eastAsia="Times New Roman" w:cs="Times New Roman"/>
                <w:szCs w:val="20"/>
                <w:lang w:eastAsia="en-NZ"/>
              </w:rPr>
              <w:t xml:space="preserve"> the creation of ‘Green Food Zones’ around schools, banning the sale of foods (fast food and soda) deemed unhealthy by the Food and Drug Administration of Korea within 200 metres of schools </w:t>
            </w:r>
            <w:r w:rsidR="009441FE"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{"citationItems":[{"id":"ITEM-1","itemData":{"URL":"https://www.mfds.go.kr/eng/index.do?nMenuCode=66","author":[{"dropping-particle":"","family":"Ministry of Food and Drug Safety","given":"","non-dropping-particle":"","parse-names":false,"suffix":""}],"id":"ITEM-1","issue":"13/03/2017","issued":{"date-parts":[["2017"]]},"title":"The Special Act on the Safety Management of Children's Dietary Life","type":"webpage"},"uris":["http://www.mendeley.com/documents/?uuid=5b1e1c96-015d-3ed4-bf68-2e35aae72724","http://www.mendeley.com/documents/?uuid=68ca0778-d8e0-4d2a-9959-fc4e6ba68f34"]},{"id":"ITEM-2","itemData":{"DOI":"10.3961/jpmph.2012.45.1.47","ISBN":"2233-4521 (Electronic)\r1975-8375 (Linking)","PMID":"22389758","author":[{"dropping-particle":"","family":"Bae","given":"S G","non-dropping-particle":"","parse-names":false,"suffix":""},{"dropping-particle":"","family":"Kim","given":"J Y","non-dropping-particle":"","parse-names":false,"suffix":""},{"dropping-particle":"","family":"Kim","given":"K Y","non-dropping-particle":"","parse-names":false,"suffix":""},{"dropping-particle":"","family":"Park","given":"S W","non-dropping-particle":"","parse-names":false,"suffix":""},{"dropping-particle":"","family":"Bae","given":"J","non-dropping-particle":"","parse-names":false,"suffix":""},{"dropping-particle":"","family":"Lee","given":"W K","non-dropping-particle":"","parse-names":false,"suffix":""}],"container-title":"J Prev Med Public Health","id":"ITEM-2","issue":"1","issued":{"date-parts":[["2012"]]},"page":"47-59","title":"Changes in dietary behavior among adolescents and their association with government nutrition policies in Korea, 2005-2009","type":"article-journal","volume":"45"},"uris":["http://www.mendeley.com/documents/?uuid=557610d1-77a5-3b5f-8e11-1cdd32ab7f97","http://www.mendeley.com/documents/?uuid=cd3c8390-1a51-4f07-9fdb-e141e226d8c3"]}],"mendeley":{"formattedCitation":"(142,143)","plainTextFormattedCitation":"(142,143)","previouslyFormattedCitation":"(142,143)"},"properties":{"noteIndex":0},"schema":"https://github.com/citation-style-language/schema/raw/master/csl-citation.json"}</w:instrText>
            </w:r>
            <w:r w:rsidR="009441FE"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(142,143)</w:t>
            </w:r>
            <w:r w:rsidR="009441FE" w:rsidRPr="0091450A">
              <w:rPr>
                <w:rFonts w:eastAsia="Times New Roman" w:cs="Times New Roman"/>
                <w:szCs w:val="20"/>
                <w:lang w:eastAsia="en-NZ"/>
              </w:rPr>
              <w:fldChar w:fldCharType="end"/>
            </w:r>
            <w:r w:rsidR="009441FE" w:rsidRPr="0091450A">
              <w:rPr>
                <w:rFonts w:eastAsia="Times New Roman" w:cs="Times New Roman"/>
                <w:szCs w:val="20"/>
                <w:lang w:eastAsia="en-NZ"/>
              </w:rPr>
              <w:t xml:space="preserve"> </w:t>
            </w:r>
            <w:r w:rsidRPr="0091450A">
              <w:rPr>
                <w:rFonts w:eastAsia="Times New Roman" w:cs="Times New Roman"/>
                <w:szCs w:val="20"/>
                <w:lang w:eastAsia="en-NZ"/>
              </w:rPr>
              <w:t xml:space="preserve">In 2016, Green Food Zones existed at over 10000 schools. </w:t>
            </w:r>
          </w:p>
          <w:p w14:paraId="78FBB7D1" w14:textId="4909466D" w:rsidR="001E4D45" w:rsidRPr="0091450A" w:rsidRDefault="001E4D45" w:rsidP="002D613F">
            <w:pPr>
              <w:pStyle w:val="ListParagraph"/>
              <w:keepNext/>
              <w:numPr>
                <w:ilvl w:val="0"/>
                <w:numId w:val="93"/>
              </w:numPr>
              <w:spacing w:before="40" w:after="40"/>
              <w:ind w:left="284" w:hanging="284"/>
              <w:rPr>
                <w:rFonts w:eastAsia="Times New Roman" w:cs="Times New Roman"/>
                <w:szCs w:val="20"/>
                <w:lang w:eastAsia="en-NZ"/>
              </w:rPr>
            </w:pPr>
            <w:r w:rsidRPr="0091450A">
              <w:rPr>
                <w:rFonts w:eastAsia="Times New Roman" w:cs="Times New Roman"/>
                <w:b/>
                <w:szCs w:val="20"/>
                <w:lang w:eastAsia="en-NZ"/>
              </w:rPr>
              <w:t>Dublin (Ireland):</w:t>
            </w:r>
            <w:r w:rsidRPr="0091450A">
              <w:rPr>
                <w:rFonts w:eastAsia="Times New Roman" w:cs="Times New Roman"/>
                <w:szCs w:val="20"/>
                <w:lang w:eastAsia="en-NZ"/>
              </w:rPr>
              <w:t xml:space="preserve">  Fast-food takeaways will be banned from opening within 250 metres of schools, Dublin city councillors have ruled.</w:t>
            </w:r>
            <w:r w:rsidR="0017280F" w:rsidRPr="0091450A">
              <w:rPr>
                <w:rFonts w:eastAsia="Times New Roman" w:cs="Times New Roman"/>
                <w:szCs w:val="20"/>
                <w:lang w:eastAsia="en-NZ"/>
              </w:rPr>
              <w:t xml:space="preserve"> </w:t>
            </w:r>
            <w:r w:rsidRPr="0091450A">
              <w:rPr>
                <w:rFonts w:eastAsia="Times New Roman" w:cs="Times New Roman"/>
                <w:szCs w:val="20"/>
                <w:lang w:eastAsia="en-NZ"/>
              </w:rPr>
              <w:t xml:space="preserve">The measure to enforce </w:t>
            </w:r>
            <w:r w:rsidR="000E462E" w:rsidRPr="0091450A">
              <w:rPr>
                <w:rFonts w:eastAsia="Times New Roman" w:cs="Times New Roman"/>
                <w:szCs w:val="20"/>
                <w:lang w:eastAsia="en-NZ"/>
              </w:rPr>
              <w:t>‘</w:t>
            </w:r>
            <w:r w:rsidRPr="0091450A">
              <w:rPr>
                <w:rFonts w:eastAsia="Times New Roman" w:cs="Times New Roman"/>
                <w:szCs w:val="20"/>
                <w:lang w:eastAsia="en-NZ"/>
              </w:rPr>
              <w:t>no-fry zones</w:t>
            </w:r>
            <w:r w:rsidR="000E462E" w:rsidRPr="0091450A">
              <w:rPr>
                <w:rFonts w:eastAsia="Times New Roman" w:cs="Times New Roman"/>
                <w:szCs w:val="20"/>
                <w:lang w:eastAsia="en-NZ"/>
              </w:rPr>
              <w:t>’</w:t>
            </w:r>
            <w:r w:rsidRPr="0091450A">
              <w:rPr>
                <w:rFonts w:eastAsia="Times New Roman" w:cs="Times New Roman"/>
                <w:szCs w:val="20"/>
                <w:lang w:eastAsia="en-NZ"/>
              </w:rPr>
              <w:t xml:space="preserve"> will be included in a draft version of the council’s six-year development plan. City planners will be obliged to refuse planning permission to fast food businesses if the move is formally adopted after public consultation</w:t>
            </w:r>
            <w:r w:rsidR="004745E3" w:rsidRPr="0091450A">
              <w:rPr>
                <w:rFonts w:eastAsia="Times New Roman" w:cs="Times New Roman"/>
                <w:szCs w:val="20"/>
                <w:lang w:eastAsia="en-NZ"/>
              </w:rPr>
              <w:t xml:space="preserve"> </w:t>
            </w:r>
            <w:r w:rsidR="00682C45"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{"citationItems":[{"id":"ITEM-1","itemData":{"URL":"http://www.thetimes.co.uk/article/ban-on-fast-food-near-schools-approved-prm823vpp","author":[{"dropping-particle":"","family":"The Times","given":"","non-dropping-particle":"","parse-names":false,"suffix":""}],"id":"ITEM-1","issue":"16/06/2016","issued":{"date-parts":[["2016"]]},"title":"Ban on fast food near schools approved","type":"webpage"},"uris":["http://www.mendeley.com/documents/?uuid=52f2739a-0caf-3c7f-8c7c-e9965857249d","http://www.mendeley.com/documents/?uuid=ca325bb6-f8c1-4773-bb85-99b8e5ca8d29"]}],"mendeley":{"formattedCitation":"(144)","plainTextFormattedCitation":"(144)","previouslyFormattedCitation":"(144)"},"properties":{"noteIndex":0},"schema":"https://github.com/citation-style-language/schema/raw/master/csl-citation.json"}</w:instrText>
            </w:r>
            <w:r w:rsidR="00682C45"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(144)</w:t>
            </w:r>
            <w:r w:rsidR="00682C45" w:rsidRPr="0091450A">
              <w:rPr>
                <w:rFonts w:eastAsia="Times New Roman" w:cs="Times New Roman"/>
                <w:szCs w:val="20"/>
                <w:lang w:eastAsia="en-NZ"/>
              </w:rPr>
              <w:fldChar w:fldCharType="end"/>
            </w:r>
            <w:r w:rsidR="00682C45" w:rsidRPr="0091450A">
              <w:rPr>
                <w:rFonts w:eastAsia="Times New Roman" w:cs="Times New Roman"/>
                <w:szCs w:val="20"/>
                <w:lang w:eastAsia="en-NZ"/>
              </w:rPr>
              <w:t>.</w:t>
            </w:r>
          </w:p>
          <w:p w14:paraId="0F5D713F" w14:textId="12F8525B" w:rsidR="001E4D45" w:rsidRPr="0091450A" w:rsidRDefault="001E4D45" w:rsidP="002D613F">
            <w:pPr>
              <w:pStyle w:val="ListParagraph"/>
              <w:keepNext/>
              <w:numPr>
                <w:ilvl w:val="0"/>
                <w:numId w:val="93"/>
              </w:numPr>
              <w:spacing w:before="40" w:after="40"/>
              <w:ind w:left="284" w:hanging="284"/>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In Detroit, the zoning code prohibits the building of fast</w:t>
            </w:r>
            <w:r w:rsidR="009602EB">
              <w:rPr>
                <w:rFonts w:eastAsia="Times New Roman" w:cs="Times New Roman"/>
                <w:szCs w:val="20"/>
                <w:lang w:eastAsia="en-NZ"/>
              </w:rPr>
              <w:t>-</w:t>
            </w:r>
            <w:r w:rsidRPr="0091450A">
              <w:rPr>
                <w:rFonts w:eastAsia="Times New Roman" w:cs="Times New Roman"/>
                <w:szCs w:val="20"/>
                <w:lang w:eastAsia="en-NZ"/>
              </w:rPr>
              <w:t>food restaurants within 500 ft. of all elementary, junior and senior high schools</w:t>
            </w:r>
            <w:r w:rsidR="004745E3" w:rsidRPr="0091450A">
              <w:rPr>
                <w:rFonts w:eastAsia="Times New Roman" w:cs="Times New Roman"/>
                <w:szCs w:val="20"/>
                <w:lang w:eastAsia="en-NZ"/>
              </w:rPr>
              <w:t xml:space="preserve"> </w:t>
            </w:r>
            <w:r w:rsidR="00627FD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627FD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627FDD" w:rsidRPr="0091450A">
              <w:rPr>
                <w:rFonts w:eastAsia="Times New Roman" w:cs="Times New Roman"/>
                <w:szCs w:val="20"/>
                <w:lang w:eastAsia="en-NZ"/>
              </w:rPr>
              <w:fldChar w:fldCharType="end"/>
            </w:r>
            <w:r w:rsidR="00627FDD" w:rsidRPr="0091450A">
              <w:rPr>
                <w:rFonts w:eastAsia="Times New Roman" w:cs="Times New Roman"/>
                <w:szCs w:val="20"/>
                <w:lang w:eastAsia="en-NZ"/>
              </w:rPr>
              <w:t>.</w:t>
            </w:r>
          </w:p>
          <w:p w14:paraId="65BC79D8" w14:textId="72539856" w:rsidR="00D92488" w:rsidRPr="0091450A" w:rsidRDefault="001E4D45" w:rsidP="002D613F">
            <w:pPr>
              <w:pStyle w:val="ListParagraph"/>
              <w:keepNext/>
              <w:numPr>
                <w:ilvl w:val="0"/>
                <w:numId w:val="93"/>
              </w:numPr>
              <w:spacing w:before="40" w:after="40"/>
              <w:ind w:left="284" w:hanging="284"/>
              <w:rPr>
                <w:rFonts w:eastAsia="Times New Roman" w:cs="Times New Roman"/>
                <w:szCs w:val="20"/>
                <w:lang w:eastAsia="en-NZ"/>
              </w:rPr>
            </w:pPr>
            <w:r w:rsidRPr="0091450A">
              <w:rPr>
                <w:rFonts w:eastAsia="Times New Roman" w:cs="Times New Roman"/>
                <w:b/>
                <w:szCs w:val="20"/>
                <w:lang w:eastAsia="en-NZ"/>
              </w:rPr>
              <w:t>UK</w:t>
            </w:r>
            <w:r w:rsidRPr="0091450A">
              <w:rPr>
                <w:rFonts w:eastAsia="Times New Roman" w:cs="Times New Roman"/>
                <w:szCs w:val="20"/>
                <w:lang w:eastAsia="en-NZ"/>
              </w:rPr>
              <w:t>: Around 15 loc</w:t>
            </w:r>
            <w:r w:rsidR="000E462E" w:rsidRPr="0091450A">
              <w:rPr>
                <w:rFonts w:eastAsia="Times New Roman" w:cs="Times New Roman"/>
                <w:szCs w:val="20"/>
                <w:lang w:eastAsia="en-NZ"/>
              </w:rPr>
              <w:t>al authorities have developed ‘</w:t>
            </w:r>
            <w:r w:rsidRPr="0091450A">
              <w:rPr>
                <w:rFonts w:eastAsia="Times New Roman" w:cs="Times New Roman"/>
                <w:szCs w:val="20"/>
                <w:lang w:eastAsia="en-NZ"/>
              </w:rPr>
              <w:t>s</w:t>
            </w:r>
            <w:r w:rsidR="000E462E" w:rsidRPr="0091450A">
              <w:rPr>
                <w:rFonts w:eastAsia="Times New Roman" w:cs="Times New Roman"/>
                <w:szCs w:val="20"/>
                <w:lang w:eastAsia="en-NZ"/>
              </w:rPr>
              <w:t>upplementary planning documents’</w:t>
            </w:r>
            <w:r w:rsidRPr="0091450A">
              <w:rPr>
                <w:rFonts w:eastAsia="Times New Roman" w:cs="Times New Roman"/>
                <w:szCs w:val="20"/>
                <w:lang w:eastAsia="en-NZ"/>
              </w:rPr>
              <w:t xml:space="preserve"> on the development of hot food takeaways. The policies typically exclude hot food takeaways from a 400m zon</w:t>
            </w:r>
            <w:r w:rsidR="00046833" w:rsidRPr="0091450A">
              <w:rPr>
                <w:rFonts w:eastAsia="Times New Roman" w:cs="Times New Roman"/>
                <w:szCs w:val="20"/>
                <w:lang w:eastAsia="en-NZ"/>
              </w:rPr>
              <w:t>e around the target location (</w:t>
            </w:r>
            <w:r w:rsidR="001A37CC" w:rsidRPr="0091450A">
              <w:rPr>
                <w:rFonts w:eastAsia="Times New Roman" w:cs="Times New Roman"/>
                <w:szCs w:val="20"/>
                <w:lang w:eastAsia="en-NZ"/>
              </w:rPr>
              <w:t>e.g.</w:t>
            </w:r>
            <w:r w:rsidRPr="0091450A">
              <w:rPr>
                <w:rFonts w:eastAsia="Times New Roman" w:cs="Times New Roman"/>
                <w:szCs w:val="20"/>
                <w:lang w:eastAsia="en-NZ"/>
              </w:rPr>
              <w:t xml:space="preserve"> primary schools). For example, Barking and Dagenham’s Local Borough Council, London, adopted a policy in 2010 restricting the clustering of hot food takeaways and banning them entirely from 400m exclusion zones around schools. In 2009, the Local Borough Council of Waltham Forest, London developed a planning policy in 2009 restricting the development of hot food takeaways in local </w:t>
            </w:r>
            <w:r w:rsidR="00F67453" w:rsidRPr="0091450A">
              <w:rPr>
                <w:rFonts w:eastAsia="Times New Roman" w:cs="Times New Roman"/>
                <w:szCs w:val="20"/>
                <w:lang w:eastAsia="en-NZ"/>
              </w:rPr>
              <w:lastRenderedPageBreak/>
              <w:t>centres and</w:t>
            </w:r>
            <w:r w:rsidRPr="0091450A">
              <w:rPr>
                <w:rFonts w:eastAsia="Times New Roman" w:cs="Times New Roman"/>
                <w:szCs w:val="20"/>
                <w:lang w:eastAsia="en-NZ"/>
              </w:rPr>
              <w:t xml:space="preserve"> excluding them completely from areas within 10min walks from schools, parks or other youth centres. St Helens Council adopted a planning document in 2011 and Halton in 2012 </w:t>
            </w:r>
            <w:r w:rsidR="009D55CF"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9D55CF"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9D55CF" w:rsidRPr="0091450A">
              <w:rPr>
                <w:rFonts w:eastAsia="Times New Roman" w:cs="Times New Roman"/>
                <w:szCs w:val="20"/>
                <w:lang w:eastAsia="en-NZ"/>
              </w:rPr>
              <w:fldChar w:fldCharType="end"/>
            </w:r>
            <w:r w:rsidR="009D55CF" w:rsidRPr="0091450A">
              <w:rPr>
                <w:rFonts w:eastAsia="Times New Roman" w:cs="Times New Roman"/>
                <w:szCs w:val="20"/>
                <w:lang w:eastAsia="en-NZ"/>
              </w:rPr>
              <w:t>.</w:t>
            </w:r>
          </w:p>
        </w:tc>
      </w:tr>
    </w:tbl>
    <w:p w14:paraId="037B63F2" w14:textId="598AEF65" w:rsidR="00A55A5D" w:rsidRDefault="00A55A5D" w:rsidP="002D613F">
      <w:pPr>
        <w:spacing w:after="0" w:line="240" w:lineRule="auto"/>
      </w:pPr>
    </w:p>
    <w:p w14:paraId="420ED24E" w14:textId="77777777" w:rsidR="00817CF7" w:rsidRPr="0091450A" w:rsidRDefault="00817CF7" w:rsidP="002D613F">
      <w:pPr>
        <w:spacing w:after="0" w:line="240" w:lineRule="auto"/>
      </w:pPr>
    </w:p>
    <w:tbl>
      <w:tblPr>
        <w:tblStyle w:val="TableGrid"/>
        <w:tblW w:w="9209" w:type="dxa"/>
        <w:tblLook w:val="04A0" w:firstRow="1" w:lastRow="0" w:firstColumn="1" w:lastColumn="0" w:noHBand="0" w:noVBand="1"/>
      </w:tblPr>
      <w:tblGrid>
        <w:gridCol w:w="9209"/>
      </w:tblGrid>
      <w:tr w:rsidR="004434B6" w:rsidRPr="0091450A" w14:paraId="7150A674" w14:textId="77777777" w:rsidTr="00CA16E1">
        <w:tc>
          <w:tcPr>
            <w:tcW w:w="9209" w:type="dxa"/>
          </w:tcPr>
          <w:p w14:paraId="2FB5ECF8" w14:textId="78199DB7" w:rsidR="004434B6" w:rsidRPr="0091450A" w:rsidRDefault="004434B6"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6 FOOD RETAIL: </w:t>
            </w:r>
            <w:r w:rsidRPr="0091450A">
              <w:rPr>
                <w:rFonts w:cs="Times New Roman"/>
                <w:bCs/>
                <w:szCs w:val="20"/>
              </w:rPr>
              <w:t>The government has the power to implement policies and programs to support the availability of healthy foods and limit the availability of unhealthy foods in communities (outlet density and locations) and in-store (product placement)</w:t>
            </w:r>
            <w:r w:rsidR="00B84E85" w:rsidRPr="0091450A">
              <w:rPr>
                <w:rFonts w:cs="Times New Roman"/>
                <w:bCs/>
                <w:szCs w:val="20"/>
              </w:rPr>
              <w:t>.</w:t>
            </w:r>
          </w:p>
        </w:tc>
      </w:tr>
      <w:tr w:rsidR="00C83AD3" w:rsidRPr="0091450A" w14:paraId="41131364" w14:textId="77777777" w:rsidTr="00CA16E1">
        <w:tc>
          <w:tcPr>
            <w:tcW w:w="9209" w:type="dxa"/>
          </w:tcPr>
          <w:p w14:paraId="57570978" w14:textId="68659F64" w:rsidR="00C83AD3" w:rsidRPr="0091450A" w:rsidRDefault="00C83AD3" w:rsidP="002D613F">
            <w:pPr>
              <w:shd w:val="clear" w:color="auto" w:fill="FFFFFF" w:themeFill="background1"/>
              <w:spacing w:before="40" w:after="40"/>
              <w:rPr>
                <w:rFonts w:cs="Times New Roman"/>
                <w:b/>
                <w:color w:val="1F497D" w:themeColor="text2"/>
                <w:sz w:val="28"/>
                <w:szCs w:val="28"/>
              </w:rPr>
            </w:pPr>
            <w:bookmarkStart w:id="39" w:name="_Toc31623737"/>
            <w:r w:rsidRPr="0091450A">
              <w:rPr>
                <w:rStyle w:val="Heading3Char"/>
              </w:rPr>
              <w:t>RETAIL2</w:t>
            </w:r>
            <w:bookmarkEnd w:id="39"/>
            <w:r w:rsidRPr="0091450A">
              <w:rPr>
                <w:rFonts w:cs="Times New Roman"/>
                <w:b/>
                <w:color w:val="1F497D" w:themeColor="text2"/>
                <w:sz w:val="28"/>
                <w:szCs w:val="28"/>
              </w:rPr>
              <w:t xml:space="preserve">: </w:t>
            </w:r>
            <w:r w:rsidR="0033317E" w:rsidRPr="0091450A">
              <w:rPr>
                <w:rFonts w:eastAsia="Times New Roman" w:cs="Times New Roman"/>
                <w:b/>
                <w:bCs/>
                <w:szCs w:val="20"/>
                <w:lang w:eastAsia="en-NZ"/>
              </w:rPr>
              <w:t>Zoning laws and policies are robust enough and are being used, where needed, by local governments to encourage the availability of outlets selling fresh fruit and vegetables</w:t>
            </w:r>
            <w:r w:rsidR="00B84E85" w:rsidRPr="0091450A">
              <w:rPr>
                <w:rFonts w:eastAsia="Times New Roman" w:cs="Times New Roman"/>
                <w:b/>
                <w:bCs/>
                <w:szCs w:val="20"/>
                <w:lang w:eastAsia="en-NZ"/>
              </w:rPr>
              <w:t>.</w:t>
            </w:r>
          </w:p>
        </w:tc>
      </w:tr>
      <w:tr w:rsidR="00C83AD3" w:rsidRPr="0091450A" w14:paraId="7AFF24F6" w14:textId="77777777" w:rsidTr="00CA16E1">
        <w:tc>
          <w:tcPr>
            <w:tcW w:w="9209" w:type="dxa"/>
          </w:tcPr>
          <w:p w14:paraId="0B87CF6F" w14:textId="3E6D9C0A"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572C2BD" w14:textId="72118E84" w:rsidR="00C83AD3" w:rsidRPr="0091450A" w:rsidRDefault="0017280F" w:rsidP="002D613F">
            <w:pPr>
              <w:pStyle w:val="ListParagraph"/>
              <w:numPr>
                <w:ilvl w:val="0"/>
                <w:numId w:val="42"/>
              </w:numPr>
              <w:shd w:val="clear" w:color="auto" w:fill="FFFFFF" w:themeFill="background1"/>
              <w:spacing w:before="40" w:after="40"/>
              <w:ind w:left="284" w:hanging="284"/>
              <w:contextualSpacing w:val="0"/>
              <w:rPr>
                <w:rFonts w:cs="Times New Roman"/>
                <w:bCs/>
                <w:szCs w:val="20"/>
              </w:rPr>
            </w:pPr>
            <w:r w:rsidRPr="0091450A">
              <w:rPr>
                <w:rFonts w:cs="Times New Roman"/>
                <w:bCs/>
                <w:szCs w:val="20"/>
              </w:rPr>
              <w:t>There are n</w:t>
            </w:r>
            <w:r w:rsidR="00C83AD3" w:rsidRPr="0091450A">
              <w:rPr>
                <w:rFonts w:cs="Times New Roman"/>
                <w:bCs/>
                <w:szCs w:val="20"/>
              </w:rPr>
              <w:t xml:space="preserve">o zoning laws </w:t>
            </w:r>
            <w:r w:rsidR="00A635D3" w:rsidRPr="0091450A">
              <w:rPr>
                <w:rFonts w:cs="Times New Roman"/>
                <w:bCs/>
                <w:szCs w:val="20"/>
              </w:rPr>
              <w:t>in existence to encourage the availability of outlets selling fresh fruit and vegetables in NZ.</w:t>
            </w:r>
            <w:r w:rsidR="00C83AD3" w:rsidRPr="0091450A">
              <w:rPr>
                <w:rFonts w:cs="Times New Roman"/>
                <w:bCs/>
                <w:szCs w:val="20"/>
              </w:rPr>
              <w:t xml:space="preserve"> </w:t>
            </w:r>
          </w:p>
          <w:p w14:paraId="5E23955F" w14:textId="77777777" w:rsidR="00C56AB7" w:rsidRPr="0091450A" w:rsidRDefault="00C56AB7" w:rsidP="002D613F">
            <w:pPr>
              <w:shd w:val="clear" w:color="auto" w:fill="FFFFFF" w:themeFill="background1"/>
              <w:rPr>
                <w:rFonts w:cs="Times New Roman"/>
                <w:bCs/>
                <w:szCs w:val="20"/>
              </w:rPr>
            </w:pPr>
          </w:p>
          <w:p w14:paraId="1F388271" w14:textId="23D3ECFA"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084D3443" w14:textId="744359E3" w:rsidR="00C56AB7" w:rsidRPr="0091450A" w:rsidRDefault="00C56AB7" w:rsidP="002D613F">
            <w:pPr>
              <w:pStyle w:val="ListParagraph"/>
              <w:keepNext/>
              <w:numPr>
                <w:ilvl w:val="0"/>
                <w:numId w:val="65"/>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xml:space="preserve">: In February 2014 the US Congress formally established the Healthy Food Financing Initiative (following a </w:t>
            </w:r>
            <w:r w:rsidR="00F67453" w:rsidRPr="0091450A">
              <w:rPr>
                <w:rFonts w:eastAsia="Times New Roman" w:cs="Times New Roman"/>
                <w:szCs w:val="20"/>
                <w:lang w:eastAsia="en-NZ"/>
              </w:rPr>
              <w:t>three-year</w:t>
            </w:r>
            <w:r w:rsidRPr="0091450A">
              <w:rPr>
                <w:rFonts w:eastAsia="Times New Roman" w:cs="Times New Roman"/>
                <w:szCs w:val="20"/>
                <w:lang w:eastAsia="en-NZ"/>
              </w:rPr>
              <w:t xml:space="preserve"> pilot) which provides grants to states to provide financial and/or other types of assistance to attract healthier retail outlets to underserved areas. The pilot distributed over 140 million USD in grants to states to provide financial and other types of assistance to attract healthier retail outlets in underserved areas. To date, 23 US states have implemented financing initiatives </w:t>
            </w:r>
            <w:r w:rsidR="00BF14E7"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BF14E7"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BF14E7" w:rsidRPr="0091450A">
              <w:rPr>
                <w:rFonts w:eastAsia="Times New Roman" w:cs="Times New Roman"/>
                <w:szCs w:val="20"/>
                <w:lang w:eastAsia="en-NZ"/>
              </w:rPr>
              <w:fldChar w:fldCharType="end"/>
            </w:r>
            <w:r w:rsidRPr="0091450A">
              <w:rPr>
                <w:rFonts w:eastAsia="Times New Roman" w:cs="Times New Roman"/>
                <w:szCs w:val="20"/>
                <w:lang w:eastAsia="en-NZ"/>
              </w:rPr>
              <w:t>. For example, the New Jersey Food Access Initiative provides affordable loans and grants for costs associated with building new supermarkets, expanding existing facilities, and purchasing and installing new equipment for supermarkets offering a full selection of unprepared, unprocessed, healthy foods in under-served areas; the initiative targets both for-profit and not-for-profit organisations and food cooperatives.</w:t>
            </w:r>
          </w:p>
          <w:p w14:paraId="2A70B351" w14:textId="554131B9" w:rsidR="00C56AB7" w:rsidRPr="0091450A" w:rsidRDefault="00C56AB7" w:rsidP="002D613F">
            <w:pPr>
              <w:pStyle w:val="ListParagraph"/>
              <w:keepNext/>
              <w:numPr>
                <w:ilvl w:val="0"/>
                <w:numId w:val="65"/>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New York</w:t>
            </w:r>
            <w:r w:rsidRPr="0091450A">
              <w:rPr>
                <w:rFonts w:eastAsia="Times New Roman" w:cs="Times New Roman"/>
                <w:szCs w:val="20"/>
                <w:lang w:eastAsia="en-NZ"/>
              </w:rPr>
              <w:t>: The ‘Green Cart Permit’ was developed with reduced restrictions on zoning requirements to increase the availability of fresh fruits and vegetables in designated, underserved neighbourhoods</w:t>
            </w:r>
            <w:r w:rsidR="00CD3382" w:rsidRPr="0091450A">
              <w:rPr>
                <w:rFonts w:eastAsia="Times New Roman" w:cs="Times New Roman"/>
                <w:szCs w:val="20"/>
                <w:lang w:eastAsia="en-NZ"/>
              </w:rPr>
              <w:t xml:space="preserve"> </w:t>
            </w:r>
            <w:r w:rsidR="00CD3382"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CD3382"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CD3382" w:rsidRPr="0091450A">
              <w:rPr>
                <w:rFonts w:eastAsia="Times New Roman" w:cs="Times New Roman"/>
                <w:szCs w:val="20"/>
                <w:lang w:eastAsia="en-NZ"/>
              </w:rPr>
              <w:fldChar w:fldCharType="end"/>
            </w:r>
            <w:r w:rsidRPr="0091450A">
              <w:rPr>
                <w:rFonts w:eastAsia="Times New Roman" w:cs="Times New Roman"/>
                <w:szCs w:val="20"/>
                <w:lang w:eastAsia="en-NZ"/>
              </w:rPr>
              <w:t>. In 2008 New York City made 1000 licences for green carts available to street vendors who exclusively sell fresh fruit and vegetables in neighbourhoods with limited access to healthy foods</w:t>
            </w:r>
            <w:r w:rsidR="004745E3" w:rsidRPr="0091450A">
              <w:rPr>
                <w:rFonts w:eastAsia="Times New Roman" w:cs="Times New Roman"/>
                <w:szCs w:val="20"/>
                <w:lang w:eastAsia="en-NZ"/>
              </w:rPr>
              <w:t xml:space="preserve"> </w:t>
            </w:r>
            <w:r w:rsidR="00CD3382"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CD3382"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CD3382" w:rsidRPr="0091450A">
              <w:rPr>
                <w:rFonts w:eastAsia="Times New Roman" w:cs="Times New Roman"/>
                <w:szCs w:val="20"/>
                <w:lang w:eastAsia="en-NZ"/>
              </w:rPr>
              <w:fldChar w:fldCharType="end"/>
            </w:r>
            <w:r w:rsidRPr="0091450A">
              <w:rPr>
                <w:rFonts w:eastAsia="Times New Roman" w:cs="Times New Roman"/>
                <w:szCs w:val="20"/>
                <w:lang w:eastAsia="en-NZ"/>
              </w:rPr>
              <w:t xml:space="preserve">. In addition, in 2009, New York City established the food retail expansion to support health program of New York City (FRESH). Under the programme, financial and zoning incentives are offered to promote neighbourhood grocery stores offering fresh meat, fruit and vegetables in under-served communities. The financial benefits </w:t>
            </w:r>
            <w:r w:rsidR="00651244" w:rsidRPr="0091450A">
              <w:rPr>
                <w:rFonts w:eastAsia="Times New Roman" w:cs="Times New Roman"/>
                <w:szCs w:val="20"/>
                <w:lang w:eastAsia="en-NZ"/>
              </w:rPr>
              <w:t>consist</w:t>
            </w:r>
            <w:r w:rsidRPr="0091450A">
              <w:rPr>
                <w:rFonts w:eastAsia="Times New Roman" w:cs="Times New Roman"/>
                <w:szCs w:val="20"/>
                <w:lang w:eastAsia="en-NZ"/>
              </w:rPr>
              <w:t xml:space="preserve"> of an exemption or reduction of certain taxes. The zoning incentives consist of providing additional floor area in mixed buildings, reducing the amount of required parking, and permitting larger grocery stores in light manufacturing districts</w:t>
            </w:r>
            <w:r w:rsidR="004745E3" w:rsidRPr="0091450A">
              <w:rPr>
                <w:rFonts w:eastAsia="Times New Roman" w:cs="Times New Roman"/>
                <w:szCs w:val="20"/>
                <w:lang w:eastAsia="en-NZ"/>
              </w:rPr>
              <w:t xml:space="preserve"> </w:t>
            </w:r>
          </w:p>
          <w:p w14:paraId="04F30B24" w14:textId="3FCDA9D2" w:rsidR="00C56AB7" w:rsidRPr="0091450A" w:rsidRDefault="00C56AB7" w:rsidP="002D613F">
            <w:pPr>
              <w:pStyle w:val="ListParagraph"/>
              <w:keepNext/>
              <w:numPr>
                <w:ilvl w:val="0"/>
                <w:numId w:val="65"/>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Scotland</w:t>
            </w:r>
            <w:r w:rsidRPr="0091450A">
              <w:rPr>
                <w:rFonts w:eastAsia="Times New Roman" w:cs="Times New Roman"/>
                <w:szCs w:val="20"/>
                <w:lang w:eastAsia="en-NZ"/>
              </w:rPr>
              <w:t xml:space="preserve">: In 2004, a small group of suppliers and retailers in Scotland established a pilot project called Healthy Living Neighbourhood Shops to increase the availability of healthier food options throughout Scotland, in both deprived and affluent areas, where little or no option existed to buy. The programme received funding from the Scottish Executive and worked closely with the Scottish Grocers’ Federation, which represents convenience stores throughout Scotland. Through </w:t>
            </w:r>
            <w:r w:rsidR="00F879D3" w:rsidRPr="0091450A">
              <w:rPr>
                <w:rFonts w:eastAsia="Times New Roman" w:cs="Times New Roman"/>
                <w:szCs w:val="20"/>
                <w:lang w:eastAsia="en-NZ"/>
              </w:rPr>
              <w:t>several</w:t>
            </w:r>
            <w:r w:rsidRPr="0091450A">
              <w:rPr>
                <w:rFonts w:eastAsia="Times New Roman" w:cs="Times New Roman"/>
                <w:szCs w:val="20"/>
                <w:lang w:eastAsia="en-NZ"/>
              </w:rPr>
              <w:t xml:space="preserve"> different trials, the programme established clear criteria for increasing sales </w:t>
            </w:r>
            <w:r w:rsidR="00F879D3" w:rsidRPr="0091450A">
              <w:rPr>
                <w:rFonts w:eastAsia="Times New Roman" w:cs="Times New Roman"/>
                <w:szCs w:val="20"/>
                <w:lang w:eastAsia="en-NZ"/>
              </w:rPr>
              <w:t>and</w:t>
            </w:r>
            <w:r w:rsidRPr="0091450A">
              <w:rPr>
                <w:rFonts w:eastAsia="Times New Roman" w:cs="Times New Roman"/>
                <w:szCs w:val="20"/>
                <w:lang w:eastAsia="en-NZ"/>
              </w:rPr>
              <w:t xml:space="preserve"> developed bespoke equipment/point of sale (POS) materials which were given to participating retailers free of charge. This has led to around 600 convenience stores across Scotland improving their range, quality and stock of fresh fruit and vegetables and other healthier eating products</w:t>
            </w:r>
            <w:r w:rsidR="004745E3" w:rsidRPr="0091450A">
              <w:rPr>
                <w:rFonts w:eastAsia="Times New Roman" w:cs="Times New Roman"/>
                <w:szCs w:val="20"/>
                <w:lang w:eastAsia="en-NZ"/>
              </w:rPr>
              <w:t xml:space="preserve"> </w:t>
            </w:r>
            <w:r w:rsidR="00854EE9"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{"citationItems":[{"id":"ITEM-1","itemData":{"URL":"https://www.gov.uk/government/uploads/system/uploads/attachment_data/file/215984/dh_120801.pdf","author":[{"dropping-particle":"","family":"Department of Health","given":"","non-dropping-particle":"","parse-names":false,"suffix":""}],"id":"ITEM-1","issue":"27/03/2016","issued":{"date-parts":[["0"]]},"title":"Change4Life Convenience Stores Evaluation Report ","type":"webpage"},"uris":["http://www.mendeley.com/documents/?uuid=4f9d09e1-5a71-3a0e-8e11-9faec3e67338","http://www.mendeley.com/documents/?uuid=8fd3089a-6d51-4bdc-9cfa-608270e5dc3f"]}],"mendeley":{"formattedCitation":"(145)","plainTextFormattedCitation":"(145)","previouslyFormattedCitation":"(145)"},"properties":{"noteIndex":0},"schema":"https://github.com/citation-style-language/schema/raw/master/csl-citation.json"}</w:instrText>
            </w:r>
            <w:r w:rsidR="00854EE9"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(145)</w:t>
            </w:r>
            <w:r w:rsidR="00854EE9" w:rsidRPr="0091450A">
              <w:rPr>
                <w:rFonts w:eastAsia="Times New Roman" w:cs="Times New Roman"/>
                <w:szCs w:val="20"/>
                <w:lang w:eastAsia="en-NZ"/>
              </w:rPr>
              <w:fldChar w:fldCharType="end"/>
            </w:r>
            <w:r w:rsidR="00854EE9" w:rsidRPr="0091450A">
              <w:rPr>
                <w:rFonts w:eastAsia="Times New Roman" w:cs="Times New Roman"/>
                <w:szCs w:val="20"/>
                <w:lang w:eastAsia="en-NZ"/>
              </w:rPr>
              <w:t>.</w:t>
            </w:r>
          </w:p>
        </w:tc>
      </w:tr>
    </w:tbl>
    <w:p w14:paraId="272E76FC" w14:textId="77777777" w:rsidR="00FC5AB1" w:rsidRPr="0091450A" w:rsidRDefault="00FC5AB1" w:rsidP="002D613F">
      <w:pPr>
        <w:spacing w:after="0" w:line="240" w:lineRule="auto"/>
      </w:pPr>
    </w:p>
    <w:tbl>
      <w:tblPr>
        <w:tblStyle w:val="TableGrid"/>
        <w:tblW w:w="9209" w:type="dxa"/>
        <w:tblLook w:val="04A0" w:firstRow="1" w:lastRow="0" w:firstColumn="1" w:lastColumn="0" w:noHBand="0" w:noVBand="1"/>
      </w:tblPr>
      <w:tblGrid>
        <w:gridCol w:w="9209"/>
      </w:tblGrid>
      <w:tr w:rsidR="00FC5AB1" w:rsidRPr="0091450A" w14:paraId="2DC6EAD5" w14:textId="77777777" w:rsidTr="00CA16E1">
        <w:tc>
          <w:tcPr>
            <w:tcW w:w="9209" w:type="dxa"/>
          </w:tcPr>
          <w:p w14:paraId="77CA7A68" w14:textId="3D6907E8" w:rsidR="00FC5AB1" w:rsidRPr="0091450A" w:rsidRDefault="00FC5AB1"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6 FOOD RETAIL: </w:t>
            </w:r>
            <w:r w:rsidRPr="0091450A">
              <w:rPr>
                <w:rFonts w:cs="Times New Roman"/>
                <w:bCs/>
                <w:szCs w:val="20"/>
              </w:rPr>
              <w:t>The government has the power to implement policies and programs to support the availability of healthy foods and limit the availability of unhealthy foods in communities (outlet density and locations) and in-store (product placement)</w:t>
            </w:r>
          </w:p>
        </w:tc>
      </w:tr>
      <w:tr w:rsidR="004434B6" w:rsidRPr="0091450A" w14:paraId="54BB0FDA" w14:textId="77777777" w:rsidTr="00CA16E1">
        <w:tc>
          <w:tcPr>
            <w:tcW w:w="9209" w:type="dxa"/>
          </w:tcPr>
          <w:p w14:paraId="3E0EB178" w14:textId="4824ECFD" w:rsidR="004434B6" w:rsidRPr="0091450A" w:rsidRDefault="004434B6" w:rsidP="002D613F">
            <w:pPr>
              <w:shd w:val="clear" w:color="auto" w:fill="FFFFFF" w:themeFill="background1"/>
              <w:spacing w:before="40" w:after="40"/>
              <w:rPr>
                <w:rFonts w:cs="Times New Roman"/>
                <w:color w:val="000000"/>
                <w:lang w:eastAsia="en-NZ"/>
              </w:rPr>
            </w:pPr>
            <w:bookmarkStart w:id="40" w:name="_Toc31623738"/>
            <w:r w:rsidRPr="0091450A">
              <w:rPr>
                <w:rStyle w:val="Heading3Char"/>
              </w:rPr>
              <w:t>RETAIL</w:t>
            </w:r>
            <w:r w:rsidR="00C83AD3" w:rsidRPr="0091450A">
              <w:rPr>
                <w:rStyle w:val="Heading3Char"/>
              </w:rPr>
              <w:t>3</w:t>
            </w:r>
            <w:bookmarkEnd w:id="40"/>
            <w:r w:rsidRPr="0091450A">
              <w:rPr>
                <w:rFonts w:cs="Times New Roman"/>
                <w:b/>
                <w:color w:val="1F497D" w:themeColor="text2"/>
                <w:sz w:val="28"/>
                <w:szCs w:val="28"/>
              </w:rPr>
              <w:t xml:space="preserve">: </w:t>
            </w:r>
            <w:r w:rsidR="00C83AD3" w:rsidRPr="0091450A">
              <w:rPr>
                <w:rFonts w:eastAsia="Times New Roman" w:cs="Times New Roman"/>
                <w:b/>
                <w:bCs/>
                <w:szCs w:val="20"/>
                <w:lang w:eastAsia="en-NZ"/>
              </w:rPr>
              <w:t>The Government ensures existing support systems are in place to encourage food stores to promote the in-store availability of healthy foods and to limit the in-store availability of unhealthy foods</w:t>
            </w:r>
          </w:p>
        </w:tc>
      </w:tr>
      <w:tr w:rsidR="004434B6" w:rsidRPr="0091450A" w14:paraId="247D1388" w14:textId="77777777" w:rsidTr="00CA16E1">
        <w:tc>
          <w:tcPr>
            <w:tcW w:w="9209" w:type="dxa"/>
          </w:tcPr>
          <w:p w14:paraId="5063DFB1" w14:textId="66F74B69"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19A46EC8" w14:textId="398D59C9" w:rsidR="004434B6" w:rsidRDefault="0007685E" w:rsidP="002D613F">
            <w:pPr>
              <w:pStyle w:val="ListParagraph"/>
              <w:numPr>
                <w:ilvl w:val="0"/>
                <w:numId w:val="11"/>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lastRenderedPageBreak/>
              <w:t>ANA Evidence snapshot case studies March 2016</w:t>
            </w:r>
            <w:r w:rsidR="00C53901" w:rsidRPr="0091450A">
              <w:rPr>
                <w:rFonts w:cs="Times New Roman"/>
                <w:szCs w:val="20"/>
                <w:lang w:eastAsia="en-NZ"/>
              </w:rPr>
              <w:t xml:space="preserve"> </w:t>
            </w:r>
            <w:r w:rsidR="00304098" w:rsidRPr="0091450A">
              <w:rPr>
                <w:rFonts w:cs="Times New Roman"/>
                <w:szCs w:val="20"/>
                <w:lang w:eastAsia="en-NZ"/>
              </w:rPr>
              <w:fldChar w:fldCharType="begin" w:fldLock="1"/>
            </w:r>
            <w:r w:rsidR="00EC12A7">
              <w:rPr>
                <w:rFonts w:cs="Times New Roman"/>
                <w:szCs w:val="20"/>
                <w:lang w:eastAsia="en-NZ"/>
              </w:rPr>
              <w:instrText>ADDIN CSL_CITATION {"citationItems":[{"id":"ITEM-1","itemData":{"author":[{"dropping-particle":"","family":"Agencies for Nutrition Action","given":"","non-dropping-particle":"","parse-names":false,"suffix":""}],"id":"ITEM-1","issued":{"date-parts":[["2016"]]},"publisher":"Agencies for Nutrition Action","title":"Promoting healthy eating at the local government level","type":"report"},"uris":["http://www.mendeley.com/documents/?uuid=a39770d1-8d6a-491c-b07b-f332331d2ac8","http://www.mendeley.com/documents/?uuid=a90b8323-5502-3dbd-b1ba-a87207bd8f41"]}],"mendeley":{"formattedCitation":"(141)","plainTextFormattedCitation":"(141)","previouslyFormattedCitation":"(141)"},"properties":{"noteIndex":0},"schema":"https://github.com/citation-style-language/schema/raw/master/csl-citation.json"}</w:instrText>
            </w:r>
            <w:r w:rsidR="00304098" w:rsidRPr="0091450A">
              <w:rPr>
                <w:rFonts w:cs="Times New Roman"/>
                <w:szCs w:val="20"/>
                <w:lang w:eastAsia="en-NZ"/>
              </w:rPr>
              <w:fldChar w:fldCharType="separate"/>
            </w:r>
            <w:r w:rsidR="009C4029" w:rsidRPr="009C4029">
              <w:rPr>
                <w:rFonts w:cs="Times New Roman"/>
                <w:noProof/>
                <w:szCs w:val="20"/>
                <w:lang w:eastAsia="en-NZ"/>
              </w:rPr>
              <w:t>(141)</w:t>
            </w:r>
            <w:r w:rsidR="00304098" w:rsidRPr="0091450A">
              <w:rPr>
                <w:rFonts w:cs="Times New Roman"/>
                <w:szCs w:val="20"/>
                <w:lang w:eastAsia="en-NZ"/>
              </w:rPr>
              <w:fldChar w:fldCharType="end"/>
            </w:r>
            <w:r w:rsidRPr="0091450A">
              <w:rPr>
                <w:rFonts w:cs="Times New Roman"/>
                <w:szCs w:val="20"/>
                <w:lang w:eastAsia="en-NZ"/>
              </w:rPr>
              <w:t>: Establishing a food policy council, Toi Te Ora, Nelson CC sugar</w:t>
            </w:r>
            <w:r w:rsidR="009602EB">
              <w:rPr>
                <w:rFonts w:cs="Times New Roman"/>
                <w:szCs w:val="20"/>
                <w:lang w:eastAsia="en-NZ"/>
              </w:rPr>
              <w:t>-</w:t>
            </w:r>
            <w:r w:rsidRPr="0091450A">
              <w:rPr>
                <w:rFonts w:cs="Times New Roman"/>
                <w:szCs w:val="20"/>
                <w:lang w:eastAsia="en-NZ"/>
              </w:rPr>
              <w:t>sweetened beverage policy</w:t>
            </w:r>
            <w:r w:rsidR="004745E3" w:rsidRPr="0091450A">
              <w:rPr>
                <w:rFonts w:cs="Times New Roman"/>
                <w:szCs w:val="20"/>
                <w:lang w:eastAsia="en-NZ"/>
              </w:rPr>
              <w:t>.</w:t>
            </w:r>
            <w:r w:rsidR="00817CF7">
              <w:rPr>
                <w:rFonts w:cs="Times New Roman"/>
                <w:szCs w:val="20"/>
                <w:lang w:eastAsia="en-NZ"/>
              </w:rPr>
              <w:t xml:space="preserve"> Some public health units support sport and recreation centres to reduce the availability of unhealthy food and beverages as described in PROV2.</w:t>
            </w:r>
          </w:p>
          <w:p w14:paraId="44B9AF56" w14:textId="77777777" w:rsidR="00C04080" w:rsidRPr="0091450A" w:rsidRDefault="00C04080" w:rsidP="00FD6DC4">
            <w:pPr>
              <w:rPr>
                <w:lang w:eastAsia="en-NZ"/>
              </w:rPr>
            </w:pPr>
          </w:p>
          <w:p w14:paraId="13B93F2F" w14:textId="1AD17067" w:rsidR="00C04080" w:rsidRPr="0091450A" w:rsidRDefault="00C04080" w:rsidP="002D613F">
            <w:pPr>
              <w:spacing w:before="40" w:after="40"/>
              <w:rPr>
                <w:b/>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14668ADA" w14:textId="66D4339A" w:rsidR="00682F0F" w:rsidRPr="00682F0F" w:rsidRDefault="00C56AB7" w:rsidP="00682F0F">
            <w:pPr>
              <w:pStyle w:val="ListParagraph"/>
              <w:numPr>
                <w:ilvl w:val="0"/>
                <w:numId w:val="66"/>
              </w:numPr>
              <w:shd w:val="clear" w:color="auto" w:fill="FFFFFF" w:themeFill="background1"/>
              <w:spacing w:before="40" w:after="40"/>
              <w:ind w:left="284" w:hanging="284"/>
              <w:contextualSpacing w:val="0"/>
              <w:rPr>
                <w:rFonts w:cs="Times New Roman"/>
                <w:color w:val="0000FF"/>
                <w:szCs w:val="20"/>
                <w:lang w:eastAsia="en-NZ"/>
              </w:rPr>
            </w:pPr>
            <w:r w:rsidRPr="0091450A">
              <w:rPr>
                <w:rFonts w:eastAsia="Times New Roman" w:cs="Times New Roman"/>
                <w:b/>
                <w:szCs w:val="20"/>
                <w:lang w:eastAsia="en-NZ"/>
              </w:rPr>
              <w:t xml:space="preserve">US: </w:t>
            </w:r>
            <w:r w:rsidRPr="0091450A">
              <w:rPr>
                <w:rFonts w:eastAsia="Times New Roman" w:cs="Times New Roman"/>
                <w:szCs w:val="20"/>
                <w:lang w:eastAsia="en-NZ"/>
              </w:rPr>
              <w:t>The Special Supplemental Nutrition Program for Women, Infants, and Children (WIC) require WIC authorised stores to stoc</w:t>
            </w:r>
            <w:r w:rsidR="00046833" w:rsidRPr="0091450A">
              <w:rPr>
                <w:rFonts w:eastAsia="Times New Roman" w:cs="Times New Roman"/>
                <w:szCs w:val="20"/>
                <w:lang w:eastAsia="en-NZ"/>
              </w:rPr>
              <w:t>k certain healthier products (</w:t>
            </w:r>
            <w:r w:rsidR="001A37CC" w:rsidRPr="0091450A">
              <w:rPr>
                <w:rFonts w:eastAsia="Times New Roman" w:cs="Times New Roman"/>
                <w:szCs w:val="20"/>
                <w:lang w:eastAsia="en-NZ"/>
              </w:rPr>
              <w:t>e.g.</w:t>
            </w:r>
            <w:r w:rsidRPr="0091450A">
              <w:rPr>
                <w:rFonts w:eastAsia="Times New Roman" w:cs="Times New Roman"/>
                <w:szCs w:val="20"/>
                <w:lang w:eastAsia="en-NZ"/>
              </w:rPr>
              <w:t xml:space="preserve"> wholegrain bread)</w:t>
            </w:r>
            <w:r w:rsidR="004745E3" w:rsidRPr="0091450A">
              <w:rPr>
                <w:rFonts w:eastAsia="Times New Roman" w:cs="Times New Roman"/>
                <w:szCs w:val="20"/>
                <w:lang w:eastAsia="en-NZ"/>
              </w:rPr>
              <w:t xml:space="preserve"> </w:t>
            </w:r>
            <w:r w:rsidR="007313E2"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{"citationItems":[{"id":"ITEM-1","itemData":{"URL":"http://www.wcrf.org/int/policy/nourishing-framework/use-economic-tools","author":[{"dropping-particle":"","family":"World Cancer Research Fund","given":"","non-dropping-particle":"","parse-names":false,"suffix":""}],"id":"ITEM-1","issue":"22/02/2016","issued":{"date-parts":[["2016"]]},"title":"NOURISHING Framework - Use economic tools","type":"webpage"},"uris":["http://www.mendeley.com/documents/?uuid=3bff0db1-87b2-4706-95c5-a529c6224f78","http://www.mendeley.com/documents/?uuid=d45fcb80-f971-3087-8f08-e58e11e88e0a"]}],"mendeley":{"formattedCitation":"(76)","plainTextFormattedCitation":"(76)","previouslyFormattedCitation":"(76)"},"properties":{"noteIndex":0},"schema":"https://github.com/citation-style-language/schema/raw/master/csl-citation.json"}</w:instrText>
            </w:r>
            <w:r w:rsidR="007313E2"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(76)</w:t>
            </w:r>
            <w:r w:rsidR="007313E2" w:rsidRPr="0091450A">
              <w:rPr>
                <w:rFonts w:eastAsia="Times New Roman" w:cs="Times New Roman"/>
                <w:szCs w:val="20"/>
                <w:lang w:eastAsia="en-NZ"/>
              </w:rPr>
              <w:fldChar w:fldCharType="end"/>
            </w:r>
            <w:r w:rsidR="007313E2" w:rsidRPr="0091450A">
              <w:rPr>
                <w:rFonts w:eastAsia="Times New Roman" w:cs="Times New Roman"/>
                <w:szCs w:val="20"/>
                <w:lang w:eastAsia="en-NZ"/>
              </w:rPr>
              <w:t>.</w:t>
            </w:r>
          </w:p>
          <w:p w14:paraId="103D8DFE" w14:textId="5E483D5A" w:rsidR="008E0C1D" w:rsidRPr="00682F0F" w:rsidRDefault="008E0C1D" w:rsidP="00682F0F">
            <w:pPr>
              <w:pStyle w:val="ListParagraph"/>
              <w:numPr>
                <w:ilvl w:val="0"/>
                <w:numId w:val="66"/>
              </w:numPr>
              <w:shd w:val="clear" w:color="auto" w:fill="FFFFFF" w:themeFill="background1"/>
              <w:spacing w:before="40" w:after="40"/>
              <w:ind w:left="284" w:hanging="284"/>
              <w:contextualSpacing w:val="0"/>
              <w:rPr>
                <w:rFonts w:cs="Times New Roman"/>
                <w:color w:val="0000FF"/>
                <w:szCs w:val="20"/>
                <w:lang w:eastAsia="en-NZ"/>
              </w:rPr>
            </w:pPr>
            <w:r w:rsidRPr="00682F0F">
              <w:rPr>
                <w:rFonts w:cstheme="majorHAnsi"/>
                <w:b/>
              </w:rPr>
              <w:t>The Netherlands:</w:t>
            </w:r>
            <w:r w:rsidRPr="00682F0F">
              <w:rPr>
                <w:rFonts w:cstheme="majorHAnsi"/>
              </w:rPr>
              <w:t xml:space="preserve"> The </w:t>
            </w:r>
            <w:r w:rsidRPr="00682F0F">
              <w:rPr>
                <w:rFonts w:eastAsia="Times New Roman" w:cs="Open Sans"/>
                <w:lang w:eastAsia="nl-NL"/>
              </w:rPr>
              <w:t xml:space="preserve">National Action plan for vegetables and Fruit is a cooperation of government, industry and civil society organisations. The </w:t>
            </w:r>
            <w:r w:rsidR="009602EB" w:rsidRPr="00682F0F">
              <w:rPr>
                <w:rFonts w:eastAsia="Times New Roman" w:cs="Open Sans"/>
                <w:lang w:eastAsia="nl-NL"/>
              </w:rPr>
              <w:t>g</w:t>
            </w:r>
            <w:r w:rsidRPr="00682F0F">
              <w:rPr>
                <w:rFonts w:eastAsia="Times New Roman" w:cs="Open Sans"/>
                <w:lang w:eastAsia="nl-NL"/>
              </w:rPr>
              <w:t>oal is to increase the consumption of vegetables and fruits in 3 years (2018-2020) by linking and strengthening existing initiatives</w:t>
            </w:r>
            <w:r w:rsidRPr="00682F0F">
              <w:rPr>
                <w:rFonts w:eastAsia="Times New Roman" w:cs="Open Sans"/>
                <w:b/>
                <w:lang w:eastAsia="nl-NL"/>
              </w:rPr>
              <w:t xml:space="preserve">. </w:t>
            </w:r>
            <w:r w:rsidRPr="00682F0F">
              <w:rPr>
                <w:color w:val="201F1E"/>
                <w:bdr w:val="none" w:sz="0" w:space="0" w:color="auto" w:frame="1"/>
                <w:shd w:val="clear" w:color="auto" w:fill="FFFFFF"/>
              </w:rPr>
              <w:t>The National Action Plan vegetables and fruit stimulates consumers to eat more vegetables and fruit using the motto ‘Go for Colour’. As part of ‘Go for Colour</w:t>
            </w:r>
            <w:r w:rsidR="00682F0F" w:rsidRPr="00682F0F">
              <w:rPr>
                <w:color w:val="201F1E"/>
                <w:bdr w:val="none" w:sz="0" w:space="0" w:color="auto" w:frame="1"/>
                <w:shd w:val="clear" w:color="auto" w:fill="FFFFFF"/>
              </w:rPr>
              <w:t>,</w:t>
            </w:r>
            <w:r w:rsidRPr="00682F0F">
              <w:rPr>
                <w:color w:val="201F1E"/>
                <w:bdr w:val="none" w:sz="0" w:space="0" w:color="auto" w:frame="1"/>
                <w:shd w:val="clear" w:color="auto" w:fill="FFFFFF"/>
              </w:rPr>
              <w:t>’ an in-store experiment has taken place promoting the in-store availability of vegetables and fruit.  </w:t>
            </w:r>
          </w:p>
        </w:tc>
      </w:tr>
    </w:tbl>
    <w:p w14:paraId="23BA5FBC" w14:textId="77777777" w:rsidR="00FC5AB1" w:rsidRPr="0091450A" w:rsidRDefault="00FC5AB1" w:rsidP="002D613F">
      <w:pPr>
        <w:spacing w:after="0" w:line="240" w:lineRule="auto"/>
      </w:pPr>
    </w:p>
    <w:tbl>
      <w:tblPr>
        <w:tblStyle w:val="TableGrid"/>
        <w:tblW w:w="9209" w:type="dxa"/>
        <w:tblLook w:val="04A0" w:firstRow="1" w:lastRow="0" w:firstColumn="1" w:lastColumn="0" w:noHBand="0" w:noVBand="1"/>
      </w:tblPr>
      <w:tblGrid>
        <w:gridCol w:w="9209"/>
      </w:tblGrid>
      <w:tr w:rsidR="00FC5AB1" w:rsidRPr="0091450A" w14:paraId="6632BD91" w14:textId="77777777" w:rsidTr="00CA16E1">
        <w:tc>
          <w:tcPr>
            <w:tcW w:w="9209" w:type="dxa"/>
          </w:tcPr>
          <w:p w14:paraId="25F5EA85" w14:textId="38C00FCE" w:rsidR="00FC5AB1" w:rsidRPr="0091450A" w:rsidRDefault="00FC5AB1"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6 FOOD RETAIL: </w:t>
            </w:r>
            <w:r w:rsidRPr="0091450A">
              <w:rPr>
                <w:rFonts w:cs="Times New Roman"/>
                <w:bCs/>
                <w:szCs w:val="20"/>
              </w:rPr>
              <w:t>The government has the power to implement policies and programs to support the availability of healthy foods and limit the availability of unhealthy foods in communities (outlet density and locations) and in-store (product placement)</w:t>
            </w:r>
          </w:p>
        </w:tc>
      </w:tr>
      <w:tr w:rsidR="00C83AD3" w:rsidRPr="0091450A" w14:paraId="4C495E08" w14:textId="77777777" w:rsidTr="00CA16E1">
        <w:tc>
          <w:tcPr>
            <w:tcW w:w="9209" w:type="dxa"/>
          </w:tcPr>
          <w:p w14:paraId="7CD68215" w14:textId="7220DE94" w:rsidR="00C83AD3" w:rsidRPr="0091450A" w:rsidRDefault="0033317E" w:rsidP="002D613F">
            <w:pPr>
              <w:shd w:val="clear" w:color="auto" w:fill="FFFFFF" w:themeFill="background1"/>
              <w:spacing w:before="40" w:after="40"/>
              <w:jc w:val="both"/>
              <w:rPr>
                <w:rFonts w:cs="Times New Roman"/>
                <w:b/>
                <w:sz w:val="28"/>
                <w:szCs w:val="28"/>
              </w:rPr>
            </w:pPr>
            <w:bookmarkStart w:id="41" w:name="_Toc31623739"/>
            <w:r w:rsidRPr="0091450A">
              <w:rPr>
                <w:rStyle w:val="Heading3Char"/>
              </w:rPr>
              <w:t>RETAIL4</w:t>
            </w:r>
            <w:bookmarkEnd w:id="41"/>
            <w:r w:rsidRPr="0091450A">
              <w:rPr>
                <w:rFonts w:cs="Times New Roman"/>
                <w:b/>
                <w:color w:val="1F497D" w:themeColor="text2"/>
                <w:sz w:val="28"/>
                <w:szCs w:val="28"/>
              </w:rPr>
              <w:t xml:space="preserve">: </w:t>
            </w:r>
            <w:r w:rsidR="00C83AD3" w:rsidRPr="0091450A">
              <w:rPr>
                <w:rFonts w:cs="Times New Roman"/>
                <w:b/>
              </w:rPr>
              <w:t>T</w:t>
            </w:r>
            <w:r w:rsidR="00C83AD3" w:rsidRPr="0091450A">
              <w:rPr>
                <w:rFonts w:eastAsia="Times New Roman" w:cs="Times New Roman"/>
                <w:b/>
                <w:bCs/>
                <w:szCs w:val="20"/>
                <w:lang w:eastAsia="en-NZ"/>
              </w:rPr>
              <w:t>he government ensures existing support systems are in place to encourage food service outlets to increase the promotion and availability of healthy foods and to decrease the promotion and availability of unhealthy foods</w:t>
            </w:r>
          </w:p>
        </w:tc>
      </w:tr>
      <w:tr w:rsidR="00C83AD3" w:rsidRPr="0091450A" w14:paraId="3E2867C9" w14:textId="77777777" w:rsidTr="00CA16E1">
        <w:tc>
          <w:tcPr>
            <w:tcW w:w="9209" w:type="dxa"/>
          </w:tcPr>
          <w:p w14:paraId="2289622B" w14:textId="1277F682"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0A413B4" w14:textId="2DF86717" w:rsidR="00B569B5" w:rsidRPr="00817CF7" w:rsidRDefault="00877725" w:rsidP="00B569B5">
            <w:pPr>
              <w:pStyle w:val="ListParagraph"/>
              <w:numPr>
                <w:ilvl w:val="0"/>
                <w:numId w:val="38"/>
              </w:numPr>
              <w:shd w:val="clear" w:color="auto" w:fill="FFFFFF"/>
              <w:spacing w:before="40" w:after="40"/>
              <w:ind w:left="284" w:hanging="284"/>
              <w:contextualSpacing w:val="0"/>
              <w:rPr>
                <w:rFonts w:cs="Times New Roman"/>
                <w:szCs w:val="20"/>
              </w:rPr>
            </w:pPr>
            <w:r w:rsidRPr="007159FF">
              <w:rPr>
                <w:rFonts w:cs="Times New Roman"/>
                <w:szCs w:val="20"/>
              </w:rPr>
              <w:t xml:space="preserve">The Heart Foundation </w:t>
            </w:r>
            <w:r w:rsidR="00B66C3B" w:rsidRPr="007159FF">
              <w:rPr>
                <w:rFonts w:cs="Times New Roman"/>
                <w:szCs w:val="20"/>
              </w:rPr>
              <w:t>Hospitality</w:t>
            </w:r>
            <w:r w:rsidR="00F879D3" w:rsidRPr="007159FF">
              <w:rPr>
                <w:rFonts w:cs="Times New Roman"/>
                <w:szCs w:val="20"/>
              </w:rPr>
              <w:t xml:space="preserve"> </w:t>
            </w:r>
            <w:r w:rsidRPr="007159FF">
              <w:rPr>
                <w:rFonts w:cs="Times New Roman"/>
                <w:szCs w:val="20"/>
              </w:rPr>
              <w:t xml:space="preserve">initiatives </w:t>
            </w:r>
            <w:r w:rsidR="003F0368">
              <w:rPr>
                <w:rFonts w:cs="Times New Roman"/>
                <w:szCs w:val="20"/>
              </w:rPr>
              <w:t>were</w:t>
            </w:r>
            <w:r w:rsidRPr="007159FF">
              <w:rPr>
                <w:rFonts w:cs="Times New Roman"/>
                <w:szCs w:val="20"/>
              </w:rPr>
              <w:t xml:space="preserve"> supported through funding by the Ministry of Health</w:t>
            </w:r>
            <w:r w:rsidR="003F0368">
              <w:rPr>
                <w:rFonts w:cs="Times New Roman"/>
                <w:szCs w:val="20"/>
              </w:rPr>
              <w:t xml:space="preserve"> </w:t>
            </w:r>
            <w:r w:rsidR="003F0368">
              <w:rPr>
                <w:rFonts w:cs="Times New Roman"/>
                <w:bCs/>
                <w:szCs w:val="20"/>
              </w:rPr>
              <w:t xml:space="preserve">and </w:t>
            </w:r>
            <w:r w:rsidR="00FC5AB1" w:rsidRPr="007159FF">
              <w:rPr>
                <w:rFonts w:cs="Times New Roman"/>
                <w:bCs/>
                <w:szCs w:val="20"/>
              </w:rPr>
              <w:t>p</w:t>
            </w:r>
            <w:r w:rsidR="003F0368">
              <w:rPr>
                <w:rFonts w:cs="Times New Roman"/>
                <w:bCs/>
                <w:szCs w:val="20"/>
              </w:rPr>
              <w:t>rovided</w:t>
            </w:r>
            <w:r w:rsidR="00C83AD3" w:rsidRPr="007159FF">
              <w:rPr>
                <w:rFonts w:cs="Times New Roman"/>
                <w:bCs/>
                <w:szCs w:val="20"/>
              </w:rPr>
              <w:t xml:space="preserve"> information for food preparers: creating healthy recipes, writing a healthy menu</w:t>
            </w:r>
            <w:r w:rsidR="00FC5AB1" w:rsidRPr="007159FF">
              <w:rPr>
                <w:rFonts w:cs="Times New Roman"/>
                <w:bCs/>
                <w:szCs w:val="20"/>
              </w:rPr>
              <w:t xml:space="preserve"> </w:t>
            </w:r>
            <w:r w:rsidR="00CC3DA5" w:rsidRPr="007159FF">
              <w:rPr>
                <w:rFonts w:cs="Times New Roman"/>
                <w:bCs/>
                <w:szCs w:val="20"/>
              </w:rPr>
              <w:fldChar w:fldCharType="begin" w:fldLock="1"/>
            </w:r>
            <w:r w:rsidR="009C4029">
              <w:rPr>
                <w:rFonts w:cs="Times New Roman"/>
                <w:bCs/>
                <w:szCs w:val="20"/>
              </w:rPr>
              <w:instrText>ADDIN CSL_CITATION {"citationItems":[{"id":"ITEM-1","itemData":{"URL":"https://www.heartfoundation.org.nz/professionals/food-industry-and-hospitality/hospitality-hub/","author":[{"dropping-particle":"","family":"Heart Foundation of New Zealand","given":"","non-dropping-particle":"","parse-names":false,"suffix":""}],"id":"ITEM-1","issue":"24/3/2017","issued":{"date-parts":[["2016"]]},"title":"Hospitality Hub","type":"webpage"},"uris":["http://www.mendeley.com/documents/?uuid=49e9e438-7d31-46d2-9afa-983ab8931db1","http://www.mendeley.com/documents/?uuid=3ef7a3c9-c993-31a1-938c-1332e277df03"]}],"mendeley":{"formattedCitation":"(130)","plainTextFormattedCitation":"(130)","previouslyFormattedCitation":"(130)"},"properties":{"noteIndex":0},"schema":"https://github.com/citation-style-language/schema/raw/master/csl-citation.json"}</w:instrText>
            </w:r>
            <w:r w:rsidR="00CC3DA5" w:rsidRPr="007159FF">
              <w:rPr>
                <w:rFonts w:cs="Times New Roman"/>
                <w:bCs/>
                <w:szCs w:val="20"/>
              </w:rPr>
              <w:fldChar w:fldCharType="separate"/>
            </w:r>
            <w:r w:rsidR="004C06EB" w:rsidRPr="004C06EB">
              <w:rPr>
                <w:rFonts w:cs="Times New Roman"/>
                <w:bCs/>
                <w:noProof/>
                <w:szCs w:val="20"/>
              </w:rPr>
              <w:t>(130)</w:t>
            </w:r>
            <w:r w:rsidR="00CC3DA5" w:rsidRPr="007159FF">
              <w:rPr>
                <w:rFonts w:cs="Times New Roman"/>
                <w:bCs/>
                <w:szCs w:val="20"/>
              </w:rPr>
              <w:fldChar w:fldCharType="end"/>
            </w:r>
            <w:r w:rsidR="00CC3DA5" w:rsidRPr="007159FF">
              <w:rPr>
                <w:rFonts w:cs="Times New Roman"/>
                <w:bCs/>
                <w:szCs w:val="20"/>
              </w:rPr>
              <w:t>.</w:t>
            </w:r>
            <w:r w:rsidRPr="007159FF">
              <w:rPr>
                <w:rFonts w:cs="Times New Roman"/>
                <w:bCs/>
                <w:szCs w:val="20"/>
              </w:rPr>
              <w:t xml:space="preserve"> </w:t>
            </w:r>
            <w:r w:rsidR="003A6F0A" w:rsidRPr="007159FF">
              <w:rPr>
                <w:rFonts w:cs="Times New Roman"/>
                <w:bCs/>
                <w:szCs w:val="20"/>
              </w:rPr>
              <w:t xml:space="preserve">This </w:t>
            </w:r>
            <w:r w:rsidR="003A6F0A" w:rsidRPr="00817CF7">
              <w:rPr>
                <w:rFonts w:cs="Times New Roman"/>
                <w:bCs/>
                <w:szCs w:val="20"/>
              </w:rPr>
              <w:t xml:space="preserve">initiative is now reoriented to focus on </w:t>
            </w:r>
            <w:r w:rsidR="008254B9" w:rsidRPr="00817CF7">
              <w:rPr>
                <w:rFonts w:cs="Times New Roman"/>
                <w:bCs/>
                <w:szCs w:val="20"/>
              </w:rPr>
              <w:t>food and nutrition</w:t>
            </w:r>
            <w:r w:rsidR="003A6F0A" w:rsidRPr="00817CF7">
              <w:rPr>
                <w:rFonts w:cs="Times New Roman"/>
                <w:bCs/>
                <w:szCs w:val="20"/>
              </w:rPr>
              <w:t xml:space="preserve"> </w:t>
            </w:r>
            <w:r w:rsidR="0091450A" w:rsidRPr="00817CF7">
              <w:rPr>
                <w:rFonts w:cs="Times New Roman"/>
                <w:bCs/>
                <w:szCs w:val="20"/>
              </w:rPr>
              <w:t>Heart Foundation</w:t>
            </w:r>
            <w:r w:rsidR="003A6F0A" w:rsidRPr="00817CF7">
              <w:rPr>
                <w:rFonts w:cs="Times New Roman"/>
                <w:bCs/>
                <w:szCs w:val="20"/>
              </w:rPr>
              <w:t xml:space="preserve"> services introduced.</w:t>
            </w:r>
          </w:p>
          <w:p w14:paraId="15ED5694" w14:textId="2A3A12C1" w:rsidR="00B569B5" w:rsidRPr="00817CF7" w:rsidRDefault="00B569B5" w:rsidP="003F0368">
            <w:pPr>
              <w:pStyle w:val="ListParagraph"/>
              <w:numPr>
                <w:ilvl w:val="0"/>
                <w:numId w:val="38"/>
              </w:numPr>
              <w:shd w:val="clear" w:color="auto" w:fill="FFFFFF"/>
              <w:spacing w:before="40" w:after="40"/>
              <w:ind w:left="284" w:hanging="284"/>
              <w:contextualSpacing w:val="0"/>
              <w:rPr>
                <w:rFonts w:cs="Times New Roman"/>
                <w:szCs w:val="20"/>
              </w:rPr>
            </w:pPr>
            <w:r w:rsidRPr="00817CF7">
              <w:rPr>
                <w:rFonts w:eastAsia="Times New Roman" w:cs="Times New Roman"/>
                <w:szCs w:val="20"/>
                <w:lang w:eastAsia="en-NZ"/>
              </w:rPr>
              <w:t xml:space="preserve">The Government response to the Food Industry Taskforce on addressing factors contributing to obesity noted that the Government wishes to progress focused action in creating healthier retail environments, (e.g. limiting product placement and price promotions of energy-dense, nutrient-poor food and beverages in supermarkets) </w:t>
            </w:r>
            <w:r w:rsidRPr="00817CF7">
              <w:rPr>
                <w:rFonts w:eastAsia="Times New Roman" w:cs="Times New Roman"/>
                <w:szCs w:val="20"/>
                <w:lang w:eastAsia="en-NZ"/>
              </w:rPr>
              <w:fldChar w:fldCharType="begin" w:fldLock="1"/>
            </w:r>
            <w:r w:rsidR="002B6CB8" w:rsidRPr="00817CF7">
              <w:rPr>
                <w:rFonts w:eastAsia="Times New Roman" w:cs="Times New Roman"/>
                <w:szCs w:val="20"/>
                <w:lang w:eastAsia="en-NZ"/>
              </w:rPr>
              <w:instrText>ADDIN CSL_CITATION {"citationItems":[{"id":"ITEM-1","itemData":{"author":[{"dropping-particle":"","family":"Clark","given":"David Hon Dr.","non-dropping-particle":"","parse-names":false,"suffix":""},{"dropping-particle":"","family":"O'Connor","given":"Damien Hon Dr.","non-dropping-particle":"","parse-names":false,"suffix":""}],"id":"ITEM-1","issued":{"date-parts":[["2018"]]},"publisher-place":"Wellington","title":"Government response to the Food Industry Taskforce's Report ","type":"report"},"uris":["http://www.mendeley.com/documents/?uuid=9b109c6f-0d98-3e1b-8d64-988917887f1f"]}],"mendeley":{"formattedCitation":"(28)","plainTextFormattedCitation":"(28)","previouslyFormattedCitation":"(28)"},"properties":{"noteIndex":0},"schema":"https://github.com/citation-style-language/schema/raw/master/csl-citation.json"}</w:instrText>
            </w:r>
            <w:r w:rsidRPr="00817CF7">
              <w:rPr>
                <w:rFonts w:eastAsia="Times New Roman" w:cs="Times New Roman"/>
                <w:szCs w:val="20"/>
                <w:lang w:eastAsia="en-NZ"/>
              </w:rPr>
              <w:fldChar w:fldCharType="separate"/>
            </w:r>
            <w:r w:rsidR="00A90C92" w:rsidRPr="00817CF7">
              <w:rPr>
                <w:rFonts w:eastAsia="Times New Roman" w:cs="Times New Roman"/>
                <w:noProof/>
                <w:szCs w:val="20"/>
                <w:lang w:eastAsia="en-NZ"/>
              </w:rPr>
              <w:t>(28)</w:t>
            </w:r>
            <w:r w:rsidRPr="00817CF7">
              <w:rPr>
                <w:rFonts w:eastAsia="Times New Roman" w:cs="Times New Roman"/>
                <w:szCs w:val="20"/>
                <w:lang w:eastAsia="en-NZ"/>
              </w:rPr>
              <w:fldChar w:fldCharType="end"/>
            </w:r>
            <w:r w:rsidRPr="00817CF7">
              <w:rPr>
                <w:rFonts w:eastAsia="Times New Roman" w:cs="Times New Roman"/>
                <w:szCs w:val="20"/>
                <w:lang w:eastAsia="en-NZ"/>
              </w:rPr>
              <w:t>.</w:t>
            </w:r>
          </w:p>
          <w:p w14:paraId="5C06BAD1" w14:textId="32C5D0BC" w:rsidR="00B569B5" w:rsidRPr="007159FF" w:rsidRDefault="00B569B5" w:rsidP="00B569B5">
            <w:pPr>
              <w:shd w:val="clear" w:color="auto" w:fill="FFFFFF"/>
              <w:spacing w:before="40" w:after="40"/>
              <w:rPr>
                <w:rFonts w:cs="Times New Roman"/>
                <w:szCs w:val="20"/>
              </w:rPr>
            </w:pPr>
          </w:p>
          <w:p w14:paraId="55F0D8C7" w14:textId="279EDC38"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15219969" w14:textId="7BD19543" w:rsidR="00C56AB7" w:rsidRPr="0091450A" w:rsidRDefault="00C56AB7" w:rsidP="002D613F">
            <w:pPr>
              <w:pStyle w:val="ListParagraph"/>
              <w:keepNext/>
              <w:numPr>
                <w:ilvl w:val="0"/>
                <w:numId w:val="3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Singapore</w:t>
            </w:r>
            <w:r w:rsidRPr="0091450A">
              <w:rPr>
                <w:rFonts w:eastAsia="Times New Roman" w:cs="Times New Roman"/>
                <w:szCs w:val="20"/>
                <w:lang w:eastAsia="en-NZ"/>
              </w:rPr>
              <w:t xml:space="preserve">: </w:t>
            </w:r>
            <w:r w:rsidR="0017280F" w:rsidRPr="0091450A">
              <w:rPr>
                <w:rFonts w:eastAsia="Times New Roman" w:cs="Times New Roman"/>
                <w:szCs w:val="20"/>
                <w:lang w:eastAsia="en-NZ"/>
              </w:rPr>
              <w:t xml:space="preserve">The Healthier Dining Programme (formally the </w:t>
            </w:r>
            <w:r w:rsidRPr="0091450A">
              <w:rPr>
                <w:rFonts w:eastAsia="Times New Roman" w:cs="Times New Roman"/>
                <w:szCs w:val="20"/>
                <w:lang w:eastAsia="en-NZ"/>
              </w:rPr>
              <w:t>‘Healthier Hawker’ program</w:t>
            </w:r>
            <w:r w:rsidR="0017280F" w:rsidRPr="0091450A">
              <w:rPr>
                <w:rFonts w:eastAsia="Times New Roman" w:cs="Times New Roman"/>
                <w:szCs w:val="20"/>
                <w:lang w:eastAsia="en-NZ"/>
              </w:rPr>
              <w:t>)</w:t>
            </w:r>
            <w:r w:rsidRPr="0091450A">
              <w:rPr>
                <w:rFonts w:eastAsia="Times New Roman" w:cs="Times New Roman"/>
                <w:szCs w:val="20"/>
                <w:lang w:eastAsia="en-NZ"/>
              </w:rPr>
              <w:t xml:space="preserve"> involved the government working in partnership with the Hawker’s Association to support food vendors to offer healthier options such as reduced saturated fat cooking oil and wholegrain noodles and rice, reduced salt soy sauce and increased vegetable content</w:t>
            </w:r>
            <w:r w:rsidR="0017280F" w:rsidRPr="0091450A">
              <w:rPr>
                <w:rFonts w:eastAsia="Times New Roman" w:cs="Times New Roman"/>
                <w:szCs w:val="20"/>
                <w:lang w:eastAsia="en-NZ"/>
              </w:rPr>
              <w:t xml:space="preserve"> </w:t>
            </w:r>
            <w:r w:rsidRPr="0091450A">
              <w:rPr>
                <w:rFonts w:eastAsia="Times New Roman" w:cs="Times New Roman"/>
                <w:szCs w:val="20"/>
                <w:lang w:eastAsia="en-NZ"/>
              </w:rPr>
              <w:t xml:space="preserve">without compromising taste and accessibility. To participate, food and beverage companies must complete an application form and implement nutrition guidelines set by the Health Promotion Board (HPB) in all outlets for a period of two years. Following HPB’s approval the </w:t>
            </w:r>
            <w:r w:rsidR="000E462E" w:rsidRPr="0091450A">
              <w:rPr>
                <w:rFonts w:eastAsia="Times New Roman" w:cs="Times New Roman"/>
                <w:szCs w:val="20"/>
                <w:lang w:eastAsia="en-NZ"/>
              </w:rPr>
              <w:t>‘</w:t>
            </w:r>
            <w:r w:rsidRPr="0091450A">
              <w:rPr>
                <w:rFonts w:eastAsia="Times New Roman" w:cs="Times New Roman"/>
                <w:szCs w:val="20"/>
                <w:lang w:eastAsia="en-NZ"/>
              </w:rPr>
              <w:t>Healthier Choice Symbol Identifiers</w:t>
            </w:r>
            <w:r w:rsidR="000E462E" w:rsidRPr="0091450A">
              <w:rPr>
                <w:rFonts w:eastAsia="Times New Roman" w:cs="Times New Roman"/>
                <w:szCs w:val="20"/>
                <w:lang w:eastAsia="en-NZ"/>
              </w:rPr>
              <w:t>’</w:t>
            </w:r>
            <w:r w:rsidRPr="0091450A">
              <w:rPr>
                <w:rFonts w:eastAsia="Times New Roman" w:cs="Times New Roman"/>
                <w:szCs w:val="20"/>
                <w:lang w:eastAsia="en-NZ"/>
              </w:rPr>
              <w:t xml:space="preserve"> can be used next to the healthier dishes in all menu and marketing materials (</w:t>
            </w:r>
            <w:r w:rsidR="001A37CC" w:rsidRPr="0091450A">
              <w:rPr>
                <w:rFonts w:eastAsia="Times New Roman" w:cs="Times New Roman"/>
                <w:szCs w:val="20"/>
                <w:lang w:eastAsia="en-NZ"/>
              </w:rPr>
              <w:t>e.g.</w:t>
            </w:r>
            <w:r w:rsidR="000E462E" w:rsidRPr="0091450A">
              <w:rPr>
                <w:rFonts w:eastAsia="Times New Roman" w:cs="Times New Roman"/>
                <w:szCs w:val="20"/>
                <w:lang w:eastAsia="en-NZ"/>
              </w:rPr>
              <w:t xml:space="preserve"> ‘</w:t>
            </w:r>
            <w:r w:rsidRPr="0091450A">
              <w:rPr>
                <w:rFonts w:eastAsia="Times New Roman" w:cs="Times New Roman"/>
                <w:szCs w:val="20"/>
                <w:lang w:eastAsia="en-NZ"/>
              </w:rPr>
              <w:t>We</w:t>
            </w:r>
            <w:r w:rsidR="000E462E" w:rsidRPr="0091450A">
              <w:rPr>
                <w:rFonts w:eastAsia="Times New Roman" w:cs="Times New Roman"/>
                <w:szCs w:val="20"/>
                <w:lang w:eastAsia="en-NZ"/>
              </w:rPr>
              <w:t xml:space="preserve"> serve lower-calorie options’, ‘</w:t>
            </w:r>
            <w:r w:rsidRPr="0091450A">
              <w:rPr>
                <w:rFonts w:eastAsia="Times New Roman" w:cs="Times New Roman"/>
                <w:szCs w:val="20"/>
                <w:lang w:eastAsia="en-NZ"/>
              </w:rPr>
              <w:t>We use healthier oil</w:t>
            </w:r>
            <w:r w:rsidR="000E462E" w:rsidRPr="0091450A">
              <w:rPr>
                <w:rFonts w:eastAsia="Times New Roman" w:cs="Times New Roman"/>
                <w:szCs w:val="20"/>
                <w:lang w:eastAsia="en-NZ"/>
              </w:rPr>
              <w:t>’</w:t>
            </w:r>
            <w:r w:rsidRPr="0091450A">
              <w:rPr>
                <w:rFonts w:eastAsia="Times New Roman" w:cs="Times New Roman"/>
                <w:szCs w:val="20"/>
                <w:lang w:eastAsia="en-NZ"/>
              </w:rPr>
              <w:t>). To date, the HPB has partnered with 45 widely known food service providers (food courts, coffee shops, restaurants) to offer lower</w:t>
            </w:r>
            <w:r w:rsidR="00682F0F">
              <w:rPr>
                <w:rFonts w:eastAsia="Times New Roman" w:cs="Times New Roman"/>
                <w:szCs w:val="20"/>
                <w:lang w:eastAsia="en-NZ"/>
              </w:rPr>
              <w:t>-</w:t>
            </w:r>
            <w:r w:rsidRPr="0091450A">
              <w:rPr>
                <w:rFonts w:eastAsia="Times New Roman" w:cs="Times New Roman"/>
                <w:szCs w:val="20"/>
                <w:lang w:eastAsia="en-NZ"/>
              </w:rPr>
              <w:t xml:space="preserve">calorie and healthier meals across 1500 outlets and stalls. Between the launch of the programme and September 2015, the number of healthier meals sold more than doubled, from 525000 in June 2014 to 1.1 million in September 2015. </w:t>
            </w:r>
          </w:p>
          <w:p w14:paraId="3E4B5C63" w14:textId="2D979747" w:rsidR="00C56AB7" w:rsidRPr="0091450A" w:rsidRDefault="00C56AB7" w:rsidP="002D613F">
            <w:pPr>
              <w:pStyle w:val="ListParagraph"/>
              <w:keepNext/>
              <w:numPr>
                <w:ilvl w:val="0"/>
                <w:numId w:val="3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xml:space="preserve">: In December 2011, San Francisco implemented the Health Food Incentives Ordinance which bans restaurants, including takeaway restaurants, to give away toys and other free incentive items with children’s meals unless the meals meet nutritional standards as set out in the Ordinance: meals must not contain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600 calories, 640mg sodium, 0.5g </w:t>
            </w:r>
            <w:r w:rsidR="00F67453" w:rsidRPr="0091450A">
              <w:rPr>
                <w:rFonts w:eastAsia="Times New Roman" w:cs="Times New Roman"/>
                <w:i/>
                <w:szCs w:val="20"/>
                <w:lang w:eastAsia="en-NZ"/>
              </w:rPr>
              <w:t>trans</w:t>
            </w:r>
            <w:r w:rsidR="00F67453" w:rsidRPr="0091450A">
              <w:rPr>
                <w:rFonts w:eastAsia="Times New Roman" w:cs="Times New Roman"/>
                <w:szCs w:val="20"/>
                <w:lang w:eastAsia="en-NZ"/>
              </w:rPr>
              <w:t>-fat</w:t>
            </w:r>
            <w:r w:rsidRPr="0091450A">
              <w:rPr>
                <w:rFonts w:eastAsia="Times New Roman" w:cs="Times New Roman"/>
                <w:szCs w:val="20"/>
                <w:lang w:eastAsia="en-NZ"/>
              </w:rPr>
              <w:t>, 35% total calories from fat and 10% calories from saturated fat and include a min</w:t>
            </w:r>
            <w:r w:rsidR="0017280F" w:rsidRPr="0091450A">
              <w:rPr>
                <w:rFonts w:eastAsia="Times New Roman" w:cs="Times New Roman"/>
                <w:szCs w:val="20"/>
                <w:lang w:eastAsia="en-NZ"/>
              </w:rPr>
              <w:t>imum</w:t>
            </w:r>
            <w:r w:rsidRPr="0091450A">
              <w:rPr>
                <w:rFonts w:eastAsia="Times New Roman" w:cs="Times New Roman"/>
                <w:szCs w:val="20"/>
                <w:lang w:eastAsia="en-NZ"/>
              </w:rPr>
              <w:t xml:space="preserve"> amount of fruits and vegetables, while single food items and beverages must have &lt;35% total calories from fat and &lt;10% of calories from added caloric sweeteners. Incentives are defined as physical and digital items that appeal to children and teenagers as well as coupons, vouchers or similar which allow access to these items.  In 2010 Santa Clara </w:t>
            </w:r>
            <w:r w:rsidR="00682F0F">
              <w:rPr>
                <w:rFonts w:eastAsia="Times New Roman" w:cs="Times New Roman"/>
                <w:szCs w:val="20"/>
                <w:lang w:eastAsia="en-NZ"/>
              </w:rPr>
              <w:t>C</w:t>
            </w:r>
            <w:r w:rsidRPr="0091450A">
              <w:rPr>
                <w:rFonts w:eastAsia="Times New Roman" w:cs="Times New Roman"/>
                <w:szCs w:val="20"/>
                <w:lang w:eastAsia="en-NZ"/>
              </w:rPr>
              <w:t xml:space="preserve">ounty, California banned restaurants from providing </w:t>
            </w:r>
            <w:r w:rsidR="00A635D3" w:rsidRPr="0091450A">
              <w:rPr>
                <w:rFonts w:eastAsia="Times New Roman" w:cs="Times New Roman"/>
                <w:szCs w:val="20"/>
                <w:lang w:eastAsia="en-NZ"/>
              </w:rPr>
              <w:t xml:space="preserve">toys or other incentives with </w:t>
            </w:r>
            <w:r w:rsidRPr="0091450A">
              <w:rPr>
                <w:rFonts w:eastAsia="Times New Roman" w:cs="Times New Roman"/>
                <w:szCs w:val="20"/>
                <w:lang w:eastAsia="en-NZ"/>
              </w:rPr>
              <w:t>menu item</w:t>
            </w:r>
            <w:r w:rsidR="00A635D3" w:rsidRPr="0091450A">
              <w:rPr>
                <w:rFonts w:eastAsia="Times New Roman" w:cs="Times New Roman"/>
                <w:szCs w:val="20"/>
                <w:lang w:eastAsia="en-NZ"/>
              </w:rPr>
              <w:t>s high in calories, sodium, fat</w:t>
            </w:r>
            <w:r w:rsidRPr="0091450A">
              <w:rPr>
                <w:rFonts w:eastAsia="Times New Roman" w:cs="Times New Roman"/>
                <w:szCs w:val="20"/>
                <w:lang w:eastAsia="en-NZ"/>
              </w:rPr>
              <w:t xml:space="preserve"> </w:t>
            </w:r>
            <w:r w:rsidRPr="0091450A">
              <w:rPr>
                <w:rFonts w:eastAsia="Times New Roman" w:cs="Times New Roman"/>
                <w:szCs w:val="20"/>
                <w:lang w:eastAsia="en-NZ"/>
              </w:rPr>
              <w:lastRenderedPageBreak/>
              <w:t>or sugars. The law (Ordinance No NS300-820) sets nutrition standards prohibiting restaurants from linking toys or other incentives with single food items or meals with excessive calories (more than 200 for single food items and more than 485 calories for meals), excessive sodium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480mg for single food item and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600mg for a meal), excessive fat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35% for total fat), excessive saturated fat (&gt;10%) and sugar (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10% total calories from caloric sweeteners) or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0.5g of </w:t>
            </w:r>
            <w:r w:rsidRPr="0091450A">
              <w:rPr>
                <w:rFonts w:eastAsia="Times New Roman" w:cs="Times New Roman"/>
                <w:i/>
                <w:szCs w:val="20"/>
                <w:lang w:eastAsia="en-NZ"/>
              </w:rPr>
              <w:t xml:space="preserve">trans </w:t>
            </w:r>
            <w:r w:rsidRPr="0091450A">
              <w:rPr>
                <w:rFonts w:eastAsia="Times New Roman" w:cs="Times New Roman"/>
                <w:szCs w:val="20"/>
                <w:lang w:eastAsia="en-NZ"/>
              </w:rPr>
              <w:t>fats. It also applies to drinks with excessive calories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120 calories)</w:t>
            </w:r>
            <w:r w:rsidR="006B4B0E">
              <w:rPr>
                <w:rFonts w:eastAsia="Times New Roman" w:cs="Times New Roman"/>
                <w:szCs w:val="20"/>
                <w:lang w:eastAsia="en-NZ"/>
              </w:rPr>
              <w:t>,</w:t>
            </w:r>
            <w:r w:rsidRPr="0091450A">
              <w:rPr>
                <w:rFonts w:eastAsia="Times New Roman" w:cs="Times New Roman"/>
                <w:szCs w:val="20"/>
                <w:lang w:eastAsia="en-NZ"/>
              </w:rPr>
              <w:t xml:space="preserve"> fat (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35% from fat) and excessive sugars (</w:t>
            </w:r>
            <w:r w:rsidR="00C66820" w:rsidRPr="0091450A">
              <w:rPr>
                <w:rFonts w:eastAsia="Times New Roman" w:cs="Times New Roman"/>
                <w:szCs w:val="20"/>
                <w:lang w:eastAsia="en-NZ"/>
              </w:rPr>
              <w:t>&gt;</w:t>
            </w:r>
            <w:r w:rsidRPr="0091450A">
              <w:rPr>
                <w:rFonts w:eastAsia="Times New Roman" w:cs="Times New Roman"/>
                <w:szCs w:val="20"/>
                <w:lang w:eastAsia="en-NZ"/>
              </w:rPr>
              <w:t xml:space="preserve"> 10% from caloric sweeteners) </w:t>
            </w:r>
            <w:r w:rsidR="00FC46BE">
              <w:rPr>
                <w:rFonts w:eastAsia="Times New Roman" w:cs="Times New Roman"/>
                <w:szCs w:val="20"/>
                <w:lang w:eastAsia="en-NZ"/>
              </w:rPr>
              <w:t xml:space="preserve">involving </w:t>
            </w:r>
            <w:r w:rsidRPr="0091450A">
              <w:rPr>
                <w:rFonts w:eastAsia="Times New Roman" w:cs="Times New Roman"/>
                <w:szCs w:val="20"/>
                <w:lang w:eastAsia="en-NZ"/>
              </w:rPr>
              <w:t>added non-nutritive sweeteners or caffeine</w:t>
            </w:r>
            <w:r w:rsidR="004745E3" w:rsidRPr="0091450A">
              <w:rPr>
                <w:rFonts w:eastAsia="Times New Roman" w:cs="Times New Roman"/>
                <w:szCs w:val="20"/>
                <w:lang w:eastAsia="en-NZ"/>
              </w:rPr>
              <w:t xml:space="preserve"> </w:t>
            </w:r>
            <w:r w:rsidR="00454E2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{"citationItems":[{"id":"ITEM-1","itemData":{"URL":"http://www.wcrf.org/int/policy/nourishing-framework/restrict-food-marketing","author":[{"dropping-particle":"","family":"World Cancer Research Fund","given":"","non-dropping-particle":"","parse-names":false,"suffix":""}],"id":"ITEM-1","issue":"22/02/2016","issued":{"date-parts":[["2016"]]},"title":"NOURISHING Framework - Restrict food marketing","type":"webpage"},"uris":["http://www.mendeley.com/documents/?uuid=e3898d1b-d356-4deb-982f-a2636ba4a0dc","http://www.mendeley.com/documents/?uuid=1e107377-3e14-3809-ae40-bfab3ac500e1"]}],"mendeley":{"formattedCitation":"(74)","plainTextFormattedCitation":"(74)","previouslyFormattedCitation":"(74)"},"properties":{"noteIndex":0},"schema":"https://github.com/citation-style-language/schema/raw/master/csl-citation.json"}</w:instrText>
            </w:r>
            <w:r w:rsidR="00454E2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(74)</w:t>
            </w:r>
            <w:r w:rsidR="00454E2D" w:rsidRPr="0091450A">
              <w:rPr>
                <w:rFonts w:eastAsia="Times New Roman" w:cs="Times New Roman"/>
                <w:szCs w:val="20"/>
                <w:lang w:eastAsia="en-NZ"/>
              </w:rPr>
              <w:fldChar w:fldCharType="end"/>
            </w:r>
            <w:r w:rsidRPr="0091450A">
              <w:rPr>
                <w:rFonts w:eastAsia="Times New Roman" w:cs="Times New Roman"/>
                <w:szCs w:val="20"/>
                <w:lang w:eastAsia="en-NZ"/>
              </w:rPr>
              <w:t>.</w:t>
            </w:r>
          </w:p>
          <w:p w14:paraId="3984FE9C" w14:textId="5E371778" w:rsidR="00C56AB7" w:rsidRPr="0091450A" w:rsidRDefault="00C56AB7" w:rsidP="002D613F">
            <w:pPr>
              <w:pStyle w:val="ListParagraph"/>
              <w:keepNext/>
              <w:numPr>
                <w:ilvl w:val="0"/>
                <w:numId w:val="3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France</w:t>
            </w:r>
            <w:r w:rsidRPr="0091450A">
              <w:rPr>
                <w:rFonts w:eastAsia="Times New Roman" w:cs="Times New Roman"/>
                <w:szCs w:val="20"/>
                <w:lang w:eastAsia="en-NZ"/>
              </w:rPr>
              <w:t>: Since January 2017 France has banned unlimited offers of sweetened beverages for free or at a fixed price in public restaurants and other facilities accommodating or receiving children under the age of 18. Sweetened beverages are defined as any drink sweetened with sugar or artificial (caloric and non-caloric ) sweeteners, including flavoured carbonated and still beverages, fruit syrups, sport and energy drinks, fruit and vegetable nectars, fruit- and vegetable-based drinks, as well as water- milk- or cereal-based beverages</w:t>
            </w:r>
            <w:r w:rsidR="004745E3" w:rsidRPr="0091450A">
              <w:rPr>
                <w:rFonts w:eastAsia="Times New Roman" w:cs="Times New Roman"/>
                <w:szCs w:val="20"/>
                <w:lang w:eastAsia="en-NZ"/>
              </w:rPr>
              <w:t xml:space="preserve"> </w:t>
            </w:r>
            <w:r w:rsidR="00454E2D" w:rsidRPr="0091450A">
              <w:rPr>
                <w:rFonts w:eastAsia="Times New Roman" w:cs="Times New Roman"/>
                <w:szCs w:val="20"/>
                <w:lang w:eastAsia="en-NZ"/>
              </w:rPr>
              <w:fldChar w:fldCharType="begin" w:fldLock="1"/>
            </w:r>
            <w:r w:rsidR="002B6CB8">
              <w:rPr>
                <w:rFonts w:eastAsia="Times New Roman" w:cs="Times New Roman"/>
                <w:szCs w:val="20"/>
                <w:lang w:eastAsia="en-NZ"/>
              </w:rPr>
              <w:instrText>ADDIN CSL_CITATION {"citationItems":[{"id":"ITEM-1","itemData":{"URL":"http://www.wcrf.org/int/policy/nourishing-framework/set-retail-environment-incentives","author":[{"dropping-particle":"","family":"World Cancer Research Fund","given":"","non-dropping-particle":"","parse-names":false,"suffix":""}],"id":"ITEM-1","issue":"22/02/2016","issued":{"date-parts":[["2016"]]},"title":"NOURISHING Framework - Set retail environment incentives","type":"webpage"},"uris":["http://www.mendeley.com/documents/?uuid=f5f2cbf8-479c-421f-b41c-60b41087d286","http://www.mendeley.com/documents/?uuid=56c53307-9251-3c82-966d-30d7aa96cbe1"]}],"mendeley":{"formattedCitation":"(67)","plainTextFormattedCitation":"(67)","previouslyFormattedCitation":"(67)"},"properties":{"noteIndex":0},"schema":"https://github.com/citation-style-language/schema/raw/master/csl-citation.json"}</w:instrText>
            </w:r>
            <w:r w:rsidR="00454E2D" w:rsidRPr="0091450A">
              <w:rPr>
                <w:rFonts w:eastAsia="Times New Roman" w:cs="Times New Roman"/>
                <w:szCs w:val="20"/>
                <w:lang w:eastAsia="en-NZ"/>
              </w:rPr>
              <w:fldChar w:fldCharType="separate"/>
            </w:r>
            <w:r w:rsidR="00A90C92" w:rsidRPr="00A90C92">
              <w:rPr>
                <w:rFonts w:eastAsia="Times New Roman" w:cs="Times New Roman"/>
                <w:noProof/>
                <w:szCs w:val="20"/>
                <w:lang w:eastAsia="en-NZ"/>
              </w:rPr>
              <w:t>(67)</w:t>
            </w:r>
            <w:r w:rsidR="00454E2D" w:rsidRPr="0091450A">
              <w:rPr>
                <w:rFonts w:eastAsia="Times New Roman" w:cs="Times New Roman"/>
                <w:szCs w:val="20"/>
                <w:lang w:eastAsia="en-NZ"/>
              </w:rPr>
              <w:fldChar w:fldCharType="end"/>
            </w:r>
            <w:r w:rsidR="00454E2D" w:rsidRPr="0091450A">
              <w:rPr>
                <w:rFonts w:eastAsia="Times New Roman" w:cs="Times New Roman"/>
                <w:szCs w:val="20"/>
                <w:lang w:eastAsia="en-NZ"/>
              </w:rPr>
              <w:t>.</w:t>
            </w:r>
          </w:p>
        </w:tc>
      </w:tr>
    </w:tbl>
    <w:p w14:paraId="096E7E64" w14:textId="4D4A7249" w:rsidR="002406C7" w:rsidRPr="0091450A" w:rsidRDefault="002406C7" w:rsidP="002D613F">
      <w:pPr>
        <w:spacing w:after="0" w:line="240" w:lineRule="auto"/>
        <w:rPr>
          <w:rFonts w:eastAsiaTheme="majorEastAsia" w:cstheme="majorBidi"/>
          <w:color w:val="365F91" w:themeColor="accent1" w:themeShade="BF"/>
          <w:sz w:val="28"/>
          <w:szCs w:val="28"/>
        </w:rPr>
      </w:pPr>
    </w:p>
    <w:tbl>
      <w:tblPr>
        <w:tblStyle w:val="TableGrid"/>
        <w:tblW w:w="9209" w:type="dxa"/>
        <w:tblLook w:val="04A0" w:firstRow="1" w:lastRow="0" w:firstColumn="1" w:lastColumn="0" w:noHBand="0" w:noVBand="1"/>
      </w:tblPr>
      <w:tblGrid>
        <w:gridCol w:w="9209"/>
      </w:tblGrid>
      <w:tr w:rsidR="00AE3D68" w:rsidRPr="0091450A" w14:paraId="60E4D034" w14:textId="77777777" w:rsidTr="00CA16E1">
        <w:tc>
          <w:tcPr>
            <w:tcW w:w="9209" w:type="dxa"/>
          </w:tcPr>
          <w:p w14:paraId="0B12877F" w14:textId="4FCC8650" w:rsidR="00AE3D68" w:rsidRPr="0091450A" w:rsidRDefault="008C0F53" w:rsidP="002D613F">
            <w:pPr>
              <w:shd w:val="clear" w:color="auto" w:fill="FFFFFF" w:themeFill="background1"/>
              <w:spacing w:before="40" w:after="40"/>
              <w:rPr>
                <w:rFonts w:cs="Times New Roman"/>
                <w:bCs/>
                <w:szCs w:val="20"/>
              </w:rPr>
            </w:pPr>
            <w:bookmarkStart w:id="42" w:name="_Toc31623740"/>
            <w:r w:rsidRPr="0091450A">
              <w:rPr>
                <w:rStyle w:val="Heading2Char"/>
              </w:rPr>
              <w:t xml:space="preserve">7 </w:t>
            </w:r>
            <w:r w:rsidR="00AE3D68" w:rsidRPr="0091450A">
              <w:rPr>
                <w:rStyle w:val="Heading2Char"/>
              </w:rPr>
              <w:t>FOOD TRADE</w:t>
            </w:r>
            <w:r w:rsidRPr="0091450A">
              <w:rPr>
                <w:rStyle w:val="Heading2Char"/>
              </w:rPr>
              <w:t xml:space="preserve"> AND INVESTMENT</w:t>
            </w:r>
            <w:bookmarkEnd w:id="42"/>
            <w:r w:rsidR="00AE3D68" w:rsidRPr="0091450A">
              <w:rPr>
                <w:rFonts w:cs="Times New Roman"/>
                <w:b/>
                <w:color w:val="1F497D" w:themeColor="text2"/>
                <w:sz w:val="28"/>
                <w:szCs w:val="28"/>
              </w:rPr>
              <w:t xml:space="preserve">: </w:t>
            </w:r>
            <w:r w:rsidR="000D1C6C" w:rsidRPr="0091450A">
              <w:rPr>
                <w:rFonts w:cs="Times New Roman"/>
                <w:szCs w:val="20"/>
              </w:rPr>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r w:rsidR="00B84E85" w:rsidRPr="0091450A">
              <w:rPr>
                <w:rFonts w:cs="Times New Roman"/>
                <w:szCs w:val="20"/>
              </w:rPr>
              <w:t>.</w:t>
            </w:r>
          </w:p>
        </w:tc>
      </w:tr>
      <w:tr w:rsidR="00AE3D68" w:rsidRPr="0091450A" w14:paraId="336E5926" w14:textId="77777777" w:rsidTr="00CA16E1">
        <w:tc>
          <w:tcPr>
            <w:tcW w:w="9209" w:type="dxa"/>
          </w:tcPr>
          <w:p w14:paraId="45143627" w14:textId="1519479F" w:rsidR="00AE3D68" w:rsidRPr="0091450A" w:rsidRDefault="007D7A42" w:rsidP="002D613F">
            <w:pPr>
              <w:shd w:val="clear" w:color="auto" w:fill="FFFFFF" w:themeFill="background1"/>
              <w:spacing w:before="40" w:after="40"/>
              <w:rPr>
                <w:rFonts w:cs="Times New Roman"/>
                <w:color w:val="000000"/>
                <w:szCs w:val="20"/>
                <w:lang w:eastAsia="en-NZ"/>
              </w:rPr>
            </w:pPr>
            <w:bookmarkStart w:id="43" w:name="_Toc31623741"/>
            <w:r w:rsidRPr="0091450A">
              <w:rPr>
                <w:rStyle w:val="Heading3Char"/>
              </w:rPr>
              <w:t>TRADE1</w:t>
            </w:r>
            <w:bookmarkEnd w:id="43"/>
            <w:r w:rsidR="00AE3D68" w:rsidRPr="0091450A">
              <w:rPr>
                <w:rFonts w:cs="Times New Roman"/>
                <w:b/>
                <w:color w:val="1F497D" w:themeColor="text2"/>
                <w:sz w:val="28"/>
                <w:szCs w:val="28"/>
              </w:rPr>
              <w:t xml:space="preserve">: </w:t>
            </w:r>
            <w:r w:rsidR="000D1C6C" w:rsidRPr="0091450A">
              <w:rPr>
                <w:rFonts w:cs="Times New Roman"/>
                <w:b/>
                <w:color w:val="000000"/>
                <w:szCs w:val="20"/>
                <w:lang w:eastAsia="en-NZ"/>
              </w:rPr>
              <w:t>The direct and indirect impacts of international trade and investment agreements on food environments and population nutrition and health are assessed and considered</w:t>
            </w:r>
          </w:p>
        </w:tc>
      </w:tr>
      <w:tr w:rsidR="00AE3D68" w:rsidRPr="0091450A" w14:paraId="1225F7C2" w14:textId="77777777" w:rsidTr="00CA16E1">
        <w:tc>
          <w:tcPr>
            <w:tcW w:w="9209" w:type="dxa"/>
          </w:tcPr>
          <w:p w14:paraId="742D978F" w14:textId="63A89976"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18F4F1A" w14:textId="296C2EBA" w:rsidR="004865CF" w:rsidRPr="0091450A" w:rsidRDefault="00AE3D68" w:rsidP="002D613F">
            <w:pPr>
              <w:pStyle w:val="ListParagraph"/>
              <w:numPr>
                <w:ilvl w:val="0"/>
                <w:numId w:val="28"/>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t xml:space="preserve">A list of all New Zealand’s trade agreements (both in force and under negotiation) can be found online </w:t>
            </w:r>
            <w:r w:rsidR="007F66D0" w:rsidRPr="0091450A">
              <w:rPr>
                <w:rFonts w:cs="Times New Roman"/>
                <w:szCs w:val="20"/>
                <w:lang w:eastAsia="en-NZ"/>
              </w:rPr>
              <w:fldChar w:fldCharType="begin" w:fldLock="1"/>
            </w:r>
            <w:r w:rsidR="00EC12A7">
              <w:rPr>
                <w:rFonts w:cs="Times New Roman"/>
                <w:szCs w:val="20"/>
                <w:lang w:eastAsia="en-NZ"/>
              </w:rPr>
              <w:instrText>ADDIN CSL_CITATION {"citationItems":[{"id":"ITEM-1","itemData":{"URL":"http://www.mfat.govt.nz/Trade-and-Economic-Relations/2-Trade-Relationships-and-Agreements/index.php#force","author":[{"dropping-particle":"","family":"New Zealand Ministry of Foreign Affairs and Trade","given":"","non-dropping-particle":"","parse-names":false,"suffix":""}],"id":"ITEM-1","issued":{"date-parts":[["0"]]},"title":"Trade Relationships and Agreements","type":"webpage"},"uris":["http://www.mendeley.com/documents/?uuid=1ed7acd4-4901-39ee-844e-6578296685b6","http://www.mendeley.com/documents/?uuid=67de5109-431c-48f5-a6fa-7ae5249bb183"]}],"mendeley":{"formattedCitation":"(146)","plainTextFormattedCitation":"(146)","previouslyFormattedCitation":"(146)"},"properties":{"noteIndex":0},"schema":"https://github.com/citation-style-language/schema/raw/master/csl-citation.json"}</w:instrText>
            </w:r>
            <w:r w:rsidR="007F66D0" w:rsidRPr="0091450A">
              <w:rPr>
                <w:rFonts w:cs="Times New Roman"/>
                <w:szCs w:val="20"/>
                <w:lang w:eastAsia="en-NZ"/>
              </w:rPr>
              <w:fldChar w:fldCharType="separate"/>
            </w:r>
            <w:r w:rsidR="009C4029" w:rsidRPr="009C4029">
              <w:rPr>
                <w:rFonts w:cs="Times New Roman"/>
                <w:noProof/>
                <w:szCs w:val="20"/>
                <w:lang w:eastAsia="en-NZ"/>
              </w:rPr>
              <w:t>(146)</w:t>
            </w:r>
            <w:r w:rsidR="007F66D0" w:rsidRPr="0091450A">
              <w:rPr>
                <w:rFonts w:cs="Times New Roman"/>
                <w:szCs w:val="20"/>
                <w:lang w:eastAsia="en-NZ"/>
              </w:rPr>
              <w:fldChar w:fldCharType="end"/>
            </w:r>
            <w:r w:rsidR="007F66D0" w:rsidRPr="0091450A">
              <w:rPr>
                <w:rFonts w:cs="Times New Roman"/>
                <w:szCs w:val="20"/>
                <w:lang w:eastAsia="en-NZ"/>
              </w:rPr>
              <w:t>.</w:t>
            </w:r>
            <w:r w:rsidRPr="0091450A">
              <w:rPr>
                <w:rFonts w:cs="Times New Roman"/>
                <w:szCs w:val="20"/>
                <w:lang w:eastAsia="en-NZ"/>
              </w:rPr>
              <w:t xml:space="preserve"> Trade agreements between two or more countries can be known as either a Free Trade Agreement (FTA), Closer Economic Partnership (CEP), or Strategic Economic Partnership (SEP). International trade accounts for around two-thirds of New Zealand’s total economic activity. The site includes useful information on each of the agreements, including </w:t>
            </w:r>
            <w:r w:rsidR="00682F0F">
              <w:rPr>
                <w:rFonts w:cs="Times New Roman"/>
                <w:szCs w:val="20"/>
                <w:lang w:eastAsia="en-NZ"/>
              </w:rPr>
              <w:t xml:space="preserve">a </w:t>
            </w:r>
            <w:r w:rsidRPr="0091450A">
              <w:rPr>
                <w:rFonts w:cs="Times New Roman"/>
                <w:szCs w:val="20"/>
                <w:lang w:eastAsia="en-NZ"/>
              </w:rPr>
              <w:t xml:space="preserve">form of the agreement, countries involved and time since entry into force. Trade agreements often cover Trade in Goods (Market Access, Rules of Origin, Customs Procedures, Chapters on institutional and legal matters, Trade Remedies, Sanitary and Phytosanitary Measures, Technical Barriers to Trade), Trade in Services (Market Access, Movement of Natural Persons), Investment, Intellectual Property, Government Procurement, Competition and Consumer Policy, Cooperation, </w:t>
            </w:r>
            <w:hyperlink r:id="rId21" w:history="1">
              <w:r w:rsidRPr="0091450A">
                <w:rPr>
                  <w:rStyle w:val="Hyperlink"/>
                  <w:rFonts w:cs="Times New Roman"/>
                  <w:color w:val="auto"/>
                  <w:szCs w:val="20"/>
                  <w:u w:val="none"/>
                  <w:lang w:eastAsia="en-NZ"/>
                </w:rPr>
                <w:t>Trade and Labour</w:t>
              </w:r>
            </w:hyperlink>
            <w:r w:rsidRPr="0091450A">
              <w:rPr>
                <w:rFonts w:cs="Times New Roman"/>
                <w:szCs w:val="20"/>
                <w:lang w:eastAsia="en-NZ"/>
              </w:rPr>
              <w:t xml:space="preserve"> and </w:t>
            </w:r>
            <w:hyperlink r:id="rId22" w:history="1">
              <w:r w:rsidRPr="0091450A">
                <w:rPr>
                  <w:rStyle w:val="Hyperlink"/>
                  <w:rFonts w:cs="Times New Roman"/>
                  <w:color w:val="auto"/>
                  <w:szCs w:val="20"/>
                  <w:u w:val="none"/>
                  <w:lang w:eastAsia="en-NZ"/>
                </w:rPr>
                <w:t>Trade and Environment</w:t>
              </w:r>
            </w:hyperlink>
            <w:r w:rsidRPr="0091450A">
              <w:rPr>
                <w:rFonts w:cs="Times New Roman"/>
                <w:szCs w:val="20"/>
                <w:lang w:eastAsia="en-NZ"/>
              </w:rPr>
              <w:t>. On the site</w:t>
            </w:r>
            <w:r w:rsidR="00682F0F">
              <w:rPr>
                <w:rFonts w:cs="Times New Roman"/>
                <w:szCs w:val="20"/>
                <w:lang w:eastAsia="en-NZ"/>
              </w:rPr>
              <w:t>,</w:t>
            </w:r>
            <w:r w:rsidRPr="0091450A">
              <w:rPr>
                <w:rFonts w:cs="Times New Roman"/>
                <w:szCs w:val="20"/>
                <w:lang w:eastAsia="en-NZ"/>
              </w:rPr>
              <w:t xml:space="preserve"> the full text of each concluded agreement can be found, as well as the National Interest Analysis for each agreement</w:t>
            </w:r>
            <w:r w:rsidR="0018117D" w:rsidRPr="0091450A">
              <w:rPr>
                <w:rFonts w:cs="Times New Roman"/>
                <w:szCs w:val="20"/>
                <w:lang w:eastAsia="en-NZ"/>
              </w:rPr>
              <w:t xml:space="preserve"> </w:t>
            </w:r>
            <w:r w:rsidR="0018117D" w:rsidRPr="0091450A">
              <w:rPr>
                <w:rFonts w:cs="Times New Roman"/>
                <w:szCs w:val="20"/>
                <w:lang w:eastAsia="en-NZ"/>
              </w:rPr>
              <w:fldChar w:fldCharType="begin" w:fldLock="1"/>
            </w:r>
            <w:r w:rsidR="00EC12A7">
              <w:rPr>
                <w:rFonts w:cs="Times New Roman"/>
                <w:szCs w:val="20"/>
                <w:lang w:eastAsia="en-NZ"/>
              </w:rPr>
              <w:instrText>ADDIN CSL_CITATION {"citationItems":[{"id":"ITEM-1","itemData":{"URL":"http://www.mfat.govt.nz/Trade-and-Economic-Relations/2-Trade-Relationships-and-Agreements/index.php#force","author":[{"dropping-particle":"","family":"New Zealand Ministry of Foreign Affairs and Trade","given":"","non-dropping-particle":"","parse-names":false,"suffix":""}],"id":"ITEM-1","issued":{"date-parts":[["0"]]},"title":"Trade Relationships and Agreements","type":"webpage"},"uris":["http://www.mendeley.com/documents/?uuid=67de5109-431c-48f5-a6fa-7ae5249bb183","http://www.mendeley.com/documents/?uuid=1ed7acd4-4901-39ee-844e-6578296685b6"]}],"mendeley":{"formattedCitation":"(146)","plainTextFormattedCitation":"(146)","previouslyFormattedCitation":"(146)"},"properties":{"noteIndex":0},"schema":"https://github.com/citation-style-language/schema/raw/master/csl-citation.json"}</w:instrText>
            </w:r>
            <w:r w:rsidR="0018117D" w:rsidRPr="0091450A">
              <w:rPr>
                <w:rFonts w:cs="Times New Roman"/>
                <w:szCs w:val="20"/>
                <w:lang w:eastAsia="en-NZ"/>
              </w:rPr>
              <w:fldChar w:fldCharType="separate"/>
            </w:r>
            <w:r w:rsidR="009C4029" w:rsidRPr="009C4029">
              <w:rPr>
                <w:rFonts w:cs="Times New Roman"/>
                <w:noProof/>
                <w:szCs w:val="20"/>
                <w:lang w:eastAsia="en-NZ"/>
              </w:rPr>
              <w:t>(146)</w:t>
            </w:r>
            <w:r w:rsidR="0018117D" w:rsidRPr="0091450A">
              <w:rPr>
                <w:rFonts w:cs="Times New Roman"/>
                <w:szCs w:val="20"/>
                <w:lang w:eastAsia="en-NZ"/>
              </w:rPr>
              <w:fldChar w:fldCharType="end"/>
            </w:r>
            <w:r w:rsidRPr="0091450A">
              <w:rPr>
                <w:rFonts w:cs="Times New Roman"/>
                <w:szCs w:val="20"/>
                <w:lang w:eastAsia="en-NZ"/>
              </w:rPr>
              <w:t xml:space="preserve">. Both </w:t>
            </w:r>
            <w:r w:rsidRPr="00817CF7">
              <w:rPr>
                <w:rFonts w:cs="Times New Roman"/>
                <w:szCs w:val="20"/>
                <w:lang w:eastAsia="en-NZ"/>
              </w:rPr>
              <w:t xml:space="preserve">the </w:t>
            </w:r>
            <w:r w:rsidR="00CF0166" w:rsidRPr="00817CF7">
              <w:rPr>
                <w:rFonts w:cs="Times New Roman"/>
                <w:szCs w:val="20"/>
                <w:lang w:eastAsia="en-NZ"/>
              </w:rPr>
              <w:t>strategic</w:t>
            </w:r>
            <w:r w:rsidRPr="00817CF7">
              <w:rPr>
                <w:rFonts w:cs="Times New Roman"/>
                <w:szCs w:val="20"/>
                <w:lang w:eastAsia="en-NZ"/>
              </w:rPr>
              <w:t xml:space="preserve"> intent</w:t>
            </w:r>
            <w:r w:rsidR="00CF0166" w:rsidRPr="00817CF7">
              <w:rPr>
                <w:rFonts w:cs="Times New Roman"/>
                <w:szCs w:val="20"/>
                <w:lang w:eastAsia="en-NZ"/>
              </w:rPr>
              <w:t>ions</w:t>
            </w:r>
            <w:r w:rsidRPr="00817CF7">
              <w:rPr>
                <w:rFonts w:cs="Times New Roman"/>
                <w:szCs w:val="20"/>
                <w:lang w:eastAsia="en-NZ"/>
              </w:rPr>
              <w:t xml:space="preserve"> 201</w:t>
            </w:r>
            <w:r w:rsidR="00CF0166" w:rsidRPr="00817CF7">
              <w:rPr>
                <w:rFonts w:cs="Times New Roman"/>
                <w:szCs w:val="20"/>
                <w:lang w:eastAsia="en-NZ"/>
              </w:rPr>
              <w:t>8</w:t>
            </w:r>
            <w:r w:rsidRPr="00817CF7">
              <w:rPr>
                <w:rFonts w:cs="Times New Roman"/>
                <w:szCs w:val="20"/>
                <w:lang w:eastAsia="en-NZ"/>
              </w:rPr>
              <w:t>-201</w:t>
            </w:r>
            <w:r w:rsidR="00FC6D8A" w:rsidRPr="00817CF7">
              <w:rPr>
                <w:rFonts w:cs="Times New Roman"/>
                <w:szCs w:val="20"/>
                <w:lang w:eastAsia="en-NZ"/>
              </w:rPr>
              <w:t>9</w:t>
            </w:r>
            <w:r w:rsidR="004745E3" w:rsidRPr="00817CF7">
              <w:rPr>
                <w:rFonts w:cs="Times New Roman"/>
                <w:szCs w:val="20"/>
                <w:lang w:eastAsia="en-NZ"/>
              </w:rPr>
              <w:t xml:space="preserve"> </w:t>
            </w:r>
            <w:r w:rsidR="004427B5" w:rsidRPr="00817CF7">
              <w:rPr>
                <w:rFonts w:cs="Times New Roman"/>
                <w:szCs w:val="20"/>
                <w:lang w:eastAsia="en-NZ"/>
              </w:rPr>
              <w:fldChar w:fldCharType="begin" w:fldLock="1"/>
            </w:r>
            <w:r w:rsidR="00EC12A7" w:rsidRPr="00817CF7">
              <w:rPr>
                <w:rFonts w:cs="Times New Roman"/>
                <w:szCs w:val="20"/>
                <w:lang w:eastAsia="en-NZ"/>
              </w:rPr>
              <w:instrText>ADDIN CSL_CITATION {"citationItems":[{"id":"ITEM-1","itemData":{"DOI":"10.7748/nop.8.10.7.s6","ISSN":"17590418","author":[{"dropping-particle":"","family":"New Zealand Ministry of Foreign Affairs and Trade","given":"","non-dropping-particle":"","parse-names":false,"suffix":""}],"container-title":"Twist","id":"ITEM-1","issue":"58","issued":{"date-parts":[["2019"]]},"publisher":"Health Promotion Agency","publisher-place":"Wellington","title":"MFAT Strategic Intentions 2019-2023","type":"report"},"uris":["http://www.mendeley.com/documents/?uuid=42e5a915-8b11-30aa-9984-30f48e06c490","http://www.mendeley.com/documents/?uuid=dca542dd-8c73-4406-932d-573679128591"]}],"mendeley":{"formattedCitation":"(147)","plainTextFormattedCitation":"(147)","previouslyFormattedCitation":"(147)"},"properties":{"noteIndex":0},"schema":"https://github.com/citation-style-language/schema/raw/master/csl-citation.json"}</w:instrText>
            </w:r>
            <w:r w:rsidR="004427B5" w:rsidRPr="00817CF7">
              <w:rPr>
                <w:rFonts w:cs="Times New Roman"/>
                <w:szCs w:val="20"/>
                <w:lang w:eastAsia="en-NZ"/>
              </w:rPr>
              <w:fldChar w:fldCharType="separate"/>
            </w:r>
            <w:r w:rsidR="009C4029" w:rsidRPr="00817CF7">
              <w:rPr>
                <w:rFonts w:cs="Times New Roman"/>
                <w:noProof/>
                <w:szCs w:val="20"/>
                <w:lang w:eastAsia="en-NZ"/>
              </w:rPr>
              <w:t>(147)</w:t>
            </w:r>
            <w:r w:rsidR="004427B5" w:rsidRPr="00817CF7">
              <w:rPr>
                <w:rFonts w:cs="Times New Roman"/>
                <w:szCs w:val="20"/>
                <w:lang w:eastAsia="en-NZ"/>
              </w:rPr>
              <w:fldChar w:fldCharType="end"/>
            </w:r>
            <w:r w:rsidR="00552B68" w:rsidRPr="00817CF7">
              <w:rPr>
                <w:rFonts w:cs="Times New Roman"/>
                <w:szCs w:val="20"/>
                <w:lang w:eastAsia="en-NZ"/>
              </w:rPr>
              <w:t xml:space="preserve"> </w:t>
            </w:r>
            <w:r w:rsidRPr="00817CF7">
              <w:rPr>
                <w:rFonts w:cs="Times New Roman"/>
                <w:szCs w:val="20"/>
                <w:lang w:eastAsia="en-NZ"/>
              </w:rPr>
              <w:t>and the annual report</w:t>
            </w:r>
            <w:r w:rsidR="00DC1EDC" w:rsidRPr="00817CF7">
              <w:rPr>
                <w:rFonts w:cs="Times New Roman"/>
                <w:szCs w:val="20"/>
                <w:lang w:eastAsia="en-NZ"/>
              </w:rPr>
              <w:t xml:space="preserve"> </w:t>
            </w:r>
            <w:r w:rsidR="00E94963" w:rsidRPr="00817CF7">
              <w:rPr>
                <w:rFonts w:cs="Times New Roman"/>
                <w:szCs w:val="20"/>
                <w:lang w:eastAsia="en-NZ"/>
              </w:rPr>
              <w:fldChar w:fldCharType="begin" w:fldLock="1"/>
            </w:r>
            <w:r w:rsidR="00EC12A7" w:rsidRPr="00817CF7">
              <w:rPr>
                <w:rFonts w:cs="Times New Roman"/>
                <w:szCs w:val="20"/>
                <w:lang w:eastAsia="en-NZ"/>
              </w:rPr>
              <w:instrText>ADDIN CSL_CITATION {"citationItems":[{"id":"ITEM-1","itemData":{"author":[{"dropping-particle":"","family":"Ministry of Foreign Affairs and Trade","given":"","non-dropping-particle":"","parse-names":false,"suffix":""}],"id":"ITEM-1","issued":{"date-parts":[["2018"]]},"publisher":"Ministry of Trade and Foreign Affairs","publisher-place":"Wellington","title":"Annual report 2018/2019","type":"report"},"uris":["http://www.mendeley.com/documents/?uuid=7bdbc726-cd70-3415-9fee-fd2789bbec50","http://www.mendeley.com/documents/?uuid=222f1280-c42e-4672-875a-cb14b8854478"]}],"mendeley":{"formattedCitation":"(148)","plainTextFormattedCitation":"(148)","previouslyFormattedCitation":"(148)"},"properties":{"noteIndex":0},"schema":"https://github.com/citation-style-language/schema/raw/master/csl-citation.json"}</w:instrText>
            </w:r>
            <w:r w:rsidR="00E94963" w:rsidRPr="00817CF7">
              <w:rPr>
                <w:rFonts w:cs="Times New Roman"/>
                <w:szCs w:val="20"/>
                <w:lang w:eastAsia="en-NZ"/>
              </w:rPr>
              <w:fldChar w:fldCharType="separate"/>
            </w:r>
            <w:r w:rsidR="009C4029" w:rsidRPr="00817CF7">
              <w:rPr>
                <w:rFonts w:cs="Times New Roman"/>
                <w:noProof/>
                <w:szCs w:val="20"/>
                <w:lang w:eastAsia="en-NZ"/>
              </w:rPr>
              <w:t>(148)</w:t>
            </w:r>
            <w:r w:rsidR="00E94963" w:rsidRPr="00817CF7">
              <w:rPr>
                <w:rFonts w:cs="Times New Roman"/>
                <w:szCs w:val="20"/>
                <w:lang w:eastAsia="en-NZ"/>
              </w:rPr>
              <w:fldChar w:fldCharType="end"/>
            </w:r>
            <w:r w:rsidRPr="00817CF7">
              <w:rPr>
                <w:rFonts w:cs="Times New Roman"/>
                <w:szCs w:val="20"/>
                <w:lang w:eastAsia="en-NZ"/>
              </w:rPr>
              <w:t xml:space="preserve"> of the</w:t>
            </w:r>
            <w:r w:rsidRPr="0091450A">
              <w:rPr>
                <w:rFonts w:cs="Times New Roman"/>
                <w:szCs w:val="20"/>
                <w:lang w:eastAsia="en-NZ"/>
              </w:rPr>
              <w:t xml:space="preserve"> Ministry of Trade and Foreign Affairs do not include any assessment of the impact of trade agreements on food environments, population nutrition or national nutrition and health policies. For the trade agreements in force, a search for the keywords ‘nutrition’, and ‘</w:t>
            </w:r>
            <w:r w:rsidR="00E41424" w:rsidRPr="0091450A">
              <w:rPr>
                <w:rFonts w:cs="Times New Roman"/>
                <w:szCs w:val="20"/>
                <w:lang w:eastAsia="en-NZ"/>
              </w:rPr>
              <w:t>food</w:t>
            </w:r>
            <w:r w:rsidRPr="0091450A">
              <w:rPr>
                <w:rFonts w:cs="Times New Roman"/>
                <w:szCs w:val="20"/>
                <w:lang w:eastAsia="en-NZ"/>
              </w:rPr>
              <w:t xml:space="preserve">’ in the text of the agreement </w:t>
            </w:r>
            <w:r w:rsidR="004865CF" w:rsidRPr="0091450A">
              <w:rPr>
                <w:rFonts w:cs="Times New Roman"/>
                <w:szCs w:val="20"/>
                <w:lang w:eastAsia="en-NZ"/>
              </w:rPr>
              <w:t>as well as any</w:t>
            </w:r>
            <w:r w:rsidRPr="0091450A">
              <w:rPr>
                <w:rFonts w:cs="Times New Roman"/>
                <w:szCs w:val="20"/>
                <w:lang w:eastAsia="en-NZ"/>
              </w:rPr>
              <w:t xml:space="preserve"> national interest analysis</w:t>
            </w:r>
            <w:r w:rsidR="004865CF" w:rsidRPr="0091450A">
              <w:rPr>
                <w:rFonts w:cs="Times New Roman"/>
                <w:szCs w:val="20"/>
                <w:lang w:eastAsia="en-NZ"/>
              </w:rPr>
              <w:t xml:space="preserve"> for the agreement</w:t>
            </w:r>
            <w:r w:rsidRPr="0091450A">
              <w:rPr>
                <w:rFonts w:cs="Times New Roman"/>
                <w:szCs w:val="20"/>
                <w:lang w:eastAsia="en-NZ"/>
              </w:rPr>
              <w:t xml:space="preserve"> did n</w:t>
            </w:r>
            <w:r w:rsidR="004865CF" w:rsidRPr="0091450A">
              <w:rPr>
                <w:rFonts w:cs="Times New Roman"/>
                <w:szCs w:val="20"/>
                <w:lang w:eastAsia="en-NZ"/>
              </w:rPr>
              <w:t xml:space="preserve">ot deliver any relevant results. We found no evidence available from public sources from </w:t>
            </w:r>
            <w:r w:rsidR="00856C5E" w:rsidRPr="0091450A">
              <w:rPr>
                <w:rFonts w:cs="Times New Roman"/>
                <w:szCs w:val="20"/>
                <w:lang w:eastAsia="en-NZ"/>
              </w:rPr>
              <w:t>the Ministr</w:t>
            </w:r>
            <w:r w:rsidR="005444DB" w:rsidRPr="0091450A">
              <w:rPr>
                <w:rFonts w:cs="Times New Roman"/>
                <w:szCs w:val="20"/>
                <w:lang w:eastAsia="en-NZ"/>
              </w:rPr>
              <w:t xml:space="preserve">y of Foreign Affairs and Trade </w:t>
            </w:r>
            <w:r w:rsidR="004865CF" w:rsidRPr="0091450A">
              <w:rPr>
                <w:rFonts w:cs="Times New Roman"/>
                <w:szCs w:val="20"/>
                <w:lang w:eastAsia="en-NZ"/>
              </w:rPr>
              <w:t xml:space="preserve">or MoH or MPI, </w:t>
            </w:r>
            <w:r w:rsidR="00856C5E" w:rsidRPr="0091450A">
              <w:rPr>
                <w:rFonts w:cs="Times New Roman"/>
                <w:szCs w:val="20"/>
                <w:lang w:eastAsia="en-NZ"/>
              </w:rPr>
              <w:t>the Ministry of Business, Innovation and Employment (</w:t>
            </w:r>
            <w:r w:rsidR="004865CF" w:rsidRPr="0091450A">
              <w:rPr>
                <w:rFonts w:cs="Times New Roman"/>
                <w:szCs w:val="20"/>
                <w:lang w:eastAsia="en-NZ"/>
              </w:rPr>
              <w:t>MBIE</w:t>
            </w:r>
            <w:r w:rsidR="00856C5E" w:rsidRPr="0091450A">
              <w:rPr>
                <w:rFonts w:cs="Times New Roman"/>
                <w:szCs w:val="20"/>
                <w:lang w:eastAsia="en-NZ"/>
              </w:rPr>
              <w:t>)</w:t>
            </w:r>
            <w:r w:rsidR="004865CF" w:rsidRPr="0091450A">
              <w:rPr>
                <w:rFonts w:cs="Times New Roman"/>
                <w:szCs w:val="20"/>
                <w:lang w:eastAsia="en-NZ"/>
              </w:rPr>
              <w:t>, treasury or other relevant government agencies that potential impacts on nutrition and health are assessed in the negotiation of agreements (other than relying on the standard WTO clauses which have a very high bar for evidence of negative impacts on health).</w:t>
            </w:r>
          </w:p>
          <w:p w14:paraId="21DA9461" w14:textId="613437E7" w:rsidR="003C1CC2" w:rsidRPr="0091450A" w:rsidRDefault="004865CF" w:rsidP="002D613F">
            <w:pPr>
              <w:pStyle w:val="ListParagraph"/>
              <w:numPr>
                <w:ilvl w:val="0"/>
                <w:numId w:val="28"/>
              </w:numPr>
              <w:shd w:val="clear" w:color="auto" w:fill="FFFFFF" w:themeFill="background1"/>
              <w:spacing w:before="40" w:after="40"/>
              <w:ind w:left="284" w:hanging="284"/>
              <w:contextualSpacing w:val="0"/>
              <w:rPr>
                <w:rFonts w:cs="Times New Roman"/>
                <w:szCs w:val="20"/>
              </w:rPr>
            </w:pPr>
            <w:r w:rsidRPr="002D4664">
              <w:rPr>
                <w:rFonts w:cs="Times New Roman"/>
                <w:szCs w:val="20"/>
              </w:rPr>
              <w:t>Information on stated purposes of legislative proposals relating to food was sought from examining the Food Bill, introduced</w:t>
            </w:r>
            <w:r w:rsidRPr="0091450A">
              <w:rPr>
                <w:rFonts w:cs="Times New Roman"/>
                <w:szCs w:val="20"/>
              </w:rPr>
              <w:t xml:space="preserve"> in 2010. This states among other things that the purpose of the act is to achieve the safety and suitability of food for sale and provide for risk-based measures that minimise and manage risks to public health; and protect and promote public health’</w:t>
            </w:r>
            <w:r w:rsidR="000E462E" w:rsidRPr="0091450A">
              <w:rPr>
                <w:rFonts w:cs="Times New Roman"/>
                <w:szCs w:val="20"/>
              </w:rPr>
              <w:t>s (</w:t>
            </w:r>
            <w:r w:rsidRPr="0091450A">
              <w:rPr>
                <w:rFonts w:cs="Times New Roman"/>
                <w:szCs w:val="20"/>
              </w:rPr>
              <w:t>cl</w:t>
            </w:r>
            <w:r w:rsidR="00877725" w:rsidRPr="0091450A">
              <w:rPr>
                <w:rFonts w:cs="Times New Roman"/>
                <w:szCs w:val="20"/>
              </w:rPr>
              <w:t>ause</w:t>
            </w:r>
            <w:r w:rsidRPr="0091450A">
              <w:rPr>
                <w:rFonts w:cs="Times New Roman"/>
                <w:szCs w:val="20"/>
              </w:rPr>
              <w:t xml:space="preserve"> 4). While a reference to protecting and promoting public health is positive, there is little in the act that would implement this aspect of the Act’s purpose in a broad way going beyond traditional food safety concerns. For instance, the Bill states the primary duty of persons who trade in food is to ‘ensure that it is safe and suitable’. Concepts of safe and suitable are defined in the Bill but in rather limite</w:t>
            </w:r>
            <w:r w:rsidR="007012F5" w:rsidRPr="0091450A">
              <w:rPr>
                <w:rFonts w:cs="Times New Roman"/>
                <w:szCs w:val="20"/>
              </w:rPr>
              <w:t>d ways</w:t>
            </w:r>
            <w:r w:rsidRPr="0091450A">
              <w:rPr>
                <w:rFonts w:cs="Times New Roman"/>
                <w:szCs w:val="20"/>
              </w:rPr>
              <w:t xml:space="preserve">. </w:t>
            </w:r>
            <w:r w:rsidR="00936B10" w:rsidRPr="0091450A">
              <w:rPr>
                <w:rFonts w:cs="Times New Roman"/>
                <w:szCs w:val="20"/>
              </w:rPr>
              <w:t xml:space="preserve">There was </w:t>
            </w:r>
            <w:r w:rsidR="00570708" w:rsidRPr="0091450A">
              <w:rPr>
                <w:rFonts w:cs="Times New Roman"/>
                <w:szCs w:val="20"/>
              </w:rPr>
              <w:t>a report on submissions to the Food Bill in May 2014</w:t>
            </w:r>
            <w:r w:rsidRPr="0091450A">
              <w:rPr>
                <w:rFonts w:cs="Times New Roman"/>
                <w:szCs w:val="20"/>
              </w:rPr>
              <w:t xml:space="preserve"> </w:t>
            </w:r>
            <w:r w:rsidR="00926B3C" w:rsidRPr="0091450A">
              <w:rPr>
                <w:rFonts w:cs="Times New Roman"/>
                <w:szCs w:val="20"/>
              </w:rPr>
              <w:fldChar w:fldCharType="begin" w:fldLock="1"/>
            </w:r>
            <w:r w:rsidR="00EC12A7">
              <w:rPr>
                <w:rFonts w:cs="Times New Roman"/>
                <w:szCs w:val="20"/>
              </w:rPr>
              <w:instrText>ADDIN CSL_CITATION {"citationItems":[{"id":"ITEM-1","itemData":{"URL":"http://www.parliament.nz/en-nz/pb/legislation/bills/00DBHOH_BILL9974_1/food-bill","author":[{"dropping-particle":"","family":"New Zealand Parliament","given":"","non-dropping-particle":"","parse-names":false,"suffix":""}],"id":"ITEM-1","issue":"31/01/2014","issued":{"date-parts":[["2010"]]},"title":"the Food Bill","type":"webpage"},"uris":["http://www.mendeley.com/documents/?uuid=8e43dc9e-c62f-33e2-849e-c735dbd4b7f1","http://www.mendeley.com/documents/?uuid=2c8f7bbc-de9d-4fe7-9b26-e84590cf7de5"]}],"mendeley":{"formattedCitation":"(149)","plainTextFormattedCitation":"(149)","previouslyFormattedCitation":"(149)"},"properties":{"noteIndex":0},"schema":"https://github.com/citation-style-language/schema/raw/master/csl-citation.json"}</w:instrText>
            </w:r>
            <w:r w:rsidR="00926B3C" w:rsidRPr="0091450A">
              <w:rPr>
                <w:rFonts w:cs="Times New Roman"/>
                <w:szCs w:val="20"/>
              </w:rPr>
              <w:fldChar w:fldCharType="separate"/>
            </w:r>
            <w:r w:rsidR="009C4029" w:rsidRPr="009C4029">
              <w:rPr>
                <w:rFonts w:cs="Times New Roman"/>
                <w:noProof/>
                <w:szCs w:val="20"/>
              </w:rPr>
              <w:t>(149)</w:t>
            </w:r>
            <w:r w:rsidR="00926B3C" w:rsidRPr="0091450A">
              <w:rPr>
                <w:rFonts w:cs="Times New Roman"/>
                <w:szCs w:val="20"/>
              </w:rPr>
              <w:fldChar w:fldCharType="end"/>
            </w:r>
            <w:r w:rsidRPr="0091450A">
              <w:rPr>
                <w:rFonts w:cs="Times New Roman"/>
                <w:szCs w:val="20"/>
              </w:rPr>
              <w:t>.</w:t>
            </w:r>
          </w:p>
          <w:p w14:paraId="533787A2" w14:textId="77777777" w:rsidR="003C1CC2" w:rsidRPr="0091450A" w:rsidRDefault="003C1CC2" w:rsidP="002D613F">
            <w:pPr>
              <w:shd w:val="clear" w:color="auto" w:fill="FFFFFF" w:themeFill="background1"/>
              <w:spacing w:before="40" w:after="40"/>
              <w:rPr>
                <w:rFonts w:cs="Times New Roman"/>
                <w:b/>
                <w:color w:val="1F497D" w:themeColor="text2"/>
                <w:szCs w:val="20"/>
              </w:rPr>
            </w:pPr>
          </w:p>
          <w:p w14:paraId="561430A9" w14:textId="2606AD14"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3BBE6498" w14:textId="78609FD7" w:rsidR="00C56AB7" w:rsidRPr="0091450A" w:rsidRDefault="00C5347E" w:rsidP="002D613F">
            <w:pPr>
              <w:pStyle w:val="ListParagraph"/>
              <w:keepNext/>
              <w:numPr>
                <w:ilvl w:val="0"/>
                <w:numId w:val="67"/>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lastRenderedPageBreak/>
              <w:t>US/EU</w:t>
            </w:r>
            <w:r w:rsidRPr="0091450A">
              <w:rPr>
                <w:rFonts w:eastAsia="Times New Roman" w:cs="Times New Roman"/>
                <w:szCs w:val="20"/>
                <w:lang w:eastAsia="en-NZ"/>
              </w:rPr>
              <w:t xml:space="preserve">: It is mandatory in the US and countries of the EU to undertake Environmental Impact Assessments for all new trade agreements. These assessments sometimes incorporate Health Impact Assessments </w:t>
            </w:r>
            <w:r w:rsidR="00022EAF"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{"citationItems":[{"id":"ITEM-1","itemData":{"DOI":"10.1111/obr.12081","ISBN":"1467-789X (Electronic)\r1467-7881 (Linking)","PMID":"24074216","abstract":"The liberalization of international trade and foreign direct investment through multilateral, regional and bilateral agreements has had profound implications for the structure and nature of food systems, and therefore, for the availability, nutritional quality, accessibility, price and promotion of foods in different locations. Public health attention has only relatively recently turned to the links between trade and investment agreements, diets and health, and there is currently no systematic monitoring of this area. This paper reviews the available evidence on the links between trade agreements, food environments and diets from an obesity and non-communicable disease (NCD) perspective. Based on the key issues identified through the review, the paper outlines an approach for monitoring the potential impact of trade agreements on food environments and obesity/NCD risks. The proposed monitoring approach encompasses a set of guiding principles, recommended procedures for data collection and analysis, and quantifiable 'minimal', 'expanded' and 'optimal' measurement indicators to be tailored to national priorities, capacity and resources. Formal risk assessment processes of existing and evolving trade and investment agreements, which focus on their impacts on food environments will help inform the development of healthy trade policy, strengthen domestic nutrition and health policy space and ultimately protect population nutrition.","author":[{"dropping-particle":"","family":"Friel","given":"S","non-dropping-particle":"","parse-names":false,"suffix":""},{"dropping-particle":"","family":"Hattersley","given":"L","non-dropping-particle":"","parse-names":false,"suffix":""},{"dropping-particle":"","family":"Snowdon","given":"W","non-dropping-particle":"","parse-names":false,"suffix":""},{"dropping-particle":"","family":"Thow","given":"A M","non-dropping-particle":"","parse-names":false,"suffix":""},{"dropping-particle":"","family":"Lobstein","given":"T","non-dropping-particle":"","parse-names":false,"suffix":""},{"dropping-particle":"","family":"Sanders","given":"D","non-dropping-particle":"","parse-names":false,"suffix":""},{"dropping-particle":"","family":"Barquera","given":"S","non-dropping-particle":"","parse-names":false,"suffix":""},{"dropping-particle":"","family":"Mohan","given":"S","non-dropping-particle":"","parse-names":false,"suffix":""},{"dropping-particle":"","family":"Hawkes","given":"C","non-dropping-particle":"","parse-names":false,"suffix":""},{"dropping-particle":"","family":"Kelly","given":"B","non-dropping-particle":"","parse-names":false,"suffix":""},{"dropping-particle":"","family":"Kumanyika","given":"S","non-dropping-particle":"","parse-names":false,"suffix":""},{"dropping-particle":"","family":"L'Abbe","given":"M","non-dropping-particle":"","parse-names":false,"suffix":""},{"dropping-particle":"","family":"Lee","given":"A","non-dropping-particle":"","parse-names":false,"suffix":""},{"dropping-particle":"","family":"Ma","given":"J","non-dropping-particle":"","parse-names":false,"suffix":""},{"dropping-particle":"","family":"Macmullan","given":"J","non-dropping-particle":"","parse-names":false,"suffix":""},{"dropping-particle":"","family":"Monteiro","given":"C","non-dropping-particle":"","parse-names":false,"suffix":""},{"dropping-particle":"","family":"Neal","given":"B","non-dropping-particle":"","parse-names":false,"suffix":""},{"dropping-particle":"","family":"Rayner","given":"M","non-dropping-particle":"","parse-names":false,"suffix":""},{"dropping-particle":"","family":"Sacks","given":"G","non-dropping-particle":"","parse-names":false,"suffix":""},{"dropping-particle":"","family":"Swinburn","given":"B","non-dropping-particle":"","parse-names":false,"suffix":""},{"dropping-particle":"","family":"Vandevijvere","given":"S","non-dropping-particle":"","parse-names":false,"suffix":""},{"dropping-particle":"","family":"Walker","given":"C","non-dropping-particle":"","parse-names":false,"suffix":""},{"dropping-particle":"","family":"Informas","given":"","non-dropping-particle":"","parse-names":false,"suffix":""}],"container-title":"Obes Rev","id":"ITEM-1","issued":{"date-parts":[["2013"]]},"note":"Friel, S\nHattersley, L\nSnowdon, W\nThow, A-M\nLobstein, T\nSanders, D\nBarquera, S\nMohan, S\nHawkes, C\nKelly, B\nKumanyika, S\nL'Abbe, M\nLee, A\nMa, J\nMacmullan, J\nMonteiro, C\nNeal, B\nRayner, M\nSacks, G\nSwinburn, B\nVandevijvere, S\nWalker, C\neng\nResearch Support, Non-U.S. Gov't\nEngland\n2013/10/23 06:00\nObes Rev. 2013 Oct;14 Suppl 1:120-34. doi: 10.1111/obr.12081.","page":"120-134","title":"Monitoring the impacts of trade agreements on food environments","type":"article-journal","volume":"14 Suppl 1"},"uris":["http://www.mendeley.com/documents/?uuid=6831b65e-0861-34de-b47a-6994a358b92f","http://www.mendeley.com/documents/?uuid=58f04640-68eb-4f9e-add6-adb3275534d9"]}],"mendeley":{"formattedCitation":"(150)","plainTextFormattedCitation":"(150)","previouslyFormattedCitation":"(150)"},"properties":{"noteIndex":0},"schema":"https://github.com/citation-style-language/schema/raw/master/csl-citation.json"}</w:instrText>
            </w:r>
            <w:r w:rsidR="00022EAF"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(150)</w:t>
            </w:r>
            <w:r w:rsidR="00022EAF" w:rsidRPr="0091450A">
              <w:rPr>
                <w:rFonts w:eastAsia="Times New Roman" w:cs="Times New Roman"/>
                <w:szCs w:val="20"/>
                <w:lang w:eastAsia="en-NZ"/>
              </w:rPr>
              <w:fldChar w:fldCharType="end"/>
            </w:r>
            <w:r w:rsidR="00022EAF" w:rsidRPr="0091450A">
              <w:rPr>
                <w:rFonts w:eastAsia="Times New Roman" w:cs="Times New Roman"/>
                <w:szCs w:val="20"/>
                <w:lang w:eastAsia="en-NZ"/>
              </w:rPr>
              <w:t>.</w:t>
            </w:r>
          </w:p>
        </w:tc>
      </w:tr>
    </w:tbl>
    <w:p w14:paraId="6D24D487" w14:textId="35541BD8" w:rsidR="0065525B" w:rsidRPr="0091450A" w:rsidRDefault="0065525B" w:rsidP="002D613F">
      <w:pPr>
        <w:spacing w:line="240" w:lineRule="auto"/>
        <w:rPr>
          <w:rFonts w:cs="Times New Roman"/>
          <w:b/>
          <w:color w:val="1F497D" w:themeColor="text2"/>
          <w:sz w:val="24"/>
          <w:szCs w:val="24"/>
        </w:rPr>
      </w:pPr>
    </w:p>
    <w:tbl>
      <w:tblPr>
        <w:tblStyle w:val="TableGrid"/>
        <w:tblW w:w="9209" w:type="dxa"/>
        <w:tblLook w:val="04A0" w:firstRow="1" w:lastRow="0" w:firstColumn="1" w:lastColumn="0" w:noHBand="0" w:noVBand="1"/>
      </w:tblPr>
      <w:tblGrid>
        <w:gridCol w:w="9209"/>
      </w:tblGrid>
      <w:tr w:rsidR="00AE3D68" w:rsidRPr="0091450A" w14:paraId="64864C4B" w14:textId="77777777" w:rsidTr="00CA16E1">
        <w:tc>
          <w:tcPr>
            <w:tcW w:w="9209" w:type="dxa"/>
          </w:tcPr>
          <w:p w14:paraId="40B1152E" w14:textId="48B41438" w:rsidR="00AE3D68"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7 </w:t>
            </w:r>
            <w:r w:rsidR="00AE3D68" w:rsidRPr="0091450A">
              <w:rPr>
                <w:rFonts w:cs="Times New Roman"/>
                <w:b/>
                <w:color w:val="1F497D" w:themeColor="text2"/>
                <w:sz w:val="28"/>
                <w:szCs w:val="28"/>
              </w:rPr>
              <w:t>FOOD TRADE</w:t>
            </w:r>
            <w:r w:rsidRPr="0091450A">
              <w:rPr>
                <w:rFonts w:cs="Times New Roman"/>
                <w:b/>
                <w:color w:val="1F497D" w:themeColor="text2"/>
                <w:sz w:val="28"/>
                <w:szCs w:val="28"/>
              </w:rPr>
              <w:t xml:space="preserve"> AND INVESTMENT</w:t>
            </w:r>
            <w:r w:rsidR="00AE3D68" w:rsidRPr="0091450A">
              <w:rPr>
                <w:rFonts w:cs="Times New Roman"/>
                <w:b/>
                <w:color w:val="1F497D" w:themeColor="text2"/>
                <w:sz w:val="28"/>
                <w:szCs w:val="28"/>
              </w:rPr>
              <w:t xml:space="preserve">: </w:t>
            </w:r>
            <w:r w:rsidR="000D1C6C" w:rsidRPr="0091450A">
              <w:rPr>
                <w:rFonts w:cs="Times New Roman"/>
                <w:szCs w:val="20"/>
              </w:rPr>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p>
        </w:tc>
      </w:tr>
      <w:tr w:rsidR="00AE3D68" w:rsidRPr="0091450A" w14:paraId="4E635DAE" w14:textId="77777777" w:rsidTr="00CA16E1">
        <w:tc>
          <w:tcPr>
            <w:tcW w:w="9209" w:type="dxa"/>
          </w:tcPr>
          <w:p w14:paraId="0F29B722" w14:textId="7A623A2A" w:rsidR="00AE3D68" w:rsidRPr="0091450A" w:rsidRDefault="007D7A42" w:rsidP="002D613F">
            <w:pPr>
              <w:shd w:val="clear" w:color="auto" w:fill="FFFFFF" w:themeFill="background1"/>
              <w:spacing w:before="40" w:after="40"/>
              <w:rPr>
                <w:rFonts w:cs="Times New Roman"/>
                <w:color w:val="000000"/>
                <w:szCs w:val="20"/>
                <w:lang w:eastAsia="en-NZ"/>
              </w:rPr>
            </w:pPr>
            <w:bookmarkStart w:id="44" w:name="_Toc31623742"/>
            <w:r w:rsidRPr="0091450A">
              <w:rPr>
                <w:rStyle w:val="Heading3Char"/>
              </w:rPr>
              <w:t>TRADE2</w:t>
            </w:r>
            <w:bookmarkEnd w:id="44"/>
            <w:r w:rsidR="00AE3D68" w:rsidRPr="0091450A">
              <w:rPr>
                <w:rFonts w:cs="Times New Roman"/>
                <w:b/>
                <w:color w:val="1F497D" w:themeColor="text2"/>
                <w:sz w:val="28"/>
                <w:szCs w:val="28"/>
              </w:rPr>
              <w:t xml:space="preserve">: </w:t>
            </w:r>
            <w:r w:rsidR="000D1C6C" w:rsidRPr="0091450A">
              <w:rPr>
                <w:rFonts w:cs="Times New Roman"/>
                <w:b/>
                <w:color w:val="000000"/>
                <w:szCs w:val="20"/>
                <w:lang w:eastAsia="en-NZ"/>
              </w:rPr>
              <w:t xml:space="preserve">The government </w:t>
            </w:r>
            <w:r w:rsidR="00C80F98" w:rsidRPr="0091450A">
              <w:rPr>
                <w:rFonts w:cs="Times New Roman"/>
                <w:b/>
                <w:color w:val="000000"/>
                <w:szCs w:val="20"/>
                <w:lang w:eastAsia="en-NZ"/>
              </w:rPr>
              <w:t>adopts measures</w:t>
            </w:r>
            <w:r w:rsidR="000D1C6C" w:rsidRPr="0091450A">
              <w:rPr>
                <w:rFonts w:cs="Times New Roman"/>
                <w:b/>
                <w:color w:val="000000"/>
                <w:szCs w:val="20"/>
                <w:lang w:eastAsia="en-NZ"/>
              </w:rPr>
              <w:t xml:space="preserve"> to manage investment and protect their regulatory capacity with res</w:t>
            </w:r>
            <w:r w:rsidR="00A635D3" w:rsidRPr="0091450A">
              <w:rPr>
                <w:rFonts w:cs="Times New Roman"/>
                <w:b/>
                <w:color w:val="000000"/>
                <w:szCs w:val="20"/>
                <w:lang w:eastAsia="en-NZ"/>
              </w:rPr>
              <w:t>pect to public health nutrition</w:t>
            </w:r>
          </w:p>
        </w:tc>
      </w:tr>
      <w:tr w:rsidR="00AE3D68" w:rsidRPr="0091450A" w14:paraId="369D6E58" w14:textId="77777777" w:rsidTr="00CA16E1">
        <w:tc>
          <w:tcPr>
            <w:tcW w:w="9209" w:type="dxa"/>
          </w:tcPr>
          <w:p w14:paraId="141C38AC" w14:textId="74302752"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0B21D5FC" w14:textId="3F980DDD" w:rsidR="0042307D" w:rsidRPr="0091450A" w:rsidRDefault="00B631C4" w:rsidP="002D613F">
            <w:pPr>
              <w:pStyle w:val="ListParagraph"/>
              <w:numPr>
                <w:ilvl w:val="0"/>
                <w:numId w:val="29"/>
              </w:numPr>
              <w:shd w:val="clear" w:color="auto" w:fill="FFFFFF" w:themeFill="background1"/>
              <w:spacing w:before="40" w:after="40"/>
              <w:ind w:left="284" w:hanging="284"/>
              <w:contextualSpacing w:val="0"/>
              <w:rPr>
                <w:rFonts w:cs="Times New Roman"/>
                <w:color w:val="000000"/>
                <w:szCs w:val="20"/>
                <w:lang w:eastAsia="en-NZ"/>
              </w:rPr>
            </w:pPr>
            <w:r w:rsidRPr="0091450A">
              <w:rPr>
                <w:rFonts w:cs="Times New Roman"/>
                <w:color w:val="000000"/>
                <w:szCs w:val="20"/>
                <w:lang w:eastAsia="en-NZ"/>
              </w:rPr>
              <w:t>International investment agreements have the potential to restrict a country’s regulatory capacity with respect to public health nutrition. A range of proactive measures ha</w:t>
            </w:r>
            <w:r w:rsidR="004E047D">
              <w:rPr>
                <w:rFonts w:cs="Times New Roman"/>
                <w:color w:val="000000"/>
                <w:szCs w:val="20"/>
                <w:lang w:eastAsia="en-NZ"/>
              </w:rPr>
              <w:t>s</w:t>
            </w:r>
            <w:r w:rsidRPr="0091450A">
              <w:rPr>
                <w:rFonts w:cs="Times New Roman"/>
                <w:color w:val="000000"/>
                <w:szCs w:val="20"/>
                <w:lang w:eastAsia="en-NZ"/>
              </w:rPr>
              <w:t xml:space="preserve"> been proposed </w:t>
            </w:r>
            <w:r w:rsidR="001A127F" w:rsidRPr="0091450A">
              <w:rPr>
                <w:rFonts w:cs="Times New Roman"/>
                <w:color w:val="000000"/>
                <w:szCs w:val="20"/>
                <w:lang w:eastAsia="en-NZ"/>
              </w:rPr>
              <w:t xml:space="preserve">to manage investment and protect public health nutrition regulatory capacity.  For </w:t>
            </w:r>
            <w:r w:rsidR="00F223F3" w:rsidRPr="0091450A">
              <w:rPr>
                <w:rFonts w:cs="Times New Roman"/>
                <w:color w:val="000000"/>
                <w:szCs w:val="20"/>
                <w:lang w:eastAsia="en-NZ"/>
              </w:rPr>
              <w:t>NZ</w:t>
            </w:r>
            <w:r w:rsidR="001A127F" w:rsidRPr="0091450A">
              <w:rPr>
                <w:rFonts w:cs="Times New Roman"/>
                <w:color w:val="000000"/>
                <w:szCs w:val="20"/>
                <w:lang w:eastAsia="en-NZ"/>
              </w:rPr>
              <w:t xml:space="preserve"> it is uncertain whether trade negotiations include </w:t>
            </w:r>
            <w:r w:rsidR="00AE3D68" w:rsidRPr="0091450A">
              <w:rPr>
                <w:rFonts w:cs="Times New Roman"/>
                <w:color w:val="000000"/>
                <w:szCs w:val="20"/>
                <w:lang w:eastAsia="en-NZ"/>
              </w:rPr>
              <w:t xml:space="preserve">evaluation on whether granting incentives that lower production costs may jeopardize public health by making unhealthy products more affordable, no </w:t>
            </w:r>
            <w:r w:rsidR="00807D84" w:rsidRPr="0091450A">
              <w:rPr>
                <w:rFonts w:cs="Times New Roman"/>
                <w:color w:val="000000"/>
                <w:szCs w:val="20"/>
                <w:lang w:eastAsia="en-NZ"/>
              </w:rPr>
              <w:t>assurance</w:t>
            </w:r>
            <w:r w:rsidR="00AE3D68" w:rsidRPr="0091450A">
              <w:rPr>
                <w:rFonts w:cs="Times New Roman"/>
                <w:color w:val="000000"/>
                <w:szCs w:val="20"/>
                <w:lang w:eastAsia="en-NZ"/>
              </w:rPr>
              <w:t xml:space="preserve"> that investment contracts do not tie the hands of regulators in ways likely to undermine </w:t>
            </w:r>
            <w:r w:rsidR="00FC46BE" w:rsidRPr="0091450A">
              <w:rPr>
                <w:rFonts w:cs="Times New Roman"/>
                <w:color w:val="000000"/>
                <w:szCs w:val="20"/>
                <w:lang w:eastAsia="en-NZ"/>
              </w:rPr>
              <w:t>health</w:t>
            </w:r>
            <w:r w:rsidR="00FC46BE">
              <w:rPr>
                <w:rFonts w:cs="Times New Roman"/>
                <w:color w:val="000000"/>
                <w:szCs w:val="20"/>
                <w:lang w:eastAsia="en-NZ"/>
              </w:rPr>
              <w:t>. Also there is</w:t>
            </w:r>
            <w:r w:rsidR="00AE3D68" w:rsidRPr="0091450A">
              <w:rPr>
                <w:rFonts w:cs="Times New Roman"/>
                <w:color w:val="000000"/>
                <w:szCs w:val="20"/>
                <w:lang w:eastAsia="en-NZ"/>
              </w:rPr>
              <w:t xml:space="preserve"> no clarification that a foreign investor cannot legitimately expect the host country not to issue nutrition measures and </w:t>
            </w:r>
            <w:r w:rsidR="00FC46BE">
              <w:rPr>
                <w:rFonts w:cs="Times New Roman"/>
                <w:color w:val="000000"/>
                <w:szCs w:val="20"/>
                <w:lang w:eastAsia="en-NZ"/>
              </w:rPr>
              <w:t>the</w:t>
            </w:r>
            <w:r w:rsidR="00AE3D68" w:rsidRPr="0091450A">
              <w:rPr>
                <w:rFonts w:cs="Times New Roman"/>
                <w:color w:val="000000"/>
                <w:szCs w:val="20"/>
                <w:lang w:eastAsia="en-NZ"/>
              </w:rPr>
              <w:t xml:space="preserve"> terms</w:t>
            </w:r>
            <w:r w:rsidR="00FC46BE">
              <w:rPr>
                <w:rFonts w:cs="Times New Roman"/>
                <w:color w:val="000000"/>
                <w:szCs w:val="20"/>
                <w:lang w:eastAsia="en-NZ"/>
              </w:rPr>
              <w:t>,</w:t>
            </w:r>
            <w:r w:rsidR="00AE3D68" w:rsidRPr="0091450A">
              <w:rPr>
                <w:rFonts w:cs="Times New Roman"/>
                <w:color w:val="000000"/>
                <w:szCs w:val="20"/>
                <w:lang w:eastAsia="en-NZ"/>
              </w:rPr>
              <w:t xml:space="preserve"> general exceptions</w:t>
            </w:r>
            <w:r w:rsidR="00FC46BE">
              <w:rPr>
                <w:rFonts w:cs="Times New Roman"/>
                <w:color w:val="000000"/>
                <w:szCs w:val="20"/>
                <w:lang w:eastAsia="en-NZ"/>
              </w:rPr>
              <w:t>,</w:t>
            </w:r>
            <w:r w:rsidR="00AE3D68" w:rsidRPr="0091450A">
              <w:rPr>
                <w:rFonts w:cs="Times New Roman"/>
                <w:color w:val="000000"/>
                <w:szCs w:val="20"/>
                <w:lang w:eastAsia="en-NZ"/>
              </w:rPr>
              <w:t xml:space="preserve"> and the meaning of indirect expropriation and of fair and equitable treatment.</w:t>
            </w:r>
          </w:p>
          <w:p w14:paraId="7D0B3FE9" w14:textId="77777777" w:rsidR="00C5347E" w:rsidRPr="0091450A" w:rsidRDefault="00C5347E" w:rsidP="002D613F">
            <w:pPr>
              <w:shd w:val="clear" w:color="auto" w:fill="FFFFFF" w:themeFill="background1"/>
              <w:rPr>
                <w:rFonts w:cs="Times New Roman"/>
                <w:szCs w:val="20"/>
              </w:rPr>
            </w:pPr>
          </w:p>
          <w:p w14:paraId="76617B6F" w14:textId="2458FA7E"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1A37CC" w:rsidRPr="0091450A">
              <w:rPr>
                <w:b/>
                <w:color w:val="1F497D"/>
                <w:sz w:val="28"/>
                <w:szCs w:val="28"/>
              </w:rPr>
              <w:t>examples</w:t>
            </w:r>
            <w:r w:rsidRPr="0091450A">
              <w:rPr>
                <w:b/>
                <w:color w:val="1F497D"/>
                <w:sz w:val="28"/>
                <w:szCs w:val="28"/>
              </w:rPr>
              <w:t xml:space="preserve"> (benchmarks)</w:t>
            </w:r>
          </w:p>
          <w:p w14:paraId="5D41DD2A" w14:textId="404542A9" w:rsidR="00C5347E" w:rsidRPr="0091450A" w:rsidRDefault="00C5347E" w:rsidP="002D613F">
            <w:pPr>
              <w:pStyle w:val="ListParagraph"/>
              <w:keepNext/>
              <w:numPr>
                <w:ilvl w:val="0"/>
                <w:numId w:val="6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Many countries</w:t>
            </w:r>
            <w:r w:rsidRPr="0091450A">
              <w:rPr>
                <w:rFonts w:eastAsia="Times New Roman" w:cs="Times New Roman"/>
                <w:szCs w:val="20"/>
                <w:lang w:eastAsia="en-NZ"/>
              </w:rPr>
              <w:t xml:space="preserve">: Sanitary and phytosanitary (SPS) clauses in </w:t>
            </w:r>
            <w:r w:rsidR="004E047D">
              <w:rPr>
                <w:rFonts w:eastAsia="Times New Roman" w:cs="Times New Roman"/>
                <w:szCs w:val="20"/>
                <w:lang w:eastAsia="en-NZ"/>
              </w:rPr>
              <w:t xml:space="preserve">the </w:t>
            </w:r>
            <w:r w:rsidRPr="0091450A">
              <w:rPr>
                <w:rFonts w:eastAsia="Times New Roman" w:cs="Times New Roman"/>
                <w:szCs w:val="20"/>
                <w:lang w:eastAsia="en-NZ"/>
              </w:rPr>
              <w:t>World Trade Organization (WTO) agreements. However, this usually does not apply to public health nutrition.</w:t>
            </w:r>
          </w:p>
          <w:p w14:paraId="5CEE220F" w14:textId="22731AE0" w:rsidR="00C5347E" w:rsidRPr="0091450A" w:rsidRDefault="00C5347E" w:rsidP="002D613F">
            <w:pPr>
              <w:pStyle w:val="ListParagraph"/>
              <w:keepNext/>
              <w:numPr>
                <w:ilvl w:val="0"/>
                <w:numId w:val="68"/>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Ghana</w:t>
            </w:r>
            <w:r w:rsidRPr="0091450A">
              <w:rPr>
                <w:rFonts w:eastAsia="Times New Roman" w:cs="Times New Roman"/>
                <w:szCs w:val="20"/>
                <w:lang w:eastAsia="en-NZ"/>
              </w:rPr>
              <w:t xml:space="preserve">: Ghana has set standards to limit the level of fats in beef, pork, mutton and poultry in response to rising imports of </w:t>
            </w:r>
            <w:r w:rsidR="00F67453" w:rsidRPr="0091450A">
              <w:rPr>
                <w:rFonts w:eastAsia="Times New Roman" w:cs="Times New Roman"/>
                <w:szCs w:val="20"/>
                <w:lang w:eastAsia="en-NZ"/>
              </w:rPr>
              <w:t>low-quality</w:t>
            </w:r>
            <w:r w:rsidRPr="0091450A">
              <w:rPr>
                <w:rFonts w:eastAsia="Times New Roman" w:cs="Times New Roman"/>
                <w:szCs w:val="20"/>
                <w:lang w:eastAsia="en-NZ"/>
              </w:rPr>
              <w:t xml:space="preserve"> meat following </w:t>
            </w:r>
            <w:r w:rsidR="004E047D">
              <w:rPr>
                <w:rFonts w:eastAsia="Times New Roman" w:cs="Times New Roman"/>
                <w:szCs w:val="20"/>
                <w:lang w:eastAsia="en-NZ"/>
              </w:rPr>
              <w:t xml:space="preserve">the </w:t>
            </w:r>
            <w:r w:rsidRPr="0091450A">
              <w:rPr>
                <w:rFonts w:eastAsia="Times New Roman" w:cs="Times New Roman"/>
                <w:szCs w:val="20"/>
                <w:lang w:eastAsia="en-NZ"/>
              </w:rPr>
              <w:t>liberalization of trade. The relevant standards establish maximum percentage fat content for de-boned carcasses/cuts for beef (&lt;25%), pork (&lt;25%) and mutton (&lt;25% or &lt;30% where back fat is not removed), and maximum percentage fat content for dressed poultry and/or poultry parts (&lt;15%)</w:t>
            </w:r>
            <w:r w:rsidR="004745E3" w:rsidRPr="0091450A">
              <w:rPr>
                <w:rFonts w:eastAsia="Times New Roman" w:cs="Times New Roman"/>
                <w:szCs w:val="20"/>
                <w:lang w:eastAsia="en-NZ"/>
              </w:rPr>
              <w:t xml:space="preserve"> </w:t>
            </w:r>
            <w:r w:rsidR="002A1106"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{"citationItems":[{"id":"ITEM-1","itemData":{"DOI":"10.1186/1471-2458-14-249","ISBN":"1471-2458 (Electronic)\r1471-2458 (Linking)","PMID":"24625217","author":[{"dropping-particle":"","family":"Thow","given":"A M","non-dropping-particle":"","parse-names":false,"suffix":""},{"dropping-particle":"","family":"Annan","given":"R","non-dropping-particle":"","parse-names":false,"suffix":""},{"dropping-particle":"","family":"Mensah","given":"L","non-dropping-particle":"","parse-names":false,"suffix":""},{"dropping-particle":"","family":"Chowdhury","given":"S N","non-dropping-particle":"","parse-names":false,"suffix":""}],"container-title":"BMC Public Health","id":"ITEM-1","issued":{"date-parts":[["2014"]]},"page":"249","title":"Development, implementation and outcome of standards to restrict fatty meat in the food supply and prevent NCDs: learning from an innovative trade/food policy in Ghana","type":"article-journal","volume":"14"},"uris":["http://www.mendeley.com/documents/?uuid=b27697e3-750a-3fe2-9ca6-8c2e8c64f63b","http://www.mendeley.com/documents/?uuid=f4ef3784-abb4-44c7-b08a-b3c3b10375be"]}],"mendeley":{"formattedCitation":"(151)","plainTextFormattedCitation":"(151)","previouslyFormattedCitation":"(151)"},"properties":{"noteIndex":0},"schema":"https://github.com/citation-style-language/schema/raw/master/csl-citation.json"}</w:instrText>
            </w:r>
            <w:r w:rsidR="002A1106"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(151)</w:t>
            </w:r>
            <w:r w:rsidR="002A1106" w:rsidRPr="0091450A">
              <w:rPr>
                <w:rFonts w:eastAsia="Times New Roman" w:cs="Times New Roman"/>
                <w:szCs w:val="20"/>
                <w:lang w:eastAsia="en-NZ"/>
              </w:rPr>
              <w:fldChar w:fldCharType="end"/>
            </w:r>
            <w:r w:rsidR="002A1106" w:rsidRPr="0091450A">
              <w:rPr>
                <w:rFonts w:eastAsia="Times New Roman" w:cs="Times New Roman"/>
                <w:szCs w:val="20"/>
                <w:lang w:eastAsia="en-NZ"/>
              </w:rPr>
              <w:t>.</w:t>
            </w:r>
          </w:p>
        </w:tc>
      </w:tr>
    </w:tbl>
    <w:p w14:paraId="23613701" w14:textId="77777777" w:rsidR="001301F6" w:rsidRPr="0091450A" w:rsidRDefault="001301F6" w:rsidP="002D613F">
      <w:pPr>
        <w:pStyle w:val="Heading1"/>
        <w:spacing w:line="240" w:lineRule="auto"/>
      </w:pPr>
    </w:p>
    <w:p w14:paraId="70F97FDD" w14:textId="77777777" w:rsidR="001301F6" w:rsidRPr="0091450A" w:rsidRDefault="001301F6" w:rsidP="002D613F">
      <w:pPr>
        <w:spacing w:line="240" w:lineRule="auto"/>
        <w:rPr>
          <w:rFonts w:eastAsiaTheme="majorEastAsia" w:cstheme="majorBidi"/>
          <w:b/>
          <w:bCs/>
          <w:color w:val="548DD4" w:themeColor="text2" w:themeTint="99"/>
          <w:sz w:val="32"/>
          <w:szCs w:val="28"/>
        </w:rPr>
      </w:pPr>
      <w:r w:rsidRPr="0091450A">
        <w:br w:type="page"/>
      </w:r>
    </w:p>
    <w:p w14:paraId="705F260B" w14:textId="6387EF70" w:rsidR="002406C7" w:rsidRPr="0091450A" w:rsidRDefault="00156C98" w:rsidP="002D613F">
      <w:pPr>
        <w:pStyle w:val="Heading1"/>
        <w:spacing w:line="240" w:lineRule="auto"/>
      </w:pPr>
      <w:bookmarkStart w:id="45" w:name="_Toc31623743"/>
      <w:r w:rsidRPr="0091450A">
        <w:lastRenderedPageBreak/>
        <w:t xml:space="preserve">Food </w:t>
      </w:r>
      <w:r w:rsidR="001A37CC" w:rsidRPr="0091450A">
        <w:t>Environment</w:t>
      </w:r>
      <w:r w:rsidRPr="0091450A">
        <w:t xml:space="preserve"> Policy Index: INFRASTRUCTURE SUPPORT</w:t>
      </w:r>
      <w:r w:rsidR="003163AD" w:rsidRPr="0091450A">
        <w:t xml:space="preserve"> domains</w:t>
      </w:r>
      <w:bookmarkEnd w:id="45"/>
    </w:p>
    <w:p w14:paraId="40430010" w14:textId="44569B30" w:rsidR="00B84E85" w:rsidRPr="0091450A" w:rsidRDefault="00B84E85"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6C83603D" w14:textId="77777777" w:rsidTr="00CA16E1">
        <w:tc>
          <w:tcPr>
            <w:tcW w:w="9209" w:type="dxa"/>
          </w:tcPr>
          <w:p w14:paraId="0D435E3F" w14:textId="21A2DD49" w:rsidR="00AE3D68" w:rsidRPr="0091450A" w:rsidRDefault="008C0F53" w:rsidP="002D613F">
            <w:pPr>
              <w:shd w:val="clear" w:color="auto" w:fill="FFFFFF" w:themeFill="background1"/>
              <w:spacing w:before="40" w:after="40"/>
              <w:rPr>
                <w:rFonts w:cs="Times New Roman"/>
                <w:bCs/>
                <w:szCs w:val="20"/>
              </w:rPr>
            </w:pPr>
            <w:bookmarkStart w:id="46" w:name="_Toc31623744"/>
            <w:r w:rsidRPr="0091450A">
              <w:rPr>
                <w:rStyle w:val="Heading2Char"/>
              </w:rPr>
              <w:t xml:space="preserve">8 </w:t>
            </w:r>
            <w:r w:rsidR="00AE3D68" w:rsidRPr="0091450A">
              <w:rPr>
                <w:rStyle w:val="Heading2Char"/>
              </w:rPr>
              <w:t>LEADERSHIP</w:t>
            </w:r>
            <w:bookmarkEnd w:id="46"/>
            <w:r w:rsidR="00AE3D68" w:rsidRPr="0091450A">
              <w:rPr>
                <w:rFonts w:cs="Times New Roman"/>
                <w:b/>
                <w:color w:val="1F497D" w:themeColor="text2"/>
                <w:sz w:val="28"/>
                <w:szCs w:val="28"/>
              </w:rPr>
              <w:t xml:space="preserve">: </w:t>
            </w:r>
            <w:r w:rsidR="00A7005C" w:rsidRPr="0091450A">
              <w:rPr>
                <w:rFonts w:cs="Times New Roman"/>
                <w:szCs w:val="20"/>
              </w:rPr>
              <w:t>The political leadership ensures that there is strong support for the vision, planning, communication, implementation and evaluation of policies and actions to create healthy food environments, improve population nutrition, and reduce diet-related inequalities</w:t>
            </w:r>
          </w:p>
        </w:tc>
      </w:tr>
      <w:tr w:rsidR="00AE3D68" w:rsidRPr="0091450A" w14:paraId="0B84611F" w14:textId="77777777" w:rsidTr="00CA16E1">
        <w:tc>
          <w:tcPr>
            <w:tcW w:w="9209" w:type="dxa"/>
          </w:tcPr>
          <w:p w14:paraId="070FFDB3" w14:textId="4FD9105B" w:rsidR="00AE3D68" w:rsidRPr="0091450A" w:rsidRDefault="007D7A42" w:rsidP="002D613F">
            <w:pPr>
              <w:shd w:val="clear" w:color="auto" w:fill="FFFFFF" w:themeFill="background1"/>
              <w:spacing w:before="40" w:after="40"/>
              <w:rPr>
                <w:rFonts w:cs="Times New Roman"/>
                <w:color w:val="000000"/>
                <w:szCs w:val="20"/>
                <w:lang w:eastAsia="en-NZ"/>
              </w:rPr>
            </w:pPr>
            <w:bookmarkStart w:id="47" w:name="_Toc31623745"/>
            <w:r w:rsidRPr="0091450A">
              <w:rPr>
                <w:rStyle w:val="Heading3Char"/>
              </w:rPr>
              <w:t>LEAD1</w:t>
            </w:r>
            <w:bookmarkEnd w:id="47"/>
            <w:r w:rsidR="00AE3D68" w:rsidRPr="0091450A">
              <w:rPr>
                <w:rFonts w:cs="Times New Roman"/>
                <w:b/>
                <w:color w:val="1F497D" w:themeColor="text2"/>
                <w:sz w:val="28"/>
                <w:szCs w:val="28"/>
              </w:rPr>
              <w:t xml:space="preserve">: </w:t>
            </w:r>
            <w:r w:rsidR="00A7005C" w:rsidRPr="0091450A">
              <w:rPr>
                <w:rFonts w:cs="Times New Roman"/>
                <w:b/>
                <w:szCs w:val="20"/>
              </w:rPr>
              <w:t>There is strong, visible, political support (at the Head of State / Cabinet</w:t>
            </w:r>
            <w:r w:rsidR="004E047D">
              <w:rPr>
                <w:rFonts w:cs="Times New Roman"/>
                <w:b/>
                <w:szCs w:val="20"/>
              </w:rPr>
              <w:t>-</w:t>
            </w:r>
            <w:r w:rsidR="00A7005C" w:rsidRPr="0091450A">
              <w:rPr>
                <w:rFonts w:cs="Times New Roman"/>
                <w:b/>
                <w:szCs w:val="20"/>
              </w:rPr>
              <w:t xml:space="preserve">level) for improving food environments, population nutrition, </w:t>
            </w:r>
            <w:r w:rsidR="00F67453" w:rsidRPr="0091450A">
              <w:rPr>
                <w:rFonts w:cs="Times New Roman"/>
                <w:b/>
                <w:szCs w:val="20"/>
              </w:rPr>
              <w:t>diet</w:t>
            </w:r>
            <w:r w:rsidR="004E047D">
              <w:rPr>
                <w:rFonts w:cs="Times New Roman"/>
                <w:b/>
                <w:szCs w:val="20"/>
              </w:rPr>
              <w:t>-</w:t>
            </w:r>
            <w:r w:rsidR="00F67453" w:rsidRPr="0091450A">
              <w:rPr>
                <w:rFonts w:cs="Times New Roman"/>
                <w:b/>
                <w:szCs w:val="20"/>
              </w:rPr>
              <w:t>related</w:t>
            </w:r>
            <w:r w:rsidR="00A7005C" w:rsidRPr="0091450A">
              <w:rPr>
                <w:rFonts w:cs="Times New Roman"/>
                <w:b/>
                <w:szCs w:val="20"/>
              </w:rPr>
              <w:t xml:space="preserve"> NCDs and </w:t>
            </w:r>
            <w:r w:rsidR="00AE20D3" w:rsidRPr="0091450A">
              <w:rPr>
                <w:rFonts w:cs="Times New Roman"/>
                <w:b/>
                <w:szCs w:val="20"/>
              </w:rPr>
              <w:t>their related</w:t>
            </w:r>
            <w:r w:rsidR="00A7005C" w:rsidRPr="0091450A">
              <w:rPr>
                <w:rFonts w:cs="Times New Roman"/>
                <w:b/>
                <w:szCs w:val="20"/>
              </w:rPr>
              <w:t xml:space="preserve"> inequalities</w:t>
            </w:r>
          </w:p>
        </w:tc>
      </w:tr>
      <w:tr w:rsidR="00AE3D68" w:rsidRPr="0091450A" w14:paraId="1697AF8B" w14:textId="77777777" w:rsidTr="00CA16E1">
        <w:tc>
          <w:tcPr>
            <w:tcW w:w="9209" w:type="dxa"/>
          </w:tcPr>
          <w:p w14:paraId="19B6CB5E" w14:textId="06E560DA"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382CFD81" w14:textId="05094DAA" w:rsidR="00AA0AED" w:rsidRPr="0091450A" w:rsidRDefault="00AA0AED" w:rsidP="002D613F">
            <w:pPr>
              <w:pStyle w:val="ListParagraph"/>
              <w:numPr>
                <w:ilvl w:val="0"/>
                <w:numId w:val="12"/>
              </w:numPr>
              <w:shd w:val="clear" w:color="auto" w:fill="FFFFFF" w:themeFill="background1"/>
              <w:spacing w:before="40" w:after="40"/>
              <w:rPr>
                <w:rFonts w:cs="Times New Roman"/>
                <w:sz w:val="24"/>
                <w:szCs w:val="24"/>
                <w:u w:val="single"/>
              </w:rPr>
            </w:pPr>
            <w:r w:rsidRPr="0091450A">
              <w:rPr>
                <w:rFonts w:cs="Times New Roman"/>
                <w:szCs w:val="20"/>
              </w:rPr>
              <w:t>The New Zealand government adopted the voluntary global NCD action plan from the World Health Organization</w:t>
            </w:r>
            <w:r w:rsidR="005B6DEF" w:rsidRPr="0091450A">
              <w:rPr>
                <w:rFonts w:cs="Times New Roman"/>
                <w:szCs w:val="20"/>
              </w:rPr>
              <w:t xml:space="preserve"> </w:t>
            </w:r>
            <w:r w:rsidR="005B6DEF" w:rsidRPr="0091450A">
              <w:rPr>
                <w:rFonts w:cs="Times New Roman"/>
                <w:szCs w:val="20"/>
              </w:rPr>
              <w:fldChar w:fldCharType="begin" w:fldLock="1"/>
            </w:r>
            <w:r w:rsidR="00EC12A7">
              <w:rPr>
                <w:rFonts w:cs="Times New Roman"/>
                <w:szCs w:val="20"/>
              </w:rPr>
              <w:instrText>ADDIN CSL_CITATION {"citationItems":[{"id":"ITEM-1","itemData":{"ISBN":"9789241506236","author":[{"dropping-particle":"","family":"World Health Organization","given":"","non-dropping-particle":"","parse-names":false,"suffix":""}],"id":"ITEM-1","issued":{"date-parts":[["2013"]]},"title":"Global Action Plan for the Prevention and Control of Non-Communicable Diseases 2013-2020","type":"book"},"uris":["http://www.mendeley.com/documents/?uuid=fa414a8c-b503-3fb4-9294-f117097d8932","http://www.mendeley.com/documents/?uuid=c236df49-8a04-434b-ae7c-76100645ea52"]}],"mendeley":{"formattedCitation":"(152)","plainTextFormattedCitation":"(152)","previouslyFormattedCitation":"(152)"},"properties":{"noteIndex":0},"schema":"https://github.com/citation-style-language/schema/raw/master/csl-citation.json"}</w:instrText>
            </w:r>
            <w:r w:rsidR="005B6DEF" w:rsidRPr="0091450A">
              <w:rPr>
                <w:rFonts w:cs="Times New Roman"/>
                <w:szCs w:val="20"/>
              </w:rPr>
              <w:fldChar w:fldCharType="separate"/>
            </w:r>
            <w:r w:rsidR="009C4029" w:rsidRPr="009C4029">
              <w:rPr>
                <w:rFonts w:cs="Times New Roman"/>
                <w:noProof/>
                <w:szCs w:val="20"/>
              </w:rPr>
              <w:t>(152)</w:t>
            </w:r>
            <w:r w:rsidR="005B6DEF" w:rsidRPr="0091450A">
              <w:rPr>
                <w:rFonts w:cs="Times New Roman"/>
                <w:szCs w:val="20"/>
              </w:rPr>
              <w:fldChar w:fldCharType="end"/>
            </w:r>
            <w:r w:rsidRPr="0091450A">
              <w:rPr>
                <w:rFonts w:cs="Times New Roman"/>
                <w:szCs w:val="20"/>
              </w:rPr>
              <w:t>, including 9 targets and 25 indicators for reducing premature mortality due to non-communicable diseases by 25% by 2025 (</w:t>
            </w:r>
            <w:r w:rsidRPr="007159FF">
              <w:rPr>
                <w:rFonts w:cs="Times New Roman"/>
                <w:szCs w:val="20"/>
              </w:rPr>
              <w:t>personal communication</w:t>
            </w:r>
            <w:r w:rsidRPr="0091450A">
              <w:rPr>
                <w:rFonts w:cs="Times New Roman"/>
                <w:szCs w:val="20"/>
              </w:rPr>
              <w:t xml:space="preserve">, Ministry of Health, 2017). </w:t>
            </w:r>
          </w:p>
          <w:p w14:paraId="014BBDDB" w14:textId="77777777" w:rsidR="001A4710" w:rsidRPr="0091450A" w:rsidRDefault="001A4710" w:rsidP="002D613F"/>
          <w:p w14:paraId="455EBE06" w14:textId="212C6AE3" w:rsidR="00877725" w:rsidRPr="0091450A" w:rsidRDefault="00AA0AED" w:rsidP="002D613F">
            <w:pPr>
              <w:pStyle w:val="Subtitle"/>
            </w:pPr>
            <w:r w:rsidRPr="0091450A">
              <w:t>Strategic Plans,</w:t>
            </w:r>
            <w:r w:rsidR="00877725" w:rsidRPr="0091450A">
              <w:t xml:space="preserve"> Ministry of Health</w:t>
            </w:r>
          </w:p>
          <w:p w14:paraId="002CDF9E" w14:textId="5C1CF8F4" w:rsidR="00706304" w:rsidRPr="0091450A" w:rsidRDefault="00AE3D68" w:rsidP="002D613F">
            <w:pPr>
              <w:pStyle w:val="ListParagraph"/>
              <w:numPr>
                <w:ilvl w:val="0"/>
                <w:numId w:val="12"/>
              </w:numPr>
              <w:shd w:val="clear" w:color="auto" w:fill="FFFFFF" w:themeFill="background1"/>
              <w:spacing w:before="40" w:after="40"/>
              <w:contextualSpacing w:val="0"/>
              <w:rPr>
                <w:rFonts w:cs="Times New Roman"/>
                <w:szCs w:val="20"/>
              </w:rPr>
            </w:pPr>
            <w:r w:rsidRPr="0091450A">
              <w:rPr>
                <w:rFonts w:cs="Times New Roman"/>
                <w:szCs w:val="20"/>
              </w:rPr>
              <w:t xml:space="preserve">The </w:t>
            </w:r>
            <w:r w:rsidR="0059466A" w:rsidRPr="0091450A">
              <w:rPr>
                <w:rFonts w:cs="Times New Roman"/>
                <w:szCs w:val="20"/>
              </w:rPr>
              <w:t>Statements of I</w:t>
            </w:r>
            <w:r w:rsidRPr="0091450A">
              <w:rPr>
                <w:rFonts w:cs="Times New Roman"/>
                <w:szCs w:val="20"/>
              </w:rPr>
              <w:t xml:space="preserve">ntent of the Ministry of Health are available online and provided on a yearly </w:t>
            </w:r>
            <w:r w:rsidR="003E7513" w:rsidRPr="0091450A">
              <w:rPr>
                <w:rFonts w:cs="Times New Roman"/>
                <w:szCs w:val="20"/>
              </w:rPr>
              <w:t>basis</w:t>
            </w:r>
            <w:r w:rsidRPr="0091450A">
              <w:rPr>
                <w:rFonts w:cs="Times New Roman"/>
                <w:szCs w:val="20"/>
              </w:rPr>
              <w:t xml:space="preserve">. </w:t>
            </w:r>
            <w:r w:rsidR="00877725" w:rsidRPr="0091450A">
              <w:rPr>
                <w:rFonts w:cs="Times New Roman"/>
                <w:szCs w:val="20"/>
              </w:rPr>
              <w:t>In the publications between</w:t>
            </w:r>
            <w:r w:rsidR="00761A13" w:rsidRPr="0091450A">
              <w:rPr>
                <w:rFonts w:cs="Times New Roman"/>
                <w:szCs w:val="20"/>
              </w:rPr>
              <w:t xml:space="preserve"> 201</w:t>
            </w:r>
            <w:r w:rsidR="004A3ECC" w:rsidRPr="0091450A">
              <w:rPr>
                <w:rFonts w:cs="Times New Roman"/>
                <w:szCs w:val="20"/>
              </w:rPr>
              <w:t>7</w:t>
            </w:r>
            <w:r w:rsidR="00761A13" w:rsidRPr="0091450A">
              <w:rPr>
                <w:rFonts w:cs="Times New Roman"/>
                <w:szCs w:val="20"/>
              </w:rPr>
              <w:t xml:space="preserve"> and 20</w:t>
            </w:r>
            <w:r w:rsidR="004A3ECC" w:rsidRPr="0091450A">
              <w:rPr>
                <w:rFonts w:cs="Times New Roman"/>
                <w:szCs w:val="20"/>
              </w:rPr>
              <w:t>21</w:t>
            </w:r>
            <w:r w:rsidR="00CC199D">
              <w:rPr>
                <w:rFonts w:cs="Times New Roman"/>
                <w:szCs w:val="20"/>
              </w:rPr>
              <w:t>,</w:t>
            </w:r>
            <w:r w:rsidR="003E7513" w:rsidRPr="0091450A">
              <w:rPr>
                <w:rFonts w:cs="Times New Roman"/>
                <w:szCs w:val="20"/>
              </w:rPr>
              <w:t xml:space="preserve"> n</w:t>
            </w:r>
            <w:r w:rsidRPr="0091450A">
              <w:rPr>
                <w:rFonts w:cs="Times New Roman"/>
                <w:szCs w:val="20"/>
              </w:rPr>
              <w:t xml:space="preserve">utrition </w:t>
            </w:r>
            <w:r w:rsidR="0059466A" w:rsidRPr="0091450A">
              <w:rPr>
                <w:rFonts w:cs="Times New Roman"/>
                <w:szCs w:val="20"/>
              </w:rPr>
              <w:t>was not mentioned</w:t>
            </w:r>
            <w:r w:rsidRPr="0091450A">
              <w:rPr>
                <w:rFonts w:cs="Times New Roman"/>
                <w:szCs w:val="20"/>
              </w:rPr>
              <w:t xml:space="preserve"> </w:t>
            </w:r>
            <w:r w:rsidR="00D31D93" w:rsidRPr="0091450A">
              <w:rPr>
                <w:rFonts w:cs="Times New Roman"/>
                <w:szCs w:val="20"/>
              </w:rPr>
              <w:fldChar w:fldCharType="begin" w:fldLock="1"/>
            </w:r>
            <w:r w:rsidR="00EC12A7">
              <w:rPr>
                <w:rFonts w:cs="Times New Roman"/>
                <w:szCs w:val="20"/>
              </w:rPr>
              <w:instrText>ADDIN CSL_CITATION {"citationItems":[{"id":"ITEM-1","itemData":{"ISSN":"2357-9682","author":[{"dropping-particle":"","family":"of Health","given":"Ministry","non-dropping-particle":"","parse-names":false,"suffix":""}],"id":"ITEM-1","issued":{"date-parts":[["2017"]]},"title":"Statement of Strategic Intentions 2017 to 2021","type":"article-journal"},"uris":["http://www.mendeley.com/documents/?uuid=f07f92fa-a471-37bf-b5e9-c65c099e5e68","http://www.mendeley.com/documents/?uuid=819b2e17-3298-4dbf-b370-893799955533"]}],"mendeley":{"formattedCitation":"(153)","plainTextFormattedCitation":"(153)","previouslyFormattedCitation":"(153)"},"properties":{"noteIndex":0},"schema":"https://github.com/citation-style-language/schema/raw/master/csl-citation.json"}</w:instrText>
            </w:r>
            <w:r w:rsidR="00D31D93" w:rsidRPr="0091450A">
              <w:rPr>
                <w:rFonts w:cs="Times New Roman"/>
                <w:szCs w:val="20"/>
              </w:rPr>
              <w:fldChar w:fldCharType="separate"/>
            </w:r>
            <w:r w:rsidR="009C4029" w:rsidRPr="009C4029">
              <w:rPr>
                <w:rFonts w:cs="Times New Roman"/>
                <w:noProof/>
                <w:szCs w:val="20"/>
              </w:rPr>
              <w:t>(153)</w:t>
            </w:r>
            <w:r w:rsidR="00D31D93" w:rsidRPr="0091450A">
              <w:rPr>
                <w:rFonts w:cs="Times New Roman"/>
                <w:szCs w:val="20"/>
              </w:rPr>
              <w:fldChar w:fldCharType="end"/>
            </w:r>
            <w:r w:rsidRPr="0091450A">
              <w:rPr>
                <w:rFonts w:cs="Times New Roman"/>
                <w:szCs w:val="20"/>
              </w:rPr>
              <w:t xml:space="preserve"> and </w:t>
            </w:r>
            <w:r w:rsidR="00A635D3" w:rsidRPr="007159FF">
              <w:rPr>
                <w:rFonts w:cs="Times New Roman"/>
                <w:szCs w:val="20"/>
              </w:rPr>
              <w:t>nutrition/obesity</w:t>
            </w:r>
            <w:r w:rsidR="00A635D3" w:rsidRPr="0091450A">
              <w:rPr>
                <w:rFonts w:cs="Times New Roman"/>
                <w:szCs w:val="20"/>
              </w:rPr>
              <w:t xml:space="preserve"> </w:t>
            </w:r>
            <w:r w:rsidR="003E7513" w:rsidRPr="0091450A">
              <w:rPr>
                <w:rFonts w:cs="Times New Roman"/>
                <w:szCs w:val="20"/>
              </w:rPr>
              <w:t>was</w:t>
            </w:r>
            <w:r w:rsidRPr="0091450A">
              <w:rPr>
                <w:rFonts w:cs="Times New Roman"/>
                <w:szCs w:val="20"/>
              </w:rPr>
              <w:t xml:space="preserve"> not part of the</w:t>
            </w:r>
            <w:r w:rsidR="00125278" w:rsidRPr="0091450A">
              <w:rPr>
                <w:rFonts w:cs="Times New Roman"/>
                <w:szCs w:val="20"/>
              </w:rPr>
              <w:t xml:space="preserve"> 201</w:t>
            </w:r>
            <w:r w:rsidR="00D2192D" w:rsidRPr="0091450A">
              <w:rPr>
                <w:rFonts w:cs="Times New Roman"/>
                <w:szCs w:val="20"/>
              </w:rPr>
              <w:t>7</w:t>
            </w:r>
            <w:r w:rsidR="00125278" w:rsidRPr="0091450A">
              <w:rPr>
                <w:rFonts w:cs="Times New Roman"/>
                <w:szCs w:val="20"/>
              </w:rPr>
              <w:t>/201</w:t>
            </w:r>
            <w:r w:rsidR="00D2192D" w:rsidRPr="0091450A">
              <w:rPr>
                <w:rFonts w:cs="Times New Roman"/>
                <w:szCs w:val="20"/>
              </w:rPr>
              <w:t>8</w:t>
            </w:r>
            <w:r w:rsidRPr="0091450A">
              <w:rPr>
                <w:rFonts w:cs="Times New Roman"/>
                <w:szCs w:val="20"/>
              </w:rPr>
              <w:t xml:space="preserve"> </w:t>
            </w:r>
            <w:r w:rsidR="003E7513" w:rsidRPr="0091450A">
              <w:rPr>
                <w:rFonts w:cs="Times New Roman"/>
                <w:szCs w:val="20"/>
              </w:rPr>
              <w:t xml:space="preserve">health targets </w:t>
            </w:r>
            <w:r w:rsidR="00EB10E5" w:rsidRPr="0091450A">
              <w:rPr>
                <w:rFonts w:cs="Times New Roman"/>
                <w:szCs w:val="20"/>
              </w:rPr>
              <w:fldChar w:fldCharType="begin" w:fldLock="1"/>
            </w:r>
            <w:r w:rsidR="00EC12A7">
              <w:rPr>
                <w:rFonts w:cs="Times New Roman"/>
                <w:szCs w:val="20"/>
              </w:rPr>
              <w:instrText>ADDIN CSL_CITATION {"citationItems":[{"id":"ITEM-1","itemData":{"URL":"http://www.health.govt.nz/new-zealand-health-system/health-targets/2012-13-health-targets","author":[{"dropping-particle":"","family":"Ministry of Health","given":"","non-dropping-particle":"","parse-names":false,"suffix":""}],"id":"ITEM-1","issue":"21/06/2013","issued":{"date-parts":[["2012"]]},"title":"The 2012/13 Health Targets","type":"webpage"},"uris":["http://www.mendeley.com/documents/?uuid=36dfd516-42f6-364a-a76d-095e0dc91a99","http://www.mendeley.com/documents/?uuid=cae83b9c-6e9e-4eb5-a571-e2d945c1d9bd"]}],"mendeley":{"formattedCitation":"(154)","plainTextFormattedCitation":"(154)","previouslyFormattedCitation":"(154)"},"properties":{"noteIndex":0},"schema":"https://github.com/citation-style-language/schema/raw/master/csl-citation.json"}</w:instrText>
            </w:r>
            <w:r w:rsidR="00EB10E5" w:rsidRPr="0091450A">
              <w:rPr>
                <w:rFonts w:cs="Times New Roman"/>
                <w:szCs w:val="20"/>
              </w:rPr>
              <w:fldChar w:fldCharType="separate"/>
            </w:r>
            <w:r w:rsidR="009C4029" w:rsidRPr="009C4029">
              <w:rPr>
                <w:rFonts w:cs="Times New Roman"/>
                <w:noProof/>
                <w:szCs w:val="20"/>
              </w:rPr>
              <w:t>(154)</w:t>
            </w:r>
            <w:r w:rsidR="00EB10E5" w:rsidRPr="0091450A">
              <w:rPr>
                <w:rFonts w:cs="Times New Roman"/>
                <w:szCs w:val="20"/>
              </w:rPr>
              <w:fldChar w:fldCharType="end"/>
            </w:r>
            <w:r w:rsidR="00EB10E5" w:rsidRPr="0091450A">
              <w:rPr>
                <w:rFonts w:cs="Times New Roman"/>
                <w:szCs w:val="20"/>
              </w:rPr>
              <w:t>.</w:t>
            </w:r>
            <w:r w:rsidR="00125278" w:rsidRPr="0091450A">
              <w:rPr>
                <w:rFonts w:cs="Times New Roman"/>
                <w:szCs w:val="20"/>
              </w:rPr>
              <w:t xml:space="preserve"> </w:t>
            </w:r>
            <w:r w:rsidRPr="0091450A">
              <w:rPr>
                <w:rFonts w:cs="Times New Roman"/>
                <w:szCs w:val="20"/>
              </w:rPr>
              <w:t xml:space="preserve">In the </w:t>
            </w:r>
            <w:r w:rsidR="00E767A7" w:rsidRPr="0091450A">
              <w:rPr>
                <w:rFonts w:cs="Times New Roman"/>
                <w:szCs w:val="20"/>
              </w:rPr>
              <w:t>2017-2021</w:t>
            </w:r>
            <w:r w:rsidRPr="0091450A">
              <w:rPr>
                <w:rFonts w:cs="Times New Roman"/>
                <w:szCs w:val="20"/>
              </w:rPr>
              <w:t xml:space="preserve"> </w:t>
            </w:r>
            <w:r w:rsidR="0059466A" w:rsidRPr="0091450A">
              <w:rPr>
                <w:rFonts w:cs="Times New Roman"/>
                <w:szCs w:val="20"/>
              </w:rPr>
              <w:t>S</w:t>
            </w:r>
            <w:r w:rsidRPr="0091450A">
              <w:rPr>
                <w:rFonts w:cs="Times New Roman"/>
                <w:szCs w:val="20"/>
              </w:rPr>
              <w:t xml:space="preserve">tatement of </w:t>
            </w:r>
            <w:r w:rsidR="0059466A" w:rsidRPr="0091450A">
              <w:rPr>
                <w:rFonts w:cs="Times New Roman"/>
                <w:szCs w:val="20"/>
              </w:rPr>
              <w:t>I</w:t>
            </w:r>
            <w:r w:rsidRPr="0091450A">
              <w:rPr>
                <w:rFonts w:cs="Times New Roman"/>
                <w:szCs w:val="20"/>
              </w:rPr>
              <w:t xml:space="preserve">ntent, the only item mentioned </w:t>
            </w:r>
            <w:r w:rsidR="0059466A" w:rsidRPr="0091450A">
              <w:rPr>
                <w:rFonts w:cs="Times New Roman"/>
                <w:szCs w:val="20"/>
              </w:rPr>
              <w:t xml:space="preserve">is </w:t>
            </w:r>
            <w:r w:rsidRPr="0091450A">
              <w:rPr>
                <w:rFonts w:cs="Times New Roman"/>
                <w:szCs w:val="20"/>
              </w:rPr>
              <w:t xml:space="preserve">under </w:t>
            </w:r>
            <w:r w:rsidR="00932F70" w:rsidRPr="0091450A">
              <w:rPr>
                <w:rFonts w:cs="Times New Roman"/>
                <w:szCs w:val="20"/>
              </w:rPr>
              <w:t xml:space="preserve">the third strategic priority </w:t>
            </w:r>
            <w:r w:rsidR="00855CFE" w:rsidRPr="0091450A">
              <w:rPr>
                <w:rFonts w:cs="Times New Roman"/>
                <w:szCs w:val="20"/>
              </w:rPr>
              <w:t>‘</w:t>
            </w:r>
            <w:r w:rsidR="006E33DB" w:rsidRPr="007159FF">
              <w:rPr>
                <w:szCs w:val="20"/>
              </w:rPr>
              <w:t>Improve outcomes for New Zealanders with long-term conditions, with a focus on obesity and diabetes</w:t>
            </w:r>
            <w:r w:rsidR="00855CFE" w:rsidRPr="007159FF">
              <w:rPr>
                <w:szCs w:val="20"/>
              </w:rPr>
              <w:t>’</w:t>
            </w:r>
            <w:r w:rsidR="00932F70" w:rsidRPr="0091450A">
              <w:rPr>
                <w:rFonts w:cs="Times New Roman"/>
                <w:sz w:val="18"/>
                <w:szCs w:val="18"/>
              </w:rPr>
              <w:t xml:space="preserve"> </w:t>
            </w:r>
            <w:r w:rsidR="00131D84" w:rsidRPr="0091450A">
              <w:rPr>
                <w:rFonts w:cs="Times New Roman"/>
                <w:szCs w:val="20"/>
              </w:rPr>
              <w:t xml:space="preserve">however there is no mention of nutrition throughout the </w:t>
            </w:r>
            <w:r w:rsidR="00932194" w:rsidRPr="0091450A">
              <w:rPr>
                <w:rFonts w:cs="Times New Roman"/>
                <w:szCs w:val="20"/>
              </w:rPr>
              <w:t>publication</w:t>
            </w:r>
            <w:r w:rsidR="00855CFE" w:rsidRPr="0091450A">
              <w:rPr>
                <w:rFonts w:cs="Times New Roman"/>
                <w:szCs w:val="20"/>
              </w:rPr>
              <w:t xml:space="preserve"> </w:t>
            </w:r>
            <w:r w:rsidR="00855CFE" w:rsidRPr="0091450A">
              <w:rPr>
                <w:rFonts w:cs="Times New Roman"/>
                <w:szCs w:val="20"/>
              </w:rPr>
              <w:fldChar w:fldCharType="begin" w:fldLock="1"/>
            </w:r>
            <w:r w:rsidR="00EC12A7">
              <w:rPr>
                <w:rFonts w:cs="Times New Roman"/>
                <w:szCs w:val="20"/>
              </w:rPr>
              <w:instrText>ADDIN CSL_CITATION {"citationItems":[{"id":"ITEM-1","itemData":{"ISSN":"2357-9682","author":[{"dropping-particle":"","family":"of Health","given":"Ministry","non-dropping-particle":"","parse-names":false,"suffix":""}],"id":"ITEM-1","issued":{"date-parts":[["2017"]]},"title":"Statement of Strategic Intentions 2017 to 2021","type":"article-journal"},"uris":["http://www.mendeley.com/documents/?uuid=819b2e17-3298-4dbf-b370-893799955533","http://www.mendeley.com/documents/?uuid=f07f92fa-a471-37bf-b5e9-c65c099e5e68"]}],"mendeley":{"formattedCitation":"(153)","plainTextFormattedCitation":"(153)","previouslyFormattedCitation":"(153)"},"properties":{"noteIndex":0},"schema":"https://github.com/citation-style-language/schema/raw/master/csl-citation.json"}</w:instrText>
            </w:r>
            <w:r w:rsidR="00855CFE" w:rsidRPr="0091450A">
              <w:rPr>
                <w:rFonts w:cs="Times New Roman"/>
                <w:szCs w:val="20"/>
              </w:rPr>
              <w:fldChar w:fldCharType="separate"/>
            </w:r>
            <w:r w:rsidR="009C4029" w:rsidRPr="009C4029">
              <w:rPr>
                <w:rFonts w:cs="Times New Roman"/>
                <w:noProof/>
                <w:szCs w:val="20"/>
              </w:rPr>
              <w:t>(153)</w:t>
            </w:r>
            <w:r w:rsidR="00855CFE" w:rsidRPr="0091450A">
              <w:rPr>
                <w:rFonts w:cs="Times New Roman"/>
                <w:szCs w:val="20"/>
              </w:rPr>
              <w:fldChar w:fldCharType="end"/>
            </w:r>
            <w:r w:rsidR="00932194" w:rsidRPr="0091450A">
              <w:rPr>
                <w:rFonts w:cs="Times New Roman"/>
                <w:szCs w:val="20"/>
              </w:rPr>
              <w:t>.</w:t>
            </w:r>
            <w:r w:rsidRPr="0091450A">
              <w:rPr>
                <w:rFonts w:cs="Times New Roman"/>
                <w:szCs w:val="20"/>
              </w:rPr>
              <w:t xml:space="preserve">  </w:t>
            </w:r>
          </w:p>
          <w:p w14:paraId="5D7D1293" w14:textId="2BD28834" w:rsidR="00761A13" w:rsidRPr="0091450A" w:rsidRDefault="00986302" w:rsidP="002D613F">
            <w:pPr>
              <w:pStyle w:val="ListParagraph"/>
              <w:numPr>
                <w:ilvl w:val="0"/>
                <w:numId w:val="12"/>
              </w:numPr>
              <w:shd w:val="clear" w:color="auto" w:fill="FFFFFF" w:themeFill="background1"/>
              <w:spacing w:before="40" w:after="40"/>
              <w:contextualSpacing w:val="0"/>
              <w:rPr>
                <w:strike/>
              </w:rPr>
            </w:pPr>
            <w:r w:rsidRPr="0091450A">
              <w:rPr>
                <w:rFonts w:cs="Times New Roman"/>
                <w:szCs w:val="20"/>
              </w:rPr>
              <w:t>T</w:t>
            </w:r>
            <w:r w:rsidR="00761A13" w:rsidRPr="0091450A">
              <w:rPr>
                <w:rFonts w:cs="Times New Roman"/>
                <w:szCs w:val="20"/>
              </w:rPr>
              <w:t>he Health and Independence Report</w:t>
            </w:r>
            <w:r w:rsidRPr="0091450A">
              <w:rPr>
                <w:rFonts w:cs="Times New Roman"/>
                <w:szCs w:val="20"/>
              </w:rPr>
              <w:t xml:space="preserve"> </w:t>
            </w:r>
            <w:r w:rsidR="00761A13" w:rsidRPr="0091450A">
              <w:rPr>
                <w:rFonts w:cs="Times New Roman"/>
                <w:szCs w:val="20"/>
              </w:rPr>
              <w:t xml:space="preserve">(the Director-General of Health’s Annual Report on the State of Public Health) provides an overview of the current state of public health in three main sections: health status, factors that influence New Zealanders' health and health system performance. </w:t>
            </w:r>
            <w:r w:rsidRPr="0091450A">
              <w:rPr>
                <w:rFonts w:cs="Times New Roman"/>
                <w:szCs w:val="20"/>
              </w:rPr>
              <w:t xml:space="preserve">The </w:t>
            </w:r>
            <w:r w:rsidR="00761A13" w:rsidRPr="0091450A">
              <w:rPr>
                <w:rFonts w:cs="Times New Roman"/>
                <w:szCs w:val="20"/>
              </w:rPr>
              <w:t>201</w:t>
            </w:r>
            <w:r w:rsidR="000B24BA" w:rsidRPr="0091450A">
              <w:rPr>
                <w:rFonts w:cs="Times New Roman"/>
                <w:szCs w:val="20"/>
              </w:rPr>
              <w:t>7</w:t>
            </w:r>
            <w:r w:rsidR="00761A13" w:rsidRPr="0091450A">
              <w:rPr>
                <w:rFonts w:cs="Times New Roman"/>
                <w:szCs w:val="20"/>
              </w:rPr>
              <w:t xml:space="preserve"> Health and Independence Report</w:t>
            </w:r>
            <w:r w:rsidR="00095FC4" w:rsidRPr="0091450A">
              <w:rPr>
                <w:rFonts w:cs="Times New Roman"/>
                <w:szCs w:val="20"/>
              </w:rPr>
              <w:t xml:space="preserve"> </w:t>
            </w:r>
            <w:r w:rsidR="00F358E6" w:rsidRPr="0091450A">
              <w:rPr>
                <w:rFonts w:cs="Times New Roman"/>
                <w:szCs w:val="20"/>
              </w:rPr>
              <w:fldChar w:fldCharType="begin" w:fldLock="1"/>
            </w:r>
            <w:r w:rsidR="00EC12A7">
              <w:rPr>
                <w:rFonts w:cs="Times New Roman"/>
                <w:szCs w:val="20"/>
              </w:rPr>
              <w:instrText>ADDIN CSL_CITATION {"citationItems":[{"id":"ITEM-1","itemData":{"ISBN":"9781988539669","abstract":"ISBN 978-1-98-853966-9 (print) ISBN 978-1-98-853967-6 (online) HP 6870 This document is available at health.govt.nz 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made.","author":[{"dropping-particle":"","family":"Ministry of Health","given":"","non-dropping-particle":"","parse-names":false,"suffix":""}],"id":"ITEM-1","issued":{"date-parts":[["2018"]]},"number-of-pages":"133","publisher-place":"Wellington","title":"Health and Independence Report 2017 : The Director-General of Health’s Annual Report on the State of Public Health.","type":"report"},"uris":["http://www.mendeley.com/documents/?uuid=f52e154d-7483-3d4e-924e-69958b5f0786"]}],"mendeley":{"formattedCitation":"(155)","plainTextFormattedCitation":"(155)","previouslyFormattedCitation":"(155)"},"properties":{"noteIndex":0},"schema":"https://github.com/citation-style-language/schema/raw/master/csl-citation.json"}</w:instrText>
            </w:r>
            <w:r w:rsidR="00F358E6" w:rsidRPr="0091450A">
              <w:rPr>
                <w:rFonts w:cs="Times New Roman"/>
                <w:szCs w:val="20"/>
              </w:rPr>
              <w:fldChar w:fldCharType="separate"/>
            </w:r>
            <w:r w:rsidR="009C4029" w:rsidRPr="009C4029">
              <w:rPr>
                <w:rFonts w:cs="Times New Roman"/>
                <w:noProof/>
                <w:szCs w:val="20"/>
              </w:rPr>
              <w:t>(155)</w:t>
            </w:r>
            <w:r w:rsidR="00F358E6" w:rsidRPr="0091450A">
              <w:rPr>
                <w:rFonts w:cs="Times New Roman"/>
                <w:szCs w:val="20"/>
              </w:rPr>
              <w:fldChar w:fldCharType="end"/>
            </w:r>
            <w:r w:rsidR="00761A13" w:rsidRPr="0091450A">
              <w:rPr>
                <w:rFonts w:cs="Times New Roman"/>
                <w:szCs w:val="20"/>
              </w:rPr>
              <w:t xml:space="preserve"> recognised that</w:t>
            </w:r>
            <w:r w:rsidR="00D05A13" w:rsidRPr="0091450A">
              <w:rPr>
                <w:rFonts w:cs="Times New Roman"/>
                <w:szCs w:val="20"/>
              </w:rPr>
              <w:t xml:space="preserve"> work such as</w:t>
            </w:r>
            <w:r w:rsidR="00761A13" w:rsidRPr="0091450A">
              <w:rPr>
                <w:rFonts w:cs="Times New Roman"/>
                <w:szCs w:val="20"/>
              </w:rPr>
              <w:t xml:space="preserve"> </w:t>
            </w:r>
            <w:r w:rsidR="00C37746" w:rsidRPr="0091450A">
              <w:rPr>
                <w:rFonts w:cs="Times New Roman"/>
                <w:szCs w:val="20"/>
              </w:rPr>
              <w:t>green prescriptions</w:t>
            </w:r>
            <w:r w:rsidR="00873EB2" w:rsidRPr="0091450A">
              <w:rPr>
                <w:rFonts w:cs="Times New Roman"/>
                <w:szCs w:val="20"/>
              </w:rPr>
              <w:t>, health</w:t>
            </w:r>
            <w:r w:rsidR="004E047D">
              <w:rPr>
                <w:rFonts w:cs="Times New Roman"/>
                <w:szCs w:val="20"/>
              </w:rPr>
              <w:t>-</w:t>
            </w:r>
            <w:r w:rsidR="00873EB2" w:rsidRPr="0091450A">
              <w:rPr>
                <w:rFonts w:cs="Times New Roman"/>
                <w:szCs w:val="20"/>
              </w:rPr>
              <w:t xml:space="preserve">promoting schools and </w:t>
            </w:r>
            <w:r w:rsidR="002D48FE" w:rsidRPr="0091450A">
              <w:rPr>
                <w:rFonts w:cs="Times New Roman"/>
                <w:szCs w:val="20"/>
              </w:rPr>
              <w:t xml:space="preserve">active families </w:t>
            </w:r>
            <w:r w:rsidR="00D05A13" w:rsidRPr="0091450A">
              <w:rPr>
                <w:rFonts w:cs="Times New Roman"/>
                <w:szCs w:val="20"/>
              </w:rPr>
              <w:t xml:space="preserve">greatly </w:t>
            </w:r>
            <w:r w:rsidR="002D48FE" w:rsidRPr="0091450A">
              <w:rPr>
                <w:rFonts w:cs="Times New Roman"/>
                <w:szCs w:val="20"/>
              </w:rPr>
              <w:t>support</w:t>
            </w:r>
            <w:r w:rsidR="007C3A28">
              <w:rPr>
                <w:rFonts w:cs="Times New Roman"/>
                <w:szCs w:val="20"/>
              </w:rPr>
              <w:t>s</w:t>
            </w:r>
            <w:r w:rsidR="002D48FE" w:rsidRPr="0091450A">
              <w:rPr>
                <w:rFonts w:cs="Times New Roman"/>
                <w:szCs w:val="20"/>
              </w:rPr>
              <w:t xml:space="preserve"> nutrition and reduce</w:t>
            </w:r>
            <w:r w:rsidR="007C3A28">
              <w:rPr>
                <w:rFonts w:cs="Times New Roman"/>
                <w:szCs w:val="20"/>
              </w:rPr>
              <w:t>s</w:t>
            </w:r>
            <w:r w:rsidR="002D48FE" w:rsidRPr="0091450A">
              <w:rPr>
                <w:rFonts w:cs="Times New Roman"/>
                <w:szCs w:val="20"/>
              </w:rPr>
              <w:t xml:space="preserve"> obesity</w:t>
            </w:r>
            <w:r w:rsidR="00095FC4" w:rsidRPr="0091450A">
              <w:rPr>
                <w:rFonts w:cs="Times New Roman"/>
                <w:szCs w:val="20"/>
              </w:rPr>
              <w:t xml:space="preserve">. The </w:t>
            </w:r>
            <w:r w:rsidR="00217D2C" w:rsidRPr="0091450A">
              <w:rPr>
                <w:rFonts w:cs="Times New Roman"/>
                <w:szCs w:val="20"/>
              </w:rPr>
              <w:t xml:space="preserve">association </w:t>
            </w:r>
            <w:r w:rsidR="00720CF4" w:rsidRPr="0091450A">
              <w:rPr>
                <w:rFonts w:cs="Times New Roman"/>
                <w:szCs w:val="20"/>
              </w:rPr>
              <w:t>of poor</w:t>
            </w:r>
            <w:r w:rsidR="00873EB2" w:rsidRPr="0091450A">
              <w:rPr>
                <w:rFonts w:cs="Times New Roman"/>
                <w:szCs w:val="20"/>
              </w:rPr>
              <w:t xml:space="preserve"> </w:t>
            </w:r>
            <w:r w:rsidR="00B262A7" w:rsidRPr="0091450A">
              <w:rPr>
                <w:rFonts w:cs="Times New Roman"/>
                <w:szCs w:val="20"/>
              </w:rPr>
              <w:t>nutrition</w:t>
            </w:r>
            <w:r w:rsidR="00873EB2" w:rsidRPr="0091450A">
              <w:rPr>
                <w:rFonts w:cs="Times New Roman"/>
                <w:szCs w:val="20"/>
              </w:rPr>
              <w:t xml:space="preserve"> with ne</w:t>
            </w:r>
            <w:r w:rsidR="00B262A7" w:rsidRPr="0091450A">
              <w:rPr>
                <w:rFonts w:cs="Times New Roman"/>
                <w:szCs w:val="20"/>
              </w:rPr>
              <w:t>gative mental health conditions</w:t>
            </w:r>
            <w:r w:rsidR="00217D2C" w:rsidRPr="0091450A">
              <w:rPr>
                <w:rFonts w:cs="Times New Roman"/>
                <w:szCs w:val="20"/>
              </w:rPr>
              <w:t xml:space="preserve"> was identified</w:t>
            </w:r>
            <w:r w:rsidR="00B262A7" w:rsidRPr="0091450A">
              <w:rPr>
                <w:rFonts w:cs="Times New Roman"/>
                <w:szCs w:val="20"/>
              </w:rPr>
              <w:t>.</w:t>
            </w:r>
          </w:p>
          <w:p w14:paraId="223E7C54" w14:textId="2FBADAB2" w:rsidR="00761A13" w:rsidRPr="0091450A" w:rsidRDefault="001E5FF0" w:rsidP="002D613F">
            <w:pPr>
              <w:widowControl w:val="0"/>
              <w:numPr>
                <w:ilvl w:val="0"/>
                <w:numId w:val="12"/>
              </w:numPr>
              <w:tabs>
                <w:tab w:val="left" w:pos="426"/>
                <w:tab w:val="left" w:pos="720"/>
              </w:tabs>
              <w:autoSpaceDE w:val="0"/>
              <w:autoSpaceDN w:val="0"/>
              <w:adjustRightInd w:val="0"/>
              <w:spacing w:before="40" w:after="40"/>
            </w:pPr>
            <w:r w:rsidRPr="0091450A">
              <w:rPr>
                <w:rFonts w:cs="Times New Roman"/>
                <w:szCs w:val="20"/>
              </w:rPr>
              <w:t xml:space="preserve">One of the </w:t>
            </w:r>
            <w:r w:rsidR="00D2418A" w:rsidRPr="0091450A">
              <w:rPr>
                <w:rFonts w:cs="Times New Roman"/>
                <w:szCs w:val="20"/>
              </w:rPr>
              <w:t>actions</w:t>
            </w:r>
            <w:r w:rsidRPr="0091450A">
              <w:rPr>
                <w:rFonts w:cs="Times New Roman"/>
                <w:szCs w:val="20"/>
              </w:rPr>
              <w:t xml:space="preserve"> in the </w:t>
            </w:r>
            <w:r w:rsidR="00761A13" w:rsidRPr="0091450A">
              <w:rPr>
                <w:rFonts w:cs="Times New Roman"/>
                <w:szCs w:val="20"/>
              </w:rPr>
              <w:t>NZ Health Strategy Roadmap</w:t>
            </w:r>
            <w:r w:rsidR="00C20683">
              <w:rPr>
                <w:rFonts w:cs="Times New Roman"/>
                <w:szCs w:val="20"/>
              </w:rPr>
              <w:t xml:space="preserve"> 2016</w:t>
            </w:r>
            <w:r w:rsidR="003F0368">
              <w:rPr>
                <w:rFonts w:cs="Times New Roman"/>
                <w:szCs w:val="20"/>
              </w:rPr>
              <w:t>-2021</w:t>
            </w:r>
            <w:r w:rsidR="00761A13" w:rsidRPr="0091450A">
              <w:rPr>
                <w:rFonts w:cs="Times New Roman"/>
                <w:szCs w:val="20"/>
              </w:rPr>
              <w:t xml:space="preserve"> </w:t>
            </w:r>
            <w:r w:rsidR="00F93145" w:rsidRPr="0091450A">
              <w:rPr>
                <w:rFonts w:cs="Times New Roman"/>
                <w:szCs w:val="20"/>
              </w:rPr>
              <w:fldChar w:fldCharType="begin" w:fldLock="1"/>
            </w:r>
            <w:r w:rsidR="00EC12A7">
              <w:rPr>
                <w:rFonts w:cs="Times New Roman"/>
                <w:szCs w:val="20"/>
              </w:rPr>
              <w:instrText>ADDIN CSL_CITATION {"citationItems":[{"id":"ITEM-1","itemData":{"author":[{"dropping-particle":"","family":"Minister of Health","given":"","non-dropping-particle":"","parse-names":false,"suffix":""}],"id":"ITEM-1","issued":{"date-parts":[["2016"]]},"publisher":"Ministry of Health","publisher-place":"Wellington","title":"New Zealand Health Strategy: Roadmap of actions 2016","type":"report"},"uris":["http://www.mendeley.com/documents/?uuid=e9572178-3bb5-3977-9472-d38f37df094e","http://www.mendeley.com/documents/?uuid=f028ee03-f416-4bf1-9e88-743f8d53f476"]}],"mendeley":{"formattedCitation":"(156)","plainTextFormattedCitation":"(156)","previouslyFormattedCitation":"(156)"},"properties":{"noteIndex":0},"schema":"https://github.com/citation-style-language/schema/raw/master/csl-citation.json"}</w:instrText>
            </w:r>
            <w:r w:rsidR="00F93145" w:rsidRPr="0091450A">
              <w:rPr>
                <w:rFonts w:cs="Times New Roman"/>
                <w:szCs w:val="20"/>
              </w:rPr>
              <w:fldChar w:fldCharType="separate"/>
            </w:r>
            <w:r w:rsidR="009C4029" w:rsidRPr="009C4029">
              <w:rPr>
                <w:rFonts w:cs="Times New Roman"/>
                <w:noProof/>
                <w:szCs w:val="20"/>
              </w:rPr>
              <w:t>(156)</w:t>
            </w:r>
            <w:r w:rsidR="00F93145" w:rsidRPr="0091450A">
              <w:rPr>
                <w:rFonts w:cs="Times New Roman"/>
                <w:szCs w:val="20"/>
              </w:rPr>
              <w:fldChar w:fldCharType="end"/>
            </w:r>
            <w:r w:rsidR="001C25AC" w:rsidRPr="0091450A">
              <w:rPr>
                <w:rFonts w:cs="Times New Roman"/>
                <w:szCs w:val="20"/>
              </w:rPr>
              <w:t xml:space="preserve"> under ‘T</w:t>
            </w:r>
            <w:r w:rsidRPr="0091450A">
              <w:rPr>
                <w:rFonts w:cs="Times New Roman"/>
                <w:szCs w:val="20"/>
              </w:rPr>
              <w:t xml:space="preserve">ackle </w:t>
            </w:r>
            <w:r w:rsidR="00761A13" w:rsidRPr="0091450A">
              <w:rPr>
                <w:rFonts w:cs="Times New Roman"/>
                <w:szCs w:val="20"/>
              </w:rPr>
              <w:t>long-term conditions and obesity</w:t>
            </w:r>
            <w:r w:rsidRPr="0091450A">
              <w:rPr>
                <w:rFonts w:cs="Times New Roman"/>
                <w:szCs w:val="20"/>
              </w:rPr>
              <w:t>’ is related</w:t>
            </w:r>
            <w:r w:rsidR="00761A13" w:rsidRPr="0091450A">
              <w:rPr>
                <w:rFonts w:cs="Times New Roman"/>
                <w:szCs w:val="20"/>
              </w:rPr>
              <w:t xml:space="preserve"> to prevention </w:t>
            </w:r>
            <w:r w:rsidRPr="0091450A">
              <w:rPr>
                <w:rFonts w:cs="Times New Roman"/>
                <w:szCs w:val="20"/>
              </w:rPr>
              <w:t>‘I</w:t>
            </w:r>
            <w:r w:rsidR="00761A13" w:rsidRPr="0091450A">
              <w:t>mplement and monitor a package of initiatives to prevent and manage obesity in children and young people up to 18 years of age</w:t>
            </w:r>
            <w:r w:rsidRPr="0091450A">
              <w:t>’</w:t>
            </w:r>
            <w:r w:rsidR="00761A13" w:rsidRPr="0091450A">
              <w:t xml:space="preserve">. </w:t>
            </w:r>
            <w:r w:rsidR="00761A13" w:rsidRPr="0091450A">
              <w:rPr>
                <w:rFonts w:ascii="MS Gothic" w:hAnsi="MS Gothic"/>
              </w:rPr>
              <w:t> </w:t>
            </w:r>
            <w:r w:rsidRPr="0091450A">
              <w:t xml:space="preserve">Another </w:t>
            </w:r>
            <w:r w:rsidR="001C25AC" w:rsidRPr="0091450A">
              <w:t xml:space="preserve">related </w:t>
            </w:r>
            <w:r w:rsidRPr="0091450A">
              <w:t xml:space="preserve">action </w:t>
            </w:r>
            <w:r w:rsidR="001C25AC" w:rsidRPr="0091450A">
              <w:t>under ‘</w:t>
            </w:r>
            <w:r w:rsidR="00761A13" w:rsidRPr="0091450A">
              <w:t>A great start for children, families and whanau</w:t>
            </w:r>
            <w:r w:rsidR="001C25AC" w:rsidRPr="0091450A">
              <w:t>’ is ‘</w:t>
            </w:r>
            <w:r w:rsidR="00761A13" w:rsidRPr="0091450A">
              <w:t>Promote healthy nutrition and activity for pregnant women and children to reduce the prevalence of childhood and adult obesity</w:t>
            </w:r>
            <w:r w:rsidR="001C25AC" w:rsidRPr="0091450A">
              <w:t>’</w:t>
            </w:r>
            <w:r w:rsidR="00761A13" w:rsidRPr="0091450A">
              <w:t xml:space="preserve">. </w:t>
            </w:r>
          </w:p>
          <w:p w14:paraId="52345DB5" w14:textId="05AA377F" w:rsidR="00761A13" w:rsidRPr="0091450A" w:rsidRDefault="001C25AC" w:rsidP="002D613F">
            <w:pPr>
              <w:widowControl w:val="0"/>
              <w:numPr>
                <w:ilvl w:val="0"/>
                <w:numId w:val="12"/>
              </w:numPr>
              <w:tabs>
                <w:tab w:val="left" w:pos="426"/>
                <w:tab w:val="left" w:pos="720"/>
              </w:tabs>
              <w:autoSpaceDE w:val="0"/>
              <w:autoSpaceDN w:val="0"/>
              <w:adjustRightInd w:val="0"/>
              <w:spacing w:before="40" w:after="40"/>
            </w:pPr>
            <w:r w:rsidRPr="0091450A">
              <w:t xml:space="preserve">The </w:t>
            </w:r>
            <w:r w:rsidR="00761A13" w:rsidRPr="0091450A">
              <w:t xml:space="preserve">NZ Health Strategy </w:t>
            </w:r>
            <w:r w:rsidR="00761A13" w:rsidRPr="0091450A">
              <w:rPr>
                <w:rFonts w:cs="Times New Roman"/>
                <w:szCs w:val="20"/>
              </w:rPr>
              <w:t xml:space="preserve">2016 </w:t>
            </w:r>
            <w:r w:rsidR="00F93145" w:rsidRPr="0091450A">
              <w:rPr>
                <w:rFonts w:cs="Times New Roman"/>
                <w:szCs w:val="20"/>
              </w:rPr>
              <w:fldChar w:fldCharType="begin" w:fldLock="1"/>
            </w:r>
            <w:r w:rsidR="00EC12A7">
              <w:rPr>
                <w:rFonts w:cs="Times New Roman"/>
                <w:szCs w:val="20"/>
              </w:rPr>
              <w:instrText>ADDIN CSL_CITATION {"citationItems":[{"id":"ITEM-1","itemData":{"author":[{"dropping-particle":"","family":"Minister of Health","given":"","non-dropping-particle":"","parse-names":false,"suffix":""}],"id":"ITEM-1","issued":{"date-parts":[["2016"]]},"publisher":"Ministry of Health","publisher-place":"Wellington","title":"New Zealand Health Strategy: Future direction.","type":"article"},"uris":["http://www.mendeley.com/documents/?uuid=5add4949-e7d4-367b-aee7-e25b85cf3002","http://www.mendeley.com/documents/?uuid=50c86e0d-7430-402b-8be3-02ad6529bf69"]}],"mendeley":{"formattedCitation":"(157)","plainTextFormattedCitation":"(157)","previouslyFormattedCitation":"(157)"},"properties":{"noteIndex":0},"schema":"https://github.com/citation-style-language/schema/raw/master/csl-citation.json"}</w:instrText>
            </w:r>
            <w:r w:rsidR="00F93145" w:rsidRPr="0091450A">
              <w:rPr>
                <w:rFonts w:cs="Times New Roman"/>
                <w:szCs w:val="20"/>
              </w:rPr>
              <w:fldChar w:fldCharType="separate"/>
            </w:r>
            <w:r w:rsidR="009C4029" w:rsidRPr="009C4029">
              <w:rPr>
                <w:rFonts w:cs="Times New Roman"/>
                <w:noProof/>
                <w:szCs w:val="20"/>
              </w:rPr>
              <w:t>(157)</w:t>
            </w:r>
            <w:r w:rsidR="00F93145" w:rsidRPr="0091450A">
              <w:rPr>
                <w:rFonts w:cs="Times New Roman"/>
                <w:szCs w:val="20"/>
              </w:rPr>
              <w:fldChar w:fldCharType="end"/>
            </w:r>
            <w:r w:rsidRPr="0091450A">
              <w:rPr>
                <w:rFonts w:cs="Times New Roman"/>
                <w:szCs w:val="20"/>
              </w:rPr>
              <w:t xml:space="preserve"> has five-year signposts including</w:t>
            </w:r>
            <w:r w:rsidR="00761A13" w:rsidRPr="0091450A">
              <w:rPr>
                <w:rFonts w:cs="Times New Roman"/>
                <w:szCs w:val="20"/>
              </w:rPr>
              <w:t xml:space="preserve"> </w:t>
            </w:r>
            <w:r w:rsidRPr="0091450A">
              <w:rPr>
                <w:rFonts w:cs="Times New Roman"/>
                <w:szCs w:val="20"/>
              </w:rPr>
              <w:t>‘</w:t>
            </w:r>
            <w:r w:rsidR="00761A13" w:rsidRPr="0091450A">
              <w:rPr>
                <w:rFonts w:cs="Times New Roman"/>
                <w:szCs w:val="20"/>
              </w:rPr>
              <w:t>8h Obesity reduction initiative</w:t>
            </w:r>
            <w:r w:rsidRPr="0091450A">
              <w:rPr>
                <w:rFonts w:cs="Times New Roman"/>
                <w:szCs w:val="20"/>
              </w:rPr>
              <w:t>’</w:t>
            </w:r>
            <w:r w:rsidR="00761A13" w:rsidRPr="0091450A">
              <w:rPr>
                <w:rFonts w:cs="Times New Roman"/>
                <w:szCs w:val="20"/>
              </w:rPr>
              <w:t>.</w:t>
            </w:r>
          </w:p>
          <w:p w14:paraId="182E21D7" w14:textId="04E213F7" w:rsidR="00726B6E" w:rsidRPr="0091450A" w:rsidRDefault="001C25AC" w:rsidP="002D613F">
            <w:pPr>
              <w:widowControl w:val="0"/>
              <w:numPr>
                <w:ilvl w:val="0"/>
                <w:numId w:val="12"/>
              </w:numPr>
              <w:tabs>
                <w:tab w:val="left" w:pos="426"/>
                <w:tab w:val="left" w:pos="720"/>
              </w:tabs>
              <w:autoSpaceDE w:val="0"/>
              <w:autoSpaceDN w:val="0"/>
              <w:adjustRightInd w:val="0"/>
              <w:spacing w:before="40" w:after="40"/>
              <w:rPr>
                <w:rFonts w:cs="Times New Roman"/>
                <w:szCs w:val="20"/>
              </w:rPr>
            </w:pPr>
            <w:r w:rsidRPr="0091450A">
              <w:t xml:space="preserve">The </w:t>
            </w:r>
            <w:r w:rsidR="00761A13" w:rsidRPr="007159FF">
              <w:t>NZ Healthy Ageing Strategy 2016</w:t>
            </w:r>
            <w:r w:rsidR="00761A13" w:rsidRPr="0091450A">
              <w:t xml:space="preserve"> </w:t>
            </w:r>
            <w:r w:rsidR="00F93145" w:rsidRPr="0091450A">
              <w:rPr>
                <w:rFonts w:cs="Times New Roman"/>
                <w:szCs w:val="20"/>
              </w:rPr>
              <w:fldChar w:fldCharType="begin" w:fldLock="1"/>
            </w:r>
            <w:r w:rsidR="00EC12A7">
              <w:rPr>
                <w:rFonts w:cs="Times New Roman"/>
                <w:szCs w:val="20"/>
              </w:rPr>
              <w:instrText>ADDIN CSL_CITATION {"citationItems":[{"id":"ITEM-1","itemData":{"author":[{"dropping-particle":"","family":"Associate Minister of Health","given":"","non-dropping-particle":"","parse-names":false,"suffix":""},{"dropping-particle":"","family":"Health","given":"Ministry of","non-dropping-particle":"","parse-names":false,"suffix":""}],"id":"ITEM-1","issued":{"date-parts":[["2016"]]},"publisher":"Ministry of Health","publisher-place":"Wellington","title":"Healthy Ageing Strategy","type":"report"},"uris":["http://www.mendeley.com/documents/?uuid=4364320b-68e3-3f1b-83f6-9a06aca099a6","http://www.mendeley.com/documents/?uuid=e6be0c98-5d85-4ee3-b8b5-a17aa76c18ef"]}],"mendeley":{"formattedCitation":"(158)","plainTextFormattedCitation":"(158)","previouslyFormattedCitation":"(158)"},"properties":{"noteIndex":0},"schema":"https://github.com/citation-style-language/schema/raw/master/csl-citation.json"}</w:instrText>
            </w:r>
            <w:r w:rsidR="00F93145" w:rsidRPr="0091450A">
              <w:rPr>
                <w:rFonts w:cs="Times New Roman"/>
                <w:szCs w:val="20"/>
              </w:rPr>
              <w:fldChar w:fldCharType="separate"/>
            </w:r>
            <w:r w:rsidR="009C4029" w:rsidRPr="009C4029">
              <w:rPr>
                <w:rFonts w:cs="Times New Roman"/>
                <w:noProof/>
                <w:szCs w:val="20"/>
              </w:rPr>
              <w:t>(158)</w:t>
            </w:r>
            <w:r w:rsidR="00F93145" w:rsidRPr="0091450A">
              <w:rPr>
                <w:rFonts w:cs="Times New Roman"/>
                <w:szCs w:val="20"/>
              </w:rPr>
              <w:fldChar w:fldCharType="end"/>
            </w:r>
            <w:r w:rsidRPr="0091450A">
              <w:rPr>
                <w:rFonts w:cs="Times New Roman"/>
                <w:szCs w:val="20"/>
              </w:rPr>
              <w:t xml:space="preserve"> has tw</w:t>
            </w:r>
            <w:r w:rsidR="00761A13" w:rsidRPr="0091450A">
              <w:rPr>
                <w:rFonts w:cs="Times New Roman"/>
                <w:szCs w:val="20"/>
              </w:rPr>
              <w:t xml:space="preserve">o priorities </w:t>
            </w:r>
            <w:r w:rsidRPr="0091450A">
              <w:rPr>
                <w:rFonts w:cs="Times New Roman"/>
                <w:szCs w:val="20"/>
              </w:rPr>
              <w:t xml:space="preserve">that </w:t>
            </w:r>
            <w:r w:rsidR="00761A13" w:rsidRPr="0091450A">
              <w:rPr>
                <w:rFonts w:cs="Times New Roman"/>
                <w:szCs w:val="20"/>
              </w:rPr>
              <w:t>focus on prevention and NCDs.</w:t>
            </w:r>
            <w:r w:rsidR="00761A13" w:rsidRPr="0091450A">
              <w:t xml:space="preserve"> </w:t>
            </w:r>
            <w:r w:rsidRPr="0091450A">
              <w:t>Under the priority ‘</w:t>
            </w:r>
            <w:r w:rsidR="00761A13" w:rsidRPr="0091450A">
              <w:t>Ageing well</w:t>
            </w:r>
            <w:r w:rsidRPr="0091450A">
              <w:t>’: ‘O</w:t>
            </w:r>
            <w:r w:rsidR="00761A13" w:rsidRPr="0091450A">
              <w:t>lder people are physically, mentally and socially active, have healthy lifestyles and greater resilience with good nutrition provided as an example of healthy behaviours</w:t>
            </w:r>
            <w:r w:rsidRPr="0091450A">
              <w:t>’</w:t>
            </w:r>
            <w:r w:rsidR="00761A13" w:rsidRPr="0091450A">
              <w:t>. One of the actions is to encourage services and providers to promote healthy eating, physical activity and healthy lifestyles which is to be implemented in the first two years of the strategy</w:t>
            </w:r>
            <w:r w:rsidR="007C3A28">
              <w:t>.</w:t>
            </w:r>
            <w:r w:rsidR="00761A13" w:rsidRPr="0091450A">
              <w:t xml:space="preserve"> </w:t>
            </w:r>
            <w:r w:rsidR="007C3A28">
              <w:t>L</w:t>
            </w:r>
            <w:r w:rsidR="00761A13" w:rsidRPr="0091450A">
              <w:t>ead partners</w:t>
            </w:r>
            <w:r w:rsidR="00D2418A" w:rsidRPr="0091450A">
              <w:t xml:space="preserve"> listed </w:t>
            </w:r>
            <w:r w:rsidR="007C3A28">
              <w:t>included</w:t>
            </w:r>
            <w:r w:rsidR="007C3A28" w:rsidRPr="0091450A">
              <w:t xml:space="preserve"> </w:t>
            </w:r>
            <w:r w:rsidR="00761A13" w:rsidRPr="0091450A">
              <w:t xml:space="preserve">DHBs, health organisations, NGOs, </w:t>
            </w:r>
            <w:r w:rsidR="007C3A28">
              <w:t xml:space="preserve">and the </w:t>
            </w:r>
            <w:r w:rsidR="00761A13" w:rsidRPr="0091450A">
              <w:t xml:space="preserve">Nutrition Foundation. </w:t>
            </w:r>
            <w:r w:rsidRPr="0091450A">
              <w:t>Under the priority ‘</w:t>
            </w:r>
            <w:r w:rsidR="00761A13" w:rsidRPr="0091450A">
              <w:t>Living</w:t>
            </w:r>
            <w:r w:rsidRPr="0091450A">
              <w:t xml:space="preserve"> well with long-term conditions’</w:t>
            </w:r>
            <w:r w:rsidR="00761A13" w:rsidRPr="0091450A">
              <w:t xml:space="preserve"> (diabetes, obesity, CVD </w:t>
            </w:r>
            <w:r w:rsidR="00AE20D3" w:rsidRPr="0091450A">
              <w:t>etc.</w:t>
            </w:r>
            <w:r w:rsidR="00761A13" w:rsidRPr="0091450A">
              <w:t>)</w:t>
            </w:r>
            <w:r w:rsidRPr="0091450A">
              <w:t xml:space="preserve"> there is a need </w:t>
            </w:r>
            <w:r w:rsidR="00761A13" w:rsidRPr="0091450A">
              <w:t xml:space="preserve">to provide information on the importance of healthy </w:t>
            </w:r>
            <w:r w:rsidR="00B8651E" w:rsidRPr="00FC43C2">
              <w:t>lifestyles</w:t>
            </w:r>
            <w:r w:rsidR="00761A13" w:rsidRPr="00FC43C2">
              <w:t>.</w:t>
            </w:r>
            <w:r w:rsidR="005E7287" w:rsidRPr="00FC43C2">
              <w:t xml:space="preserve"> </w:t>
            </w:r>
            <w:r w:rsidR="0094484C" w:rsidRPr="00FC43C2">
              <w:t>A</w:t>
            </w:r>
            <w:r w:rsidR="00F40EF6" w:rsidRPr="00FC43C2">
              <w:t xml:space="preserve">fter reviewing </w:t>
            </w:r>
            <w:r w:rsidR="004E047D" w:rsidRPr="00FC43C2">
              <w:t xml:space="preserve">the </w:t>
            </w:r>
            <w:r w:rsidR="00F40EF6" w:rsidRPr="00FC43C2">
              <w:t xml:space="preserve">progress of the </w:t>
            </w:r>
            <w:r w:rsidR="0094484C" w:rsidRPr="00FC43C2">
              <w:t>2016 H</w:t>
            </w:r>
            <w:r w:rsidR="00F40EF6" w:rsidRPr="00FC43C2">
              <w:t>ealthy Ageing strategy</w:t>
            </w:r>
            <w:r w:rsidR="0094484C" w:rsidRPr="00FC43C2">
              <w:t xml:space="preserve"> in 2018,</w:t>
            </w:r>
            <w:r w:rsidR="00F40EF6" w:rsidRPr="00FC43C2">
              <w:t xml:space="preserve"> new </w:t>
            </w:r>
            <w:r w:rsidR="002E2C0C" w:rsidRPr="00FC43C2">
              <w:t xml:space="preserve">priority actions </w:t>
            </w:r>
            <w:r w:rsidR="00F40EF6" w:rsidRPr="00FC43C2">
              <w:t>wer</w:t>
            </w:r>
            <w:r w:rsidR="0094484C" w:rsidRPr="00FC43C2">
              <w:t xml:space="preserve">e determined </w:t>
            </w:r>
            <w:r w:rsidR="002E2C0C" w:rsidRPr="00FC43C2">
              <w:t>for 2019-2022</w:t>
            </w:r>
            <w:r w:rsidR="0094484C" w:rsidRPr="00FC43C2">
              <w:t xml:space="preserve"> with</w:t>
            </w:r>
            <w:r w:rsidR="00217D2C" w:rsidRPr="00FC43C2">
              <w:t xml:space="preserve"> </w:t>
            </w:r>
            <w:r w:rsidR="002E2C0C" w:rsidRPr="00FC43C2">
              <w:t>only one</w:t>
            </w:r>
            <w:r w:rsidR="00217D2C" w:rsidRPr="00FC43C2">
              <w:t xml:space="preserve"> </w:t>
            </w:r>
            <w:r w:rsidR="003F0368" w:rsidRPr="00FC43C2">
              <w:t xml:space="preserve">possibly </w:t>
            </w:r>
            <w:r w:rsidR="002E2C0C" w:rsidRPr="00FC43C2">
              <w:t xml:space="preserve">relevant to </w:t>
            </w:r>
            <w:r w:rsidR="00726B6E" w:rsidRPr="00FC43C2">
              <w:t>nutrition</w:t>
            </w:r>
            <w:r w:rsidR="002E2C0C" w:rsidRPr="00FC43C2">
              <w:t>;</w:t>
            </w:r>
            <w:r w:rsidR="00726B6E" w:rsidRPr="00FC43C2">
              <w:t xml:space="preserve"> </w:t>
            </w:r>
            <w:r w:rsidR="00726B6E" w:rsidRPr="00FC43C2">
              <w:rPr>
                <w:lang w:eastAsia="en-NZ"/>
              </w:rPr>
              <w:t>‘Maintain and enhance older people's capacity through supportive environments, health promotion and disease minimisation and prevention’</w:t>
            </w:r>
            <w:r w:rsidR="00486944" w:rsidRPr="00FC43C2">
              <w:rPr>
                <w:lang w:eastAsia="en-NZ"/>
              </w:rPr>
              <w:t xml:space="preserve"> </w:t>
            </w:r>
            <w:r w:rsidR="001F6837" w:rsidRPr="00FC43C2">
              <w:rPr>
                <w:lang w:eastAsia="en-NZ"/>
              </w:rPr>
              <w:fldChar w:fldCharType="begin" w:fldLock="1"/>
            </w:r>
            <w:r w:rsidR="00EC12A7" w:rsidRPr="00FC43C2">
              <w:rPr>
                <w:lang w:eastAsia="en-NZ"/>
              </w:rPr>
              <w:instrText>ADDIN CSL_CITATION {"citationItems":[{"id":"ITEM-1","itemData":{"URL":"https://www.health.govt.nz/our-work/life-stages/health-older-people/healthy-ageing-strategy-update","accessed":{"date-parts":[["2020","1","31"]]},"author":[{"dropping-particle":"","family":"Ministry of Health NZ","given":"","non-dropping-particle":"","parse-names":false,"suffix":""}],"id":"ITEM-1","issued":{"date-parts":[["2019"]]},"title":"Healthy Ageing Strategy: update","type":"webpage"},"uris":["http://www.mendeley.com/documents/?uuid=7ecdf14d-ae78-31e4-897e-42155b1d502f"]}],"mendeley":{"formattedCitation":"(159)","plainTextFormattedCitation":"(159)","previouslyFormattedCitation":"(159)"},"properties":{"noteIndex":0},"schema":"https://github.com/citation-style-language/schema/raw/master/csl-citation.json"}</w:instrText>
            </w:r>
            <w:r w:rsidR="001F6837" w:rsidRPr="00FC43C2">
              <w:rPr>
                <w:lang w:eastAsia="en-NZ"/>
              </w:rPr>
              <w:fldChar w:fldCharType="separate"/>
            </w:r>
            <w:r w:rsidR="009C4029" w:rsidRPr="00FC43C2">
              <w:rPr>
                <w:noProof/>
                <w:lang w:eastAsia="en-NZ"/>
              </w:rPr>
              <w:t>(159)</w:t>
            </w:r>
            <w:r w:rsidR="001F6837" w:rsidRPr="00FC43C2">
              <w:rPr>
                <w:lang w:eastAsia="en-NZ"/>
              </w:rPr>
              <w:fldChar w:fldCharType="end"/>
            </w:r>
            <w:r w:rsidR="00BD5D81" w:rsidRPr="00FC43C2">
              <w:rPr>
                <w:lang w:eastAsia="en-NZ"/>
              </w:rPr>
              <w:t>.</w:t>
            </w:r>
          </w:p>
          <w:p w14:paraId="401B8BF0" w14:textId="77777777" w:rsidR="00296124" w:rsidRPr="0091450A" w:rsidRDefault="00296124" w:rsidP="002D613F">
            <w:pPr>
              <w:widowControl w:val="0"/>
              <w:tabs>
                <w:tab w:val="left" w:pos="426"/>
                <w:tab w:val="left" w:pos="720"/>
              </w:tabs>
              <w:autoSpaceDE w:val="0"/>
              <w:autoSpaceDN w:val="0"/>
              <w:adjustRightInd w:val="0"/>
              <w:spacing w:before="40"/>
              <w:ind w:left="284"/>
            </w:pPr>
          </w:p>
          <w:p w14:paraId="52D7152A" w14:textId="570ACD24" w:rsidR="00AA0AED" w:rsidRPr="0091450A" w:rsidRDefault="00AA0AED" w:rsidP="002D613F">
            <w:pPr>
              <w:pStyle w:val="Subtitle"/>
            </w:pPr>
            <w:r w:rsidRPr="0091450A">
              <w:t>Strategic Plans, Health Promotion Agency</w:t>
            </w:r>
          </w:p>
          <w:p w14:paraId="70DF1FAD" w14:textId="1C54D018" w:rsidR="00D7738B" w:rsidRPr="0091450A" w:rsidRDefault="00E76A2D" w:rsidP="002D613F">
            <w:pPr>
              <w:pStyle w:val="ListParagraph"/>
              <w:numPr>
                <w:ilvl w:val="0"/>
                <w:numId w:val="12"/>
              </w:numPr>
              <w:spacing w:before="40" w:after="40"/>
              <w:contextualSpacing w:val="0"/>
              <w:rPr>
                <w:rFonts w:cs="Times New Roman"/>
                <w:szCs w:val="20"/>
              </w:rPr>
            </w:pPr>
            <w:r w:rsidRPr="0091450A">
              <w:rPr>
                <w:rFonts w:cs="Times New Roman"/>
                <w:szCs w:val="20"/>
              </w:rPr>
              <w:t>The Health Promotion Agency (HPA) has an overall function to l</w:t>
            </w:r>
            <w:r w:rsidR="007D7A42" w:rsidRPr="0091450A">
              <w:rPr>
                <w:rFonts w:cs="Times New Roman"/>
                <w:szCs w:val="20"/>
              </w:rPr>
              <w:t xml:space="preserve">ead and support activities to: </w:t>
            </w:r>
            <w:r w:rsidRPr="0091450A">
              <w:rPr>
                <w:rFonts w:cs="Times New Roman"/>
                <w:szCs w:val="20"/>
              </w:rPr>
              <w:t>promote health and wellbeing and</w:t>
            </w:r>
            <w:r w:rsidR="007D7A42" w:rsidRPr="0091450A">
              <w:rPr>
                <w:rFonts w:cs="Times New Roman"/>
                <w:szCs w:val="20"/>
              </w:rPr>
              <w:t xml:space="preserve"> encourage healthy lifestyles, </w:t>
            </w:r>
            <w:r w:rsidRPr="0091450A">
              <w:rPr>
                <w:rFonts w:cs="Times New Roman"/>
                <w:szCs w:val="20"/>
              </w:rPr>
              <w:t>preven</w:t>
            </w:r>
            <w:r w:rsidR="007D7A42" w:rsidRPr="0091450A">
              <w:rPr>
                <w:rFonts w:cs="Times New Roman"/>
                <w:szCs w:val="20"/>
              </w:rPr>
              <w:t xml:space="preserve">t disease, illness and injury, </w:t>
            </w:r>
            <w:r w:rsidRPr="0091450A">
              <w:rPr>
                <w:rFonts w:cs="Times New Roman"/>
                <w:szCs w:val="20"/>
              </w:rPr>
              <w:t>enable environments which support health, wellbeing an</w:t>
            </w:r>
            <w:r w:rsidR="007D7A42" w:rsidRPr="0091450A">
              <w:rPr>
                <w:rFonts w:cs="Times New Roman"/>
                <w:szCs w:val="20"/>
              </w:rPr>
              <w:t xml:space="preserve">d healthy lifestyles, and </w:t>
            </w:r>
            <w:r w:rsidRPr="0091450A">
              <w:rPr>
                <w:rFonts w:cs="Times New Roman"/>
                <w:szCs w:val="20"/>
              </w:rPr>
              <w:t>reduce personal, social and economic harm.</w:t>
            </w:r>
            <w:r w:rsidR="008F1002" w:rsidRPr="0091450A">
              <w:rPr>
                <w:rFonts w:cs="Times New Roman"/>
                <w:szCs w:val="20"/>
              </w:rPr>
              <w:t xml:space="preserve"> The HPA undertakes work on a wide range of health issues, including alcohol, gambling harm, health education, immunisation, mental health, nutrition and physical activity, sun safety and </w:t>
            </w:r>
            <w:r w:rsidR="008F1002" w:rsidRPr="0091450A">
              <w:rPr>
                <w:rFonts w:cs="Times New Roman"/>
                <w:szCs w:val="20"/>
              </w:rPr>
              <w:lastRenderedPageBreak/>
              <w:t>tobacco</w:t>
            </w:r>
            <w:r w:rsidR="004745E3" w:rsidRPr="0091450A">
              <w:rPr>
                <w:rFonts w:cs="Times New Roman"/>
                <w:szCs w:val="20"/>
              </w:rPr>
              <w:t xml:space="preserve"> </w:t>
            </w:r>
            <w:r w:rsidR="00F93145" w:rsidRPr="0091450A">
              <w:rPr>
                <w:rFonts w:cs="Times New Roman"/>
                <w:szCs w:val="20"/>
              </w:rPr>
              <w:fldChar w:fldCharType="begin" w:fldLock="1"/>
            </w:r>
            <w:r w:rsidR="00EC12A7">
              <w:rPr>
                <w:rFonts w:cs="Times New Roman"/>
                <w:szCs w:val="20"/>
              </w:rPr>
              <w:instrText>ADDIN CSL_CITATION {"citationItems":[{"id":"ITEM-1","itemData":{"DOI":"10.7748/nop.8.10.7.s6","ISSN":"17590418","author":[{"dropping-particle":"","family":"New Zealand Ministry of Foreign Affairs and Trade","given":"","non-dropping-particle":"","parse-names":false,"suffix":""}],"container-title":"Twist","id":"ITEM-1","issue":"58","issued":{"date-parts":[["2019"]]},"publisher":"Health Promotion Agency","publisher-place":"Wellington","title":"MFAT Strategic Intentions 2019-2023","type":"report"},"uris":["http://www.mendeley.com/documents/?uuid=dca542dd-8c73-4406-932d-573679128591","http://www.mendeley.com/documents/?uuid=42e5a915-8b11-30aa-9984-30f48e06c490"]}],"mendeley":{"formattedCitation":"(147)","plainTextFormattedCitation":"(147)","previouslyFormattedCitation":"(147)"},"properties":{"noteIndex":0},"schema":"https://github.com/citation-style-language/schema/raw/master/csl-citation.json"}</w:instrText>
            </w:r>
            <w:r w:rsidR="00F93145" w:rsidRPr="0091450A">
              <w:rPr>
                <w:rFonts w:cs="Times New Roman"/>
                <w:szCs w:val="20"/>
              </w:rPr>
              <w:fldChar w:fldCharType="separate"/>
            </w:r>
            <w:r w:rsidR="009C4029" w:rsidRPr="009C4029">
              <w:rPr>
                <w:rFonts w:cs="Times New Roman"/>
                <w:noProof/>
                <w:szCs w:val="20"/>
              </w:rPr>
              <w:t>(147)</w:t>
            </w:r>
            <w:r w:rsidR="00F93145" w:rsidRPr="0091450A">
              <w:rPr>
                <w:rFonts w:cs="Times New Roman"/>
                <w:szCs w:val="20"/>
              </w:rPr>
              <w:fldChar w:fldCharType="end"/>
            </w:r>
            <w:r w:rsidR="008F1002" w:rsidRPr="0091450A">
              <w:rPr>
                <w:rFonts w:cs="Times New Roman"/>
                <w:szCs w:val="20"/>
              </w:rPr>
              <w:t>.</w:t>
            </w:r>
            <w:r w:rsidR="00D2418A" w:rsidRPr="0091450A">
              <w:rPr>
                <w:rFonts w:cs="Times New Roman"/>
                <w:szCs w:val="20"/>
              </w:rPr>
              <w:t xml:space="preserve"> </w:t>
            </w:r>
            <w:r w:rsidR="00635679" w:rsidRPr="0091450A">
              <w:rPr>
                <w:rFonts w:cs="Times New Roman"/>
                <w:szCs w:val="20"/>
              </w:rPr>
              <w:t xml:space="preserve">In the </w:t>
            </w:r>
            <w:r w:rsidR="00D2418A" w:rsidRPr="0091450A">
              <w:rPr>
                <w:rFonts w:cs="Times New Roman"/>
                <w:szCs w:val="20"/>
              </w:rPr>
              <w:t>S</w:t>
            </w:r>
            <w:r w:rsidR="00635679" w:rsidRPr="0091450A">
              <w:rPr>
                <w:rFonts w:cs="Times New Roman"/>
                <w:szCs w:val="20"/>
              </w:rPr>
              <w:t xml:space="preserve">tatement of </w:t>
            </w:r>
            <w:r w:rsidR="00D2418A" w:rsidRPr="0091450A">
              <w:rPr>
                <w:rFonts w:cs="Times New Roman"/>
                <w:szCs w:val="20"/>
              </w:rPr>
              <w:t>I</w:t>
            </w:r>
            <w:r w:rsidR="00635679" w:rsidRPr="0091450A">
              <w:rPr>
                <w:rFonts w:cs="Times New Roman"/>
                <w:szCs w:val="20"/>
              </w:rPr>
              <w:t>ntent for</w:t>
            </w:r>
            <w:r w:rsidR="00F338F6" w:rsidRPr="0091450A">
              <w:rPr>
                <w:rFonts w:cs="Times New Roman"/>
                <w:szCs w:val="20"/>
              </w:rPr>
              <w:t xml:space="preserve"> </w:t>
            </w:r>
            <w:r w:rsidR="00F53641" w:rsidRPr="0091450A">
              <w:rPr>
                <w:rFonts w:cs="Times New Roman"/>
                <w:szCs w:val="20"/>
              </w:rPr>
              <w:t>2017-2021 ‘nutrition and physical activity’ is considered as one of the</w:t>
            </w:r>
            <w:r w:rsidR="000E79F0" w:rsidRPr="0091450A">
              <w:rPr>
                <w:rFonts w:cs="Times New Roman"/>
                <w:szCs w:val="20"/>
              </w:rPr>
              <w:t xml:space="preserve"> seven</w:t>
            </w:r>
            <w:r w:rsidR="00F53641" w:rsidRPr="0091450A">
              <w:rPr>
                <w:rFonts w:cs="Times New Roman"/>
                <w:szCs w:val="20"/>
              </w:rPr>
              <w:t xml:space="preserve"> core areas</w:t>
            </w:r>
            <w:r w:rsidR="000E79F0" w:rsidRPr="0091450A">
              <w:rPr>
                <w:rFonts w:cs="Times New Roman"/>
                <w:szCs w:val="20"/>
              </w:rPr>
              <w:t xml:space="preserve"> of focus</w:t>
            </w:r>
            <w:r w:rsidR="00D7738B" w:rsidRPr="0091450A">
              <w:rPr>
                <w:rFonts w:cs="Times New Roman"/>
                <w:szCs w:val="20"/>
              </w:rPr>
              <w:t xml:space="preserve"> </w:t>
            </w:r>
            <w:r w:rsidR="000C6CEF" w:rsidRPr="0091450A">
              <w:rPr>
                <w:rFonts w:cs="Times New Roman"/>
                <w:szCs w:val="20"/>
              </w:rPr>
              <w:fldChar w:fldCharType="begin" w:fldLock="1"/>
            </w:r>
            <w:r w:rsidR="00EC12A7">
              <w:rPr>
                <w:rFonts w:cs="Times New Roman"/>
                <w:szCs w:val="20"/>
              </w:rPr>
              <w:instrText>ADDIN CSL_CITATION {"citationItems":[{"id":"ITEM-1","itemData":{"ISSN":"2017-2021","author":[{"dropping-particle":"","family":"Health Promotion Agency","given":"","non-dropping-particle":"","parse-names":false,"suffix":""}],"id":"ITEM-1","issued":{"date-parts":[["2017"]]},"number-of-pages":"20","publisher-place":"Wellington","title":"Statement of Intent 2017-2021","type":"report"},"uris":["http://www.mendeley.com/documents/?uuid=3eafebc0-e5a9-3354-8e01-bb91f1cf5595"]}],"mendeley":{"formattedCitation":"(160)","plainTextFormattedCitation":"(160)","previouslyFormattedCitation":"(160)"},"properties":{"noteIndex":0},"schema":"https://github.com/citation-style-language/schema/raw/master/csl-citation.json"}</w:instrText>
            </w:r>
            <w:r w:rsidR="000C6CEF" w:rsidRPr="0091450A">
              <w:rPr>
                <w:rFonts w:cs="Times New Roman"/>
                <w:szCs w:val="20"/>
              </w:rPr>
              <w:fldChar w:fldCharType="separate"/>
            </w:r>
            <w:r w:rsidR="009C4029" w:rsidRPr="009C4029">
              <w:rPr>
                <w:rFonts w:cs="Times New Roman"/>
                <w:noProof/>
                <w:szCs w:val="20"/>
              </w:rPr>
              <w:t>(160)</w:t>
            </w:r>
            <w:r w:rsidR="000C6CEF" w:rsidRPr="0091450A">
              <w:rPr>
                <w:rFonts w:cs="Times New Roman"/>
                <w:szCs w:val="20"/>
              </w:rPr>
              <w:fldChar w:fldCharType="end"/>
            </w:r>
            <w:r w:rsidR="00217D2C" w:rsidRPr="0091450A">
              <w:rPr>
                <w:rFonts w:cs="Times New Roman"/>
                <w:szCs w:val="20"/>
              </w:rPr>
              <w:t xml:space="preserve"> with </w:t>
            </w:r>
            <w:r w:rsidR="00D7738B" w:rsidRPr="0091450A">
              <w:rPr>
                <w:rFonts w:cs="Times New Roman"/>
                <w:szCs w:val="20"/>
              </w:rPr>
              <w:t xml:space="preserve">outcomes </w:t>
            </w:r>
            <w:r w:rsidR="00217D2C" w:rsidRPr="0091450A">
              <w:rPr>
                <w:rFonts w:cs="Times New Roman"/>
                <w:szCs w:val="20"/>
              </w:rPr>
              <w:t>for</w:t>
            </w:r>
            <w:r w:rsidR="00D7738B" w:rsidRPr="0091450A">
              <w:rPr>
                <w:rFonts w:cs="Times New Roman"/>
                <w:szCs w:val="20"/>
              </w:rPr>
              <w:t xml:space="preserve"> 2021 </w:t>
            </w:r>
            <w:r w:rsidR="00217D2C" w:rsidRPr="0091450A">
              <w:rPr>
                <w:rFonts w:cs="Times New Roman"/>
                <w:szCs w:val="20"/>
              </w:rPr>
              <w:t>to</w:t>
            </w:r>
            <w:r w:rsidR="00D7738B" w:rsidRPr="0091450A">
              <w:rPr>
                <w:rFonts w:cs="Times New Roman"/>
                <w:szCs w:val="20"/>
              </w:rPr>
              <w:t xml:space="preserve"> m</w:t>
            </w:r>
            <w:r w:rsidR="00D7738B" w:rsidRPr="0091450A">
              <w:t>otivate and support communities to eat well, move more, and sit less as well as support the nutrition and physical activity sector with quality advice, evidence and resources to support New Zealanders to eat healthy foods and be active.</w:t>
            </w:r>
          </w:p>
          <w:p w14:paraId="109E51CD" w14:textId="001BF020" w:rsidR="0024506F" w:rsidRPr="00FC43C2" w:rsidRDefault="00635679" w:rsidP="002D613F">
            <w:pPr>
              <w:pStyle w:val="ListParagraph"/>
              <w:numPr>
                <w:ilvl w:val="0"/>
                <w:numId w:val="12"/>
              </w:numPr>
              <w:spacing w:before="40"/>
              <w:contextualSpacing w:val="0"/>
              <w:rPr>
                <w:rFonts w:cs="Times New Roman"/>
                <w:szCs w:val="20"/>
              </w:rPr>
            </w:pPr>
            <w:r w:rsidRPr="0091450A">
              <w:rPr>
                <w:rFonts w:cs="Times New Roman"/>
                <w:szCs w:val="20"/>
              </w:rPr>
              <w:t>I</w:t>
            </w:r>
            <w:r w:rsidR="00D2418A" w:rsidRPr="0091450A">
              <w:rPr>
                <w:rFonts w:cs="Times New Roman"/>
                <w:szCs w:val="20"/>
              </w:rPr>
              <w:t>n</w:t>
            </w:r>
            <w:r w:rsidRPr="0091450A">
              <w:rPr>
                <w:rFonts w:cs="Times New Roman"/>
                <w:szCs w:val="20"/>
              </w:rPr>
              <w:t xml:space="preserve"> the </w:t>
            </w:r>
            <w:r w:rsidR="0024506F" w:rsidRPr="0091450A">
              <w:rPr>
                <w:rFonts w:cs="Times New Roman"/>
                <w:szCs w:val="20"/>
              </w:rPr>
              <w:t xml:space="preserve">HPA </w:t>
            </w:r>
            <w:r w:rsidR="00D2418A" w:rsidRPr="0091450A">
              <w:rPr>
                <w:rFonts w:cs="Times New Roman"/>
                <w:szCs w:val="20"/>
              </w:rPr>
              <w:t>S</w:t>
            </w:r>
            <w:r w:rsidR="0024506F" w:rsidRPr="0091450A">
              <w:rPr>
                <w:rFonts w:cs="Times New Roman"/>
                <w:szCs w:val="20"/>
              </w:rPr>
              <w:t>t</w:t>
            </w:r>
            <w:r w:rsidR="00FC7D96" w:rsidRPr="0091450A">
              <w:rPr>
                <w:rFonts w:cs="Times New Roman"/>
                <w:szCs w:val="20"/>
              </w:rPr>
              <w:t xml:space="preserve">atement of </w:t>
            </w:r>
            <w:r w:rsidR="00D2418A" w:rsidRPr="0091450A">
              <w:rPr>
                <w:rFonts w:cs="Times New Roman"/>
                <w:szCs w:val="20"/>
              </w:rPr>
              <w:t>P</w:t>
            </w:r>
            <w:r w:rsidR="00FC7D96" w:rsidRPr="0091450A">
              <w:rPr>
                <w:rFonts w:cs="Times New Roman"/>
                <w:szCs w:val="20"/>
              </w:rPr>
              <w:t xml:space="preserve">erformance </w:t>
            </w:r>
            <w:r w:rsidR="00D2418A" w:rsidRPr="0091450A">
              <w:rPr>
                <w:rFonts w:cs="Times New Roman"/>
                <w:szCs w:val="20"/>
              </w:rPr>
              <w:t>E</w:t>
            </w:r>
            <w:r w:rsidR="00FC7D96" w:rsidRPr="0091450A">
              <w:rPr>
                <w:rFonts w:cs="Times New Roman"/>
                <w:szCs w:val="20"/>
              </w:rPr>
              <w:t xml:space="preserve">xpectations </w:t>
            </w:r>
            <w:r w:rsidR="00813059" w:rsidRPr="00FC43C2">
              <w:rPr>
                <w:rFonts w:cs="Times New Roman"/>
                <w:szCs w:val="20"/>
              </w:rPr>
              <w:t xml:space="preserve">2018/19 </w:t>
            </w:r>
            <w:r w:rsidR="00761F77" w:rsidRPr="00FC43C2">
              <w:rPr>
                <w:rFonts w:cs="Times New Roman"/>
                <w:szCs w:val="20"/>
              </w:rPr>
              <w:fldChar w:fldCharType="begin" w:fldLock="1"/>
            </w:r>
            <w:r w:rsidR="00E56949" w:rsidRPr="00FC43C2">
              <w:rPr>
                <w:rFonts w:cs="Times New Roman"/>
                <w:szCs w:val="20"/>
              </w:rPr>
              <w:instrText>ADDIN CSL_CITATION {"citationItems":[{"id":"ITEM-1","itemData":{"author":[{"dropping-particle":"","family":"Health Promotion Agency","given":"","non-dropping-particle":"","parse-names":false,"suffix":""}],"id":"ITEM-1","issued":{"date-parts":[["2018"]]},"title":"Statement of Performance Expectations 2018/19 Health Promotion Agency E26 2: HPA Statement of Performance Expectations","type":"report"},"uris":["http://www.mendeley.com/documents/?uuid=c2c366cf-9fc1-39c8-af43-cd2cb216503e"]}],"mendeley":{"formattedCitation":"(161)","plainTextFormattedCitation":"(161)","previouslyFormattedCitation":"(161)"},"properties":{"noteIndex":0},"schema":"https://github.com/citation-style-language/schema/raw/master/csl-citation.json"}</w:instrText>
            </w:r>
            <w:r w:rsidR="00761F77" w:rsidRPr="00FC43C2">
              <w:rPr>
                <w:rFonts w:cs="Times New Roman"/>
                <w:szCs w:val="20"/>
              </w:rPr>
              <w:fldChar w:fldCharType="separate"/>
            </w:r>
            <w:r w:rsidR="009C4029" w:rsidRPr="00FC43C2">
              <w:rPr>
                <w:rFonts w:cs="Times New Roman"/>
                <w:noProof/>
                <w:szCs w:val="20"/>
              </w:rPr>
              <w:t>(161)</w:t>
            </w:r>
            <w:r w:rsidR="00761F77" w:rsidRPr="00FC43C2">
              <w:rPr>
                <w:rFonts w:cs="Times New Roman"/>
                <w:szCs w:val="20"/>
              </w:rPr>
              <w:fldChar w:fldCharType="end"/>
            </w:r>
            <w:r w:rsidR="001E67F6" w:rsidRPr="00FC43C2">
              <w:rPr>
                <w:rFonts w:cs="Times New Roman"/>
                <w:szCs w:val="20"/>
              </w:rPr>
              <w:t xml:space="preserve"> </w:t>
            </w:r>
            <w:r w:rsidRPr="00FC43C2">
              <w:rPr>
                <w:rFonts w:cs="Times New Roman"/>
                <w:szCs w:val="20"/>
              </w:rPr>
              <w:t>n</w:t>
            </w:r>
            <w:r w:rsidR="00FC7D96" w:rsidRPr="00FC43C2">
              <w:rPr>
                <w:rFonts w:cs="Times New Roman"/>
                <w:szCs w:val="20"/>
              </w:rPr>
              <w:t>utrition</w:t>
            </w:r>
            <w:r w:rsidR="001E67F6" w:rsidRPr="00FC43C2">
              <w:rPr>
                <w:rFonts w:cs="Times New Roman"/>
                <w:szCs w:val="20"/>
              </w:rPr>
              <w:t xml:space="preserve"> and physical activity</w:t>
            </w:r>
            <w:r w:rsidR="00FC7D96" w:rsidRPr="00FC43C2">
              <w:rPr>
                <w:rFonts w:cs="Times New Roman"/>
                <w:szCs w:val="20"/>
              </w:rPr>
              <w:t xml:space="preserve"> </w:t>
            </w:r>
            <w:r w:rsidR="00630CD7" w:rsidRPr="00FC43C2">
              <w:rPr>
                <w:rFonts w:cs="Times New Roman"/>
                <w:szCs w:val="20"/>
              </w:rPr>
              <w:t xml:space="preserve">is </w:t>
            </w:r>
            <w:r w:rsidR="00FC7D96" w:rsidRPr="00FC43C2">
              <w:rPr>
                <w:rFonts w:cs="Times New Roman"/>
                <w:szCs w:val="20"/>
              </w:rPr>
              <w:t xml:space="preserve">a major </w:t>
            </w:r>
            <w:r w:rsidR="00E93AB4" w:rsidRPr="00FC43C2">
              <w:rPr>
                <w:rFonts w:cs="Times New Roman"/>
                <w:szCs w:val="20"/>
              </w:rPr>
              <w:t>work domain for the HPA</w:t>
            </w:r>
            <w:r w:rsidRPr="00FC43C2">
              <w:rPr>
                <w:rFonts w:cs="Times New Roman"/>
                <w:szCs w:val="20"/>
              </w:rPr>
              <w:t>. Activities include:</w:t>
            </w:r>
            <w:r w:rsidR="00FC7D96" w:rsidRPr="00FC43C2">
              <w:rPr>
                <w:rFonts w:cs="Times New Roman"/>
                <w:szCs w:val="20"/>
              </w:rPr>
              <w:t xml:space="preserve"> </w:t>
            </w:r>
            <w:r w:rsidRPr="00FC43C2">
              <w:rPr>
                <w:rFonts w:cs="Times New Roman"/>
                <w:szCs w:val="20"/>
              </w:rPr>
              <w:t xml:space="preserve">HPA </w:t>
            </w:r>
            <w:r w:rsidR="00FC7D96" w:rsidRPr="00FC43C2">
              <w:rPr>
                <w:rFonts w:cs="Times New Roman"/>
                <w:szCs w:val="20"/>
              </w:rPr>
              <w:t xml:space="preserve">supports </w:t>
            </w:r>
            <w:r w:rsidR="005A79C7" w:rsidRPr="00FC43C2">
              <w:rPr>
                <w:rFonts w:cs="Times New Roman"/>
                <w:szCs w:val="20"/>
              </w:rPr>
              <w:t>Sit Less, Move More, Sleep Well guidelines and the Sport New Zealand Play principles launched in 2017</w:t>
            </w:r>
            <w:r w:rsidR="00BF69A1" w:rsidRPr="00FC43C2">
              <w:rPr>
                <w:rFonts w:cs="Times New Roman"/>
                <w:szCs w:val="20"/>
              </w:rPr>
              <w:t xml:space="preserve"> as guiders for nutrition and activity. </w:t>
            </w:r>
            <w:r w:rsidR="007208B4" w:rsidRPr="00FC43C2">
              <w:rPr>
                <w:rFonts w:cs="Times New Roman"/>
                <w:szCs w:val="20"/>
              </w:rPr>
              <w:t>Also, through the use of the</w:t>
            </w:r>
            <w:r w:rsidR="00F13CEC" w:rsidRPr="00FC43C2">
              <w:rPr>
                <w:rFonts w:cs="Times New Roman"/>
                <w:szCs w:val="20"/>
              </w:rPr>
              <w:t xml:space="preserve"> Healthy Kids we</w:t>
            </w:r>
            <w:r w:rsidR="007208B4" w:rsidRPr="00FC43C2">
              <w:rPr>
                <w:rFonts w:cs="Times New Roman"/>
                <w:szCs w:val="20"/>
              </w:rPr>
              <w:t>bsite and Facebook page</w:t>
            </w:r>
            <w:r w:rsidR="00310E36" w:rsidRPr="00FC43C2">
              <w:rPr>
                <w:rFonts w:cs="Times New Roman"/>
                <w:szCs w:val="20"/>
              </w:rPr>
              <w:t xml:space="preserve"> </w:t>
            </w:r>
            <w:r w:rsidR="00310E36" w:rsidRPr="00FC43C2">
              <w:rPr>
                <w:rFonts w:cs="Times New Roman"/>
                <w:szCs w:val="20"/>
              </w:rPr>
              <w:fldChar w:fldCharType="begin" w:fldLock="1"/>
            </w:r>
            <w:r w:rsidR="00EC12A7" w:rsidRPr="00FC43C2">
              <w:rPr>
                <w:rFonts w:cs="Times New Roman"/>
                <w:szCs w:val="20"/>
              </w:rPr>
              <w:instrText>ADDIN CSL_CITATION {"citationItems":[{"id":"ITEM-1","itemData":{"URL":"https://www.healthykids.org.nz/","accessed":{"date-parts":[["2020","1","31"]]},"author":[{"dropping-particle":"","family":"Health Promotion Agency","given":"","non-dropping-particle":"","parse-names":false,"suffix":""}],"id":"ITEM-1","issued":{"date-parts":[["2020"]]},"title":"Healthy Kids","type":"webpage"},"uris":["http://www.mendeley.com/documents/?uuid=e4b3ce35-b406-3472-b4e3-184784450c4c"]}],"mendeley":{"formattedCitation":"(162)","plainTextFormattedCitation":"(162)","previouslyFormattedCitation":"(162)"},"properties":{"noteIndex":0},"schema":"https://github.com/citation-style-language/schema/raw/master/csl-citation.json"}</w:instrText>
            </w:r>
            <w:r w:rsidR="00310E36" w:rsidRPr="00FC43C2">
              <w:rPr>
                <w:rFonts w:cs="Times New Roman"/>
                <w:szCs w:val="20"/>
              </w:rPr>
              <w:fldChar w:fldCharType="separate"/>
            </w:r>
            <w:r w:rsidR="009C4029" w:rsidRPr="00FC43C2">
              <w:rPr>
                <w:rFonts w:cs="Times New Roman"/>
                <w:noProof/>
                <w:szCs w:val="20"/>
              </w:rPr>
              <w:t>(162)</w:t>
            </w:r>
            <w:r w:rsidR="00310E36" w:rsidRPr="00FC43C2">
              <w:rPr>
                <w:rFonts w:cs="Times New Roman"/>
                <w:szCs w:val="20"/>
              </w:rPr>
              <w:fldChar w:fldCharType="end"/>
            </w:r>
            <w:r w:rsidR="007208B4" w:rsidRPr="00FC43C2">
              <w:rPr>
                <w:rFonts w:cs="Times New Roman"/>
                <w:szCs w:val="20"/>
              </w:rPr>
              <w:t>, HPA encourages healthy meal preparation and activity especially targeted at low income, M</w:t>
            </w:r>
            <w:r w:rsidR="00F516BB" w:rsidRPr="00FC43C2">
              <w:rPr>
                <w:rFonts w:cs="Times New Roman"/>
                <w:szCs w:val="20"/>
              </w:rPr>
              <w:t>ā</w:t>
            </w:r>
            <w:r w:rsidR="007208B4" w:rsidRPr="00FC43C2">
              <w:rPr>
                <w:rFonts w:cs="Times New Roman"/>
                <w:szCs w:val="20"/>
              </w:rPr>
              <w:t xml:space="preserve">ori and Pacific families. </w:t>
            </w:r>
            <w:r w:rsidR="00FC7D96" w:rsidRPr="00FC43C2">
              <w:rPr>
                <w:rFonts w:cs="Times New Roman"/>
                <w:szCs w:val="20"/>
              </w:rPr>
              <w:t>HPA promote</w:t>
            </w:r>
            <w:r w:rsidR="004E047D" w:rsidRPr="00FC43C2">
              <w:rPr>
                <w:rFonts w:cs="Times New Roman"/>
                <w:szCs w:val="20"/>
              </w:rPr>
              <w:t>s</w:t>
            </w:r>
            <w:r w:rsidR="00FC7D96" w:rsidRPr="00FC43C2">
              <w:rPr>
                <w:rFonts w:cs="Times New Roman"/>
                <w:szCs w:val="20"/>
              </w:rPr>
              <w:t xml:space="preserve"> the </w:t>
            </w:r>
            <w:r w:rsidR="00A301A0" w:rsidRPr="00FC43C2">
              <w:rPr>
                <w:rFonts w:cs="Times New Roman"/>
                <w:szCs w:val="20"/>
              </w:rPr>
              <w:t>MOH 2018 updated</w:t>
            </w:r>
            <w:r w:rsidR="00FC7D96" w:rsidRPr="00FC43C2">
              <w:rPr>
                <w:rFonts w:cs="Times New Roman"/>
                <w:szCs w:val="20"/>
              </w:rPr>
              <w:t xml:space="preserve"> Eating and Activity Guidelines to the public and health professionals. Performance indicators </w:t>
            </w:r>
            <w:r w:rsidR="00D2418A" w:rsidRPr="00FC43C2">
              <w:rPr>
                <w:rFonts w:cs="Times New Roman"/>
                <w:szCs w:val="20"/>
              </w:rPr>
              <w:t xml:space="preserve">are </w:t>
            </w:r>
            <w:r w:rsidR="00FC7D96" w:rsidRPr="00FC43C2">
              <w:rPr>
                <w:rFonts w:cs="Times New Roman"/>
                <w:szCs w:val="20"/>
              </w:rPr>
              <w:t xml:space="preserve">related to supporting </w:t>
            </w:r>
            <w:r w:rsidR="004E047D" w:rsidRPr="00FC43C2">
              <w:rPr>
                <w:rFonts w:cs="Times New Roman"/>
                <w:szCs w:val="20"/>
              </w:rPr>
              <w:t xml:space="preserve">the </w:t>
            </w:r>
            <w:r w:rsidR="00FC7D96" w:rsidRPr="00FC43C2">
              <w:rPr>
                <w:rFonts w:cs="Times New Roman"/>
                <w:szCs w:val="20"/>
              </w:rPr>
              <w:t>dissemination of guidelines and aligning with government priorities including prevention of childhood obesity and Healthy Families NZ.</w:t>
            </w:r>
          </w:p>
          <w:p w14:paraId="51BF384C" w14:textId="77777777" w:rsidR="001A4710" w:rsidRPr="0091450A" w:rsidRDefault="001A4710" w:rsidP="002D613F">
            <w:pPr>
              <w:pStyle w:val="ListParagraph"/>
              <w:spacing w:before="40"/>
              <w:ind w:left="284"/>
              <w:contextualSpacing w:val="0"/>
              <w:rPr>
                <w:rFonts w:cs="Times New Roman"/>
                <w:szCs w:val="20"/>
              </w:rPr>
            </w:pPr>
          </w:p>
          <w:p w14:paraId="546CB13D" w14:textId="255D6D5D" w:rsidR="00AA0AED" w:rsidRPr="0091450A" w:rsidRDefault="00AA0AED" w:rsidP="002D613F">
            <w:pPr>
              <w:pStyle w:val="Subtitle"/>
            </w:pPr>
            <w:r w:rsidRPr="00FC43C2">
              <w:t>Media releases</w:t>
            </w:r>
          </w:p>
          <w:p w14:paraId="2F98B241" w14:textId="1A11C77B" w:rsidR="00AB10F6" w:rsidRPr="0091450A" w:rsidRDefault="56DF8240" w:rsidP="00373A0D">
            <w:pPr>
              <w:pStyle w:val="ListParagraph"/>
              <w:numPr>
                <w:ilvl w:val="0"/>
                <w:numId w:val="12"/>
              </w:numPr>
              <w:shd w:val="clear" w:color="auto" w:fill="FFFFFF" w:themeFill="background1"/>
              <w:spacing w:before="40"/>
              <w:contextualSpacing w:val="0"/>
              <w:rPr>
                <w:rFonts w:cs="Times New Roman"/>
              </w:rPr>
            </w:pPr>
            <w:r w:rsidRPr="0091450A">
              <w:rPr>
                <w:rFonts w:cs="Times New Roman"/>
              </w:rPr>
              <w:t xml:space="preserve">Media releases </w:t>
            </w:r>
            <w:r w:rsidR="00B07869" w:rsidRPr="0091450A">
              <w:rPr>
                <w:rFonts w:cs="Times New Roman"/>
              </w:rPr>
              <w:fldChar w:fldCharType="begin" w:fldLock="1"/>
            </w:r>
            <w:r w:rsidR="00EC12A7">
              <w:rPr>
                <w:rFonts w:cs="Times New Roman"/>
              </w:rPr>
              <w:instrText>ADDIN CSL_CITATION {"citationItems":[{"id":"ITEM-1","itemData":{"URL":"https://www.health.govt.nz/news-media/media-releases","accessed":{"date-parts":[["2020","1","29"]]},"author":[{"dropping-particle":"","family":"Ministry of Health NZ","given":"","non-dropping-particle":"","parse-names":false,"suffix":""}],"id":"ITEM-1","issued":{"date-parts":[["2020"]]},"title":"Media releases | Ministry of Health NZ","type":"webpage"},"uris":["http://www.mendeley.com/documents/?uuid=e2b42ae2-5a56-32e9-ba30-f614ce67be28"]}],"mendeley":{"formattedCitation":"(163)","plainTextFormattedCitation":"(163)","previouslyFormattedCitation":"(163)"},"properties":{"noteIndex":0},"schema":"https://github.com/citation-style-language/schema/raw/master/csl-citation.json"}</w:instrText>
            </w:r>
            <w:r w:rsidR="00B07869" w:rsidRPr="0091450A">
              <w:rPr>
                <w:rFonts w:cs="Times New Roman"/>
              </w:rPr>
              <w:fldChar w:fldCharType="separate"/>
            </w:r>
            <w:r w:rsidR="009C4029" w:rsidRPr="009C4029">
              <w:rPr>
                <w:rFonts w:cs="Times New Roman"/>
                <w:noProof/>
              </w:rPr>
              <w:t>(163)</w:t>
            </w:r>
            <w:r w:rsidR="00B07869" w:rsidRPr="0091450A">
              <w:rPr>
                <w:rFonts w:cs="Times New Roman"/>
              </w:rPr>
              <w:fldChar w:fldCharType="end"/>
            </w:r>
            <w:r w:rsidRPr="0091450A">
              <w:rPr>
                <w:rFonts w:cs="Times New Roman"/>
              </w:rPr>
              <w:t xml:space="preserve"> and news items from the MoH were investigated between 2017 to 2019. Of the many media releases from the MoH during this time </w:t>
            </w:r>
            <w:r w:rsidR="00806AEE" w:rsidRPr="0091450A">
              <w:rPr>
                <w:rFonts w:cs="Times New Roman"/>
              </w:rPr>
              <w:t>there was a total of 10 relevant media releases to nutrition, healthy eating, and non-communicable diseases. The</w:t>
            </w:r>
            <w:r w:rsidRPr="0091450A">
              <w:rPr>
                <w:rFonts w:cs="Times New Roman"/>
              </w:rPr>
              <w:t xml:space="preserve"> </w:t>
            </w:r>
            <w:r w:rsidR="00806AEE" w:rsidRPr="0091450A">
              <w:rPr>
                <w:rFonts w:cs="Times New Roman"/>
              </w:rPr>
              <w:t xml:space="preserve">common </w:t>
            </w:r>
            <w:r w:rsidRPr="0091450A">
              <w:rPr>
                <w:rFonts w:cs="Times New Roman"/>
              </w:rPr>
              <w:t xml:space="preserve">topics </w:t>
            </w:r>
            <w:r w:rsidR="00806AEE" w:rsidRPr="0091450A">
              <w:rPr>
                <w:rFonts w:cs="Times New Roman"/>
              </w:rPr>
              <w:t xml:space="preserve">were </w:t>
            </w:r>
            <w:r w:rsidRPr="0091450A">
              <w:rPr>
                <w:rFonts w:cs="Times New Roman"/>
              </w:rPr>
              <w:t xml:space="preserve">the Health survey and its results regarding obesity and food insecurity and the childhood obesity plan. Also discussed </w:t>
            </w:r>
            <w:r w:rsidR="00114B58" w:rsidRPr="0091450A">
              <w:rPr>
                <w:rFonts w:cs="Times New Roman"/>
              </w:rPr>
              <w:t>were</w:t>
            </w:r>
            <w:r w:rsidRPr="0091450A">
              <w:rPr>
                <w:rFonts w:cs="Times New Roman"/>
              </w:rPr>
              <w:t xml:space="preserve"> the National food and drink policy and healthy food and drink guidance, </w:t>
            </w:r>
            <w:r w:rsidR="00806AEE" w:rsidRPr="0091450A">
              <w:rPr>
                <w:rFonts w:cs="Times New Roman"/>
              </w:rPr>
              <w:t xml:space="preserve">the </w:t>
            </w:r>
            <w:r w:rsidRPr="0091450A">
              <w:rPr>
                <w:rFonts w:cs="Times New Roman"/>
              </w:rPr>
              <w:t xml:space="preserve">Food Industry Taskforce Report </w:t>
            </w:r>
            <w:r w:rsidR="00806AEE" w:rsidRPr="0091450A">
              <w:rPr>
                <w:rFonts w:cs="Times New Roman"/>
              </w:rPr>
              <w:t>and</w:t>
            </w:r>
            <w:r w:rsidRPr="0091450A">
              <w:rPr>
                <w:rFonts w:cs="Times New Roman"/>
              </w:rPr>
              <w:t xml:space="preserve"> Healthy Families. This was through a search of keywords including ‘food’ and ‘obesity’ and all releases dated 2017-2019. </w:t>
            </w:r>
          </w:p>
          <w:p w14:paraId="5F936CBB" w14:textId="33D95D33" w:rsidR="001A4710" w:rsidRPr="0091450A" w:rsidRDefault="56DF8240" w:rsidP="002D613F">
            <w:pPr>
              <w:pStyle w:val="ListParagraph"/>
              <w:numPr>
                <w:ilvl w:val="0"/>
                <w:numId w:val="12"/>
              </w:numPr>
              <w:shd w:val="clear" w:color="auto" w:fill="FFFFFF" w:themeFill="background1"/>
              <w:spacing w:before="40" w:after="40"/>
              <w:contextualSpacing w:val="0"/>
              <w:rPr>
                <w:rFonts w:cs="Times New Roman"/>
              </w:rPr>
            </w:pPr>
            <w:r w:rsidRPr="0091450A">
              <w:rPr>
                <w:rFonts w:cs="Times New Roman"/>
              </w:rPr>
              <w:t xml:space="preserve">On the government website </w:t>
            </w:r>
            <w:hyperlink r:id="rId23">
              <w:r w:rsidRPr="0091450A">
                <w:rPr>
                  <w:rStyle w:val="Hyperlink"/>
                  <w:rFonts w:cs="Times New Roman"/>
                </w:rPr>
                <w:t>www.beehive.govt.nz</w:t>
              </w:r>
            </w:hyperlink>
            <w:r w:rsidRPr="0091450A">
              <w:rPr>
                <w:rStyle w:val="Hyperlink"/>
                <w:rFonts w:cs="Times New Roman"/>
                <w:color w:val="auto"/>
              </w:rPr>
              <w:t xml:space="preserve">, </w:t>
            </w:r>
            <w:r w:rsidRPr="0091450A">
              <w:rPr>
                <w:rStyle w:val="Hyperlink"/>
                <w:rFonts w:cs="Times New Roman"/>
                <w:color w:val="auto"/>
                <w:u w:val="none"/>
              </w:rPr>
              <w:t xml:space="preserve">a search for the media releases between 2017-2020 keyword ‘nutrition’ had 14 items with 4 relevant from 2017-2020 relating to the wellbeing budget, improving child well-being, grants for nutrition-related research and </w:t>
            </w:r>
            <w:r w:rsidR="00114B58" w:rsidRPr="0091450A">
              <w:rPr>
                <w:rStyle w:val="Hyperlink"/>
                <w:rFonts w:cs="Times New Roman"/>
                <w:color w:val="auto"/>
                <w:u w:val="none"/>
              </w:rPr>
              <w:t>A</w:t>
            </w:r>
            <w:r w:rsidRPr="0091450A">
              <w:rPr>
                <w:rStyle w:val="Hyperlink"/>
                <w:rFonts w:cs="Times New Roman"/>
                <w:color w:val="auto"/>
                <w:u w:val="none"/>
              </w:rPr>
              <w:t xml:space="preserve">ctive </w:t>
            </w:r>
            <w:r w:rsidR="00114B58" w:rsidRPr="0091450A">
              <w:rPr>
                <w:rStyle w:val="Hyperlink"/>
                <w:rFonts w:cs="Times New Roman"/>
                <w:color w:val="auto"/>
                <w:u w:val="none"/>
              </w:rPr>
              <w:t>F</w:t>
            </w:r>
            <w:r w:rsidRPr="0091450A">
              <w:rPr>
                <w:rStyle w:val="Hyperlink"/>
                <w:rFonts w:cs="Times New Roman"/>
                <w:color w:val="auto"/>
                <w:u w:val="none"/>
              </w:rPr>
              <w:t>amilies programme. A search for the keyword ‘obesity</w:t>
            </w:r>
            <w:r w:rsidRPr="0091450A">
              <w:rPr>
                <w:rFonts w:cs="Times New Roman"/>
              </w:rPr>
              <w:t>’ had 10 items with 2 relevant relating to health benefits of reducing our carbon footprint and one on improving child well-being. The final search was using the keyword ‘food’ which gave 263 results with 6 potentially relevant including food rescue expansion in Northland, regional economic development awards for healthy food produce, school lunch programmes, child poverty results and improving child well-being in New Zealand.</w:t>
            </w:r>
          </w:p>
          <w:p w14:paraId="2CED3393" w14:textId="696D5202" w:rsidR="00B07869" w:rsidRPr="0091450A" w:rsidRDefault="56DF8240" w:rsidP="002D613F">
            <w:pPr>
              <w:pStyle w:val="ListParagraph"/>
              <w:numPr>
                <w:ilvl w:val="0"/>
                <w:numId w:val="12"/>
              </w:numPr>
              <w:shd w:val="clear" w:color="auto" w:fill="FFFFFF" w:themeFill="background1"/>
              <w:spacing w:before="40" w:after="40"/>
              <w:contextualSpacing w:val="0"/>
              <w:rPr>
                <w:rFonts w:cs="Times New Roman"/>
                <w:szCs w:val="20"/>
              </w:rPr>
            </w:pPr>
            <w:r w:rsidRPr="0091450A">
              <w:rPr>
                <w:rFonts w:cs="Times New Roman"/>
              </w:rPr>
              <w:t xml:space="preserve">On the website of Health Minister Hon Dr David Clark </w:t>
            </w:r>
            <w:r w:rsidR="00B07869" w:rsidRPr="0091450A">
              <w:rPr>
                <w:rFonts w:cs="Times New Roman"/>
              </w:rPr>
              <w:fldChar w:fldCharType="begin" w:fldLock="1"/>
            </w:r>
            <w:r w:rsidR="00EC12A7">
              <w:rPr>
                <w:rFonts w:cs="Times New Roman"/>
              </w:rPr>
              <w:instrText>ADDIN CSL_CITATION {"citationItems":[{"id":"ITEM-1","itemData":{"URL":"https://www.beehive.govt.nz/search?query=obesity","accessed":{"date-parts":[["2020","1","29"]]},"author":[{"dropping-particle":"","family":"Beehive","given":"","non-dropping-particle":"","parse-names":false,"suffix":""}],"id":"ITEM-1","issued":{"date-parts":[["2020"]]},"title":"Search Hon Dr David Clark | Beehive.govt.nz","type":"webpage"},"uris":["http://www.mendeley.com/documents/?uuid=dab04776-d09a-3a85-89ce-892aaa98518b"]}],"mendeley":{"formattedCitation":"(164)","plainTextFormattedCitation":"(164)","previouslyFormattedCitation":"(164)"},"properties":{"noteIndex":0},"schema":"https://github.com/citation-style-language/schema/raw/master/csl-citation.json"}</w:instrText>
            </w:r>
            <w:r w:rsidR="00B07869" w:rsidRPr="0091450A">
              <w:rPr>
                <w:rFonts w:cs="Times New Roman"/>
              </w:rPr>
              <w:fldChar w:fldCharType="separate"/>
            </w:r>
            <w:r w:rsidR="009C4029" w:rsidRPr="009C4029">
              <w:rPr>
                <w:rFonts w:cs="Times New Roman"/>
                <w:noProof/>
              </w:rPr>
              <w:t>(164)</w:t>
            </w:r>
            <w:r w:rsidR="00B07869" w:rsidRPr="0091450A">
              <w:rPr>
                <w:rFonts w:cs="Times New Roman"/>
              </w:rPr>
              <w:fldChar w:fldCharType="end"/>
            </w:r>
            <w:r w:rsidR="00B07869" w:rsidRPr="0091450A">
              <w:rPr>
                <w:rFonts w:cs="Times New Roman"/>
              </w:rPr>
              <w:t xml:space="preserve"> </w:t>
            </w:r>
            <w:r w:rsidRPr="0091450A">
              <w:rPr>
                <w:rFonts w:cs="Times New Roman"/>
              </w:rPr>
              <w:t xml:space="preserve">speeches, releases, features and newsletters were searched for the </w:t>
            </w:r>
            <w:r w:rsidR="00B07869" w:rsidRPr="0091450A">
              <w:rPr>
                <w:rFonts w:cs="Times New Roman"/>
              </w:rPr>
              <w:t>Labour-led Government time between 2017-2020</w:t>
            </w:r>
            <w:r w:rsidR="00114B58" w:rsidRPr="0091450A">
              <w:rPr>
                <w:rFonts w:cs="Times New Roman"/>
              </w:rPr>
              <w:t>.</w:t>
            </w:r>
            <w:r w:rsidR="00B07869" w:rsidRPr="0091450A">
              <w:rPr>
                <w:rFonts w:cs="Times New Roman"/>
              </w:rPr>
              <w:t xml:space="preserve"> </w:t>
            </w:r>
            <w:r w:rsidR="00114B58" w:rsidRPr="0091450A">
              <w:rPr>
                <w:rFonts w:cs="Times New Roman"/>
              </w:rPr>
              <w:t>T</w:t>
            </w:r>
            <w:r w:rsidRPr="0091450A">
              <w:rPr>
                <w:rFonts w:cs="Times New Roman"/>
              </w:rPr>
              <w:t xml:space="preserve">here were </w:t>
            </w:r>
            <w:r w:rsidR="00FE0368" w:rsidRPr="0091450A">
              <w:rPr>
                <w:rFonts w:cs="Times New Roman"/>
              </w:rPr>
              <w:t>31</w:t>
            </w:r>
            <w:r w:rsidRPr="0091450A">
              <w:rPr>
                <w:rFonts w:cs="Times New Roman"/>
              </w:rPr>
              <w:t xml:space="preserve"> items </w:t>
            </w:r>
            <w:r w:rsidR="00B07869" w:rsidRPr="0091450A">
              <w:rPr>
                <w:rFonts w:cs="Times New Roman"/>
              </w:rPr>
              <w:t>for ‘obesity’</w:t>
            </w:r>
            <w:r w:rsidR="00FE0368" w:rsidRPr="0091450A">
              <w:rPr>
                <w:rFonts w:cs="Times New Roman"/>
              </w:rPr>
              <w:t xml:space="preserve"> ‘food’</w:t>
            </w:r>
            <w:r w:rsidR="00B07869" w:rsidRPr="0091450A">
              <w:rPr>
                <w:rFonts w:cs="Times New Roman"/>
              </w:rPr>
              <w:t xml:space="preserve"> and ‘nutrition’ </w:t>
            </w:r>
            <w:r w:rsidRPr="0091450A">
              <w:rPr>
                <w:rFonts w:cs="Times New Roman"/>
              </w:rPr>
              <w:t>with</w:t>
            </w:r>
            <w:r w:rsidR="00B07869" w:rsidRPr="0091450A">
              <w:rPr>
                <w:rFonts w:cs="Times New Roman"/>
              </w:rPr>
              <w:t xml:space="preserve"> 5</w:t>
            </w:r>
            <w:r w:rsidRPr="0091450A">
              <w:rPr>
                <w:rFonts w:cs="Times New Roman"/>
              </w:rPr>
              <w:t xml:space="preserve"> relevant: </w:t>
            </w:r>
            <w:r w:rsidR="00B07869" w:rsidRPr="0091450A">
              <w:rPr>
                <w:rFonts w:cs="Times New Roman"/>
              </w:rPr>
              <w:t xml:space="preserve">food industry being asked to step up </w:t>
            </w:r>
            <w:r w:rsidR="0028119B">
              <w:rPr>
                <w:rFonts w:cs="Times New Roman"/>
              </w:rPr>
              <w:t xml:space="preserve">the </w:t>
            </w:r>
            <w:r w:rsidR="00B07869" w:rsidRPr="0091450A">
              <w:rPr>
                <w:rFonts w:cs="Times New Roman"/>
              </w:rPr>
              <w:t xml:space="preserve">fight against obesity, improving child well-being, a commitment to reducing carbon footprint, grants for children and families research and the </w:t>
            </w:r>
            <w:r w:rsidR="00114B58" w:rsidRPr="0091450A">
              <w:rPr>
                <w:rFonts w:cs="Times New Roman"/>
              </w:rPr>
              <w:t>A</w:t>
            </w:r>
            <w:r w:rsidR="00B07869" w:rsidRPr="0091450A">
              <w:rPr>
                <w:rFonts w:cs="Times New Roman"/>
              </w:rPr>
              <w:t xml:space="preserve">ctive </w:t>
            </w:r>
            <w:r w:rsidR="00114B58" w:rsidRPr="0091450A">
              <w:rPr>
                <w:rFonts w:cs="Times New Roman"/>
              </w:rPr>
              <w:t>F</w:t>
            </w:r>
            <w:r w:rsidR="00B07869" w:rsidRPr="0091450A">
              <w:rPr>
                <w:rFonts w:cs="Times New Roman"/>
              </w:rPr>
              <w:t>amilies programme.</w:t>
            </w:r>
          </w:p>
          <w:p w14:paraId="1E69C491" w14:textId="77777777" w:rsidR="00C5347E" w:rsidRPr="0091450A" w:rsidRDefault="00C5347E" w:rsidP="002D613F">
            <w:pPr>
              <w:shd w:val="clear" w:color="auto" w:fill="FFFFFF" w:themeFill="background1"/>
              <w:autoSpaceDE w:val="0"/>
              <w:autoSpaceDN w:val="0"/>
              <w:adjustRightInd w:val="0"/>
              <w:spacing w:before="40"/>
              <w:rPr>
                <w:rFonts w:cs="Times New Roman"/>
                <w:b/>
                <w:color w:val="1F497D" w:themeColor="text2"/>
                <w:szCs w:val="20"/>
              </w:rPr>
            </w:pPr>
          </w:p>
          <w:p w14:paraId="28C12FC3" w14:textId="210D56A3"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2E20568F" w14:textId="29347901" w:rsidR="00C5347E" w:rsidRPr="0091450A" w:rsidRDefault="00C5347E" w:rsidP="002D613F">
            <w:pPr>
              <w:pStyle w:val="ListParagraph"/>
              <w:keepNext/>
              <w:numPr>
                <w:ilvl w:val="0"/>
                <w:numId w:val="12"/>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New York</w:t>
            </w:r>
            <w:r w:rsidRPr="0091450A">
              <w:rPr>
                <w:rFonts w:eastAsia="Times New Roman" w:cs="Times New Roman"/>
                <w:szCs w:val="20"/>
                <w:lang w:eastAsia="en-NZ"/>
              </w:rPr>
              <w:t xml:space="preserve">: As Mayor of New York City, Michael Bloomberg prioritised food policy and introduced </w:t>
            </w:r>
            <w:r w:rsidR="00373D47" w:rsidRPr="0091450A">
              <w:rPr>
                <w:rFonts w:eastAsia="Times New Roman" w:cs="Times New Roman"/>
                <w:szCs w:val="20"/>
                <w:lang w:eastAsia="en-NZ"/>
              </w:rPr>
              <w:t>several</w:t>
            </w:r>
            <w:r w:rsidRPr="0091450A">
              <w:rPr>
                <w:rFonts w:eastAsia="Times New Roman" w:cs="Times New Roman"/>
                <w:szCs w:val="20"/>
                <w:lang w:eastAsia="en-NZ"/>
              </w:rPr>
              <w:t xml:space="preserve"> </w:t>
            </w:r>
            <w:r w:rsidR="00FE4FCD" w:rsidRPr="0091450A">
              <w:rPr>
                <w:rFonts w:eastAsia="Times New Roman" w:cs="Times New Roman"/>
                <w:szCs w:val="20"/>
                <w:lang w:eastAsia="en-NZ"/>
              </w:rPr>
              <w:t>ground-breaking</w:t>
            </w:r>
            <w:r w:rsidRPr="0091450A">
              <w:rPr>
                <w:rFonts w:eastAsia="Times New Roman" w:cs="Times New Roman"/>
                <w:szCs w:val="20"/>
                <w:lang w:eastAsia="en-NZ"/>
              </w:rPr>
              <w:t xml:space="preserve"> policy initiatives including ‘Health Bucks’, a restriction on </w:t>
            </w:r>
            <w:r w:rsidRPr="0091450A">
              <w:rPr>
                <w:rFonts w:eastAsia="Times New Roman" w:cs="Times New Roman"/>
                <w:i/>
                <w:szCs w:val="20"/>
                <w:lang w:eastAsia="en-NZ"/>
              </w:rPr>
              <w:t>trans</w:t>
            </w:r>
            <w:r w:rsidRPr="0091450A">
              <w:rPr>
                <w:rFonts w:eastAsia="Times New Roman" w:cs="Times New Roman"/>
                <w:szCs w:val="20"/>
                <w:lang w:eastAsia="en-NZ"/>
              </w:rPr>
              <w:t xml:space="preserve"> fats, </w:t>
            </w:r>
            <w:r w:rsidR="0028119B">
              <w:rPr>
                <w:rFonts w:eastAsia="Times New Roman" w:cs="Times New Roman"/>
                <w:szCs w:val="20"/>
                <w:lang w:eastAsia="en-NZ"/>
              </w:rPr>
              <w:t xml:space="preserve">the </w:t>
            </w:r>
            <w:r w:rsidRPr="0091450A">
              <w:rPr>
                <w:rFonts w:eastAsia="Times New Roman" w:cs="Times New Roman"/>
                <w:szCs w:val="20"/>
                <w:lang w:eastAsia="en-NZ"/>
              </w:rPr>
              <w:t>establishment of an obesity taskforce, a portion size restriction on sugar-sweetened beverages, public awareness campaigns, etc. He showed strong and consistent leadership and a commitment to innovative approaches and cross-</w:t>
            </w:r>
            <w:r w:rsidR="00AE20D3" w:rsidRPr="0091450A">
              <w:rPr>
                <w:rFonts w:eastAsia="Times New Roman" w:cs="Times New Roman"/>
                <w:szCs w:val="20"/>
                <w:lang w:eastAsia="en-NZ"/>
              </w:rPr>
              <w:t>sectorial</w:t>
            </w:r>
            <w:r w:rsidRPr="0091450A">
              <w:rPr>
                <w:rFonts w:eastAsia="Times New Roman" w:cs="Times New Roman"/>
                <w:szCs w:val="20"/>
                <w:lang w:eastAsia="en-NZ"/>
              </w:rPr>
              <w:t xml:space="preserve"> collaboration</w:t>
            </w:r>
            <w:r w:rsidR="004745E3" w:rsidRPr="0091450A">
              <w:rPr>
                <w:rFonts w:eastAsia="Times New Roman" w:cs="Times New Roman"/>
                <w:szCs w:val="20"/>
                <w:lang w:eastAsia="en-NZ"/>
              </w:rPr>
              <w:t xml:space="preserve"> </w:t>
            </w:r>
            <w:r w:rsidR="002921D3"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{"citationItems":[{"id":"ITEM-1","itemData":{"DOI":"10.3389/fpubh.2016.00060","ISBN":"2296-2565 (Electronic)\r2296-2565 (Linking)","PMID":"27064755","author":[{"dropping-particle":"","family":"Kelly","given":"P M","non-dropping-particle":"","parse-names":false,"suffix":""},{"dropping-particle":"","family":"Davies","given":"A","non-dropping-particle":"","parse-names":false,"suffix":""},{"dropping-particle":"","family":"Greig","given":"A J","non-dropping-particle":"","parse-names":false,"suffix":""},{"dropping-particle":"","family":"Lee","given":"K K","non-dropping-particle":"","parse-names":false,"suffix":""}],"container-title":"Front Public Health","id":"ITEM-1","issued":{"date-parts":[["2016"]]},"page":"60","title":"Obesity Prevention in a City State: Lessons from New York City during the Bloomberg Administration","type":"article-journal","volume":"4"},"uris":["http://www.mendeley.com/documents/?uuid=ec2cb8e6-d533-35cf-8179-55ad90586478","http://www.mendeley.com/documents/?uuid=3b467a07-b678-4483-a7d6-9ea2253e481a"]}],"mendeley":{"formattedCitation":"(165)","plainTextFormattedCitation":"(165)","previouslyFormattedCitation":"(165)"},"properties":{"noteIndex":0},"schema":"https://github.com/citation-style-language/schema/raw/master/csl-citation.json"}</w:instrText>
            </w:r>
            <w:r w:rsidR="002921D3"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(165)</w:t>
            </w:r>
            <w:r w:rsidR="002921D3" w:rsidRPr="0091450A">
              <w:rPr>
                <w:rFonts w:eastAsia="Times New Roman" w:cs="Times New Roman"/>
                <w:szCs w:val="20"/>
                <w:lang w:eastAsia="en-NZ"/>
              </w:rPr>
              <w:fldChar w:fldCharType="end"/>
            </w:r>
            <w:r w:rsidR="002921D3" w:rsidRPr="0091450A">
              <w:rPr>
                <w:rFonts w:eastAsia="Times New Roman" w:cs="Times New Roman"/>
                <w:szCs w:val="20"/>
                <w:lang w:eastAsia="en-NZ"/>
              </w:rPr>
              <w:t>.</w:t>
            </w:r>
            <w:r w:rsidRPr="0091450A">
              <w:rPr>
                <w:rFonts w:eastAsia="Times New Roman" w:cs="Times New Roman"/>
                <w:szCs w:val="20"/>
                <w:lang w:eastAsia="en-NZ"/>
              </w:rPr>
              <w:t xml:space="preserve"> </w:t>
            </w:r>
          </w:p>
          <w:p w14:paraId="014F13CD" w14:textId="03AB7261" w:rsidR="00C5347E" w:rsidRPr="0091450A" w:rsidRDefault="00C5347E" w:rsidP="002D613F">
            <w:pPr>
              <w:pStyle w:val="ListParagraph"/>
              <w:keepNext/>
              <w:numPr>
                <w:ilvl w:val="0"/>
                <w:numId w:val="12"/>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Brazil</w:t>
            </w:r>
            <w:r w:rsidRPr="0091450A">
              <w:rPr>
                <w:rFonts w:eastAsia="Times New Roman" w:cs="Times New Roman"/>
                <w:szCs w:val="20"/>
                <w:lang w:eastAsia="en-NZ"/>
              </w:rPr>
              <w:t xml:space="preserve">: The Minister of Health showed leadership in developing new dietary guidelines that are drastically different from the majority of dietary guidelines created by any nation to date, and align with some of the most commonly cited recommendations for healthy eating </w:t>
            </w:r>
            <w:r w:rsidR="002921D3"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{"citationItems":[{"id":"ITEM-1","itemData":{"URL":"http://wphna.org/wp-content/uploads/2015/01/WN-2014-05-12-1050-1051-Update-Guia.pdf","author":[{"dropping-particle":"","family":"World Public Health Nutrition Association Update team","given":"","non-dropping-particle":"","parse-names":false,"suffix":""}],"id":"ITEM-1","issued":{"date-parts":[["2014"]]},"publisher":"World Nutrition","title":"Brazilian dietary guidelines. At last! Guidelines based on food and meals! ","type":"webpage"},"uris":["http://www.mendeley.com/documents/?uuid=a2a8016b-78c1-38bd-abeb-5ac4adc332cd","http://www.mendeley.com/documents/?uuid=eb5bc56c-df3b-4862-9928-5934e387bd1c"]}],"mendeley":{"formattedCitation":"(166)","plainTextFormattedCitation":"(166)","previouslyFormattedCitation":"(166)"},"properties":{"noteIndex":0},"schema":"https://github.com/citation-style-language/schema/raw/master/csl-citation.json"}</w:instrText>
            </w:r>
            <w:r w:rsidR="002921D3"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(166)</w:t>
            </w:r>
            <w:r w:rsidR="002921D3" w:rsidRPr="0091450A">
              <w:rPr>
                <w:rFonts w:eastAsia="Times New Roman" w:cs="Times New Roman"/>
                <w:szCs w:val="20"/>
                <w:lang w:eastAsia="en-NZ"/>
              </w:rPr>
              <w:fldChar w:fldCharType="end"/>
            </w:r>
            <w:r w:rsidR="002921D3" w:rsidRPr="0091450A">
              <w:rPr>
                <w:rFonts w:eastAsia="Times New Roman" w:cs="Times New Roman"/>
                <w:szCs w:val="20"/>
                <w:lang w:eastAsia="en-NZ"/>
              </w:rPr>
              <w:t>.</w:t>
            </w:r>
          </w:p>
          <w:p w14:paraId="1631FBDB" w14:textId="3A54E96A" w:rsidR="00C5347E" w:rsidRPr="0091450A" w:rsidRDefault="00706304" w:rsidP="002D613F">
            <w:pPr>
              <w:pStyle w:val="ListParagraph"/>
              <w:keepNext/>
              <w:numPr>
                <w:ilvl w:val="0"/>
                <w:numId w:val="12"/>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CARICOM</w:t>
            </w:r>
            <w:r w:rsidR="00C5347E" w:rsidRPr="0091450A">
              <w:rPr>
                <w:rFonts w:eastAsia="Times New Roman" w:cs="Times New Roman"/>
                <w:b/>
                <w:szCs w:val="20"/>
                <w:lang w:eastAsia="en-NZ"/>
              </w:rPr>
              <w:t xml:space="preserve"> Countries</w:t>
            </w:r>
            <w:r w:rsidR="00C5347E" w:rsidRPr="0091450A">
              <w:rPr>
                <w:rFonts w:eastAsia="Times New Roman" w:cs="Times New Roman"/>
                <w:szCs w:val="20"/>
                <w:lang w:eastAsia="en-NZ"/>
              </w:rPr>
              <w:t>: Active NCD commissions exist in six of the 20 CARICOM member states (Bahamas, Barbados, Bermuda, British Virgin Islands, Dominica, Grenada) which are all housed in their Ministries of Health, with members recommended by the Minister of Health and appointed by the Cabinet of Government for a fixed duration; all include government agencies and to a varying degree, civil society and the private sector.</w:t>
            </w:r>
          </w:p>
        </w:tc>
      </w:tr>
    </w:tbl>
    <w:p w14:paraId="2EE7E479" w14:textId="6F847D80" w:rsidR="00BD5651" w:rsidRPr="0091450A" w:rsidRDefault="00BD5651" w:rsidP="002D613F">
      <w:pPr>
        <w:spacing w:line="240" w:lineRule="auto"/>
        <w:rPr>
          <w:rFonts w:eastAsiaTheme="majorEastAsia" w:cstheme="majorBidi"/>
          <w:b/>
          <w:bCs/>
          <w:color w:val="1F497D" w:themeColor="text2"/>
          <w:sz w:val="28"/>
          <w:szCs w:val="26"/>
        </w:rPr>
      </w:pPr>
    </w:p>
    <w:tbl>
      <w:tblPr>
        <w:tblStyle w:val="TableGrid"/>
        <w:tblW w:w="9209" w:type="dxa"/>
        <w:tblLook w:val="04A0" w:firstRow="1" w:lastRow="0" w:firstColumn="1" w:lastColumn="0" w:noHBand="0" w:noVBand="1"/>
      </w:tblPr>
      <w:tblGrid>
        <w:gridCol w:w="9209"/>
      </w:tblGrid>
      <w:tr w:rsidR="00A7005C" w:rsidRPr="0091450A" w14:paraId="748B79DC" w14:textId="77777777" w:rsidTr="00CA16E1">
        <w:tc>
          <w:tcPr>
            <w:tcW w:w="9209" w:type="dxa"/>
          </w:tcPr>
          <w:p w14:paraId="3BCAF7A6" w14:textId="067536B1" w:rsidR="00A7005C" w:rsidRPr="0091450A" w:rsidRDefault="00A7005C"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lastRenderedPageBreak/>
              <w:t xml:space="preserve">8 LEADERSHIP: </w:t>
            </w:r>
            <w:r w:rsidRPr="0091450A">
              <w:rPr>
                <w:rFonts w:cs="Times New Roman"/>
                <w:szCs w:val="20"/>
              </w:rPr>
              <w:t>The political leadership ensures that there is strong support for the vision, planning, communication, implementation and evaluation of policies and actions to create healthy food environments, improve population nutrition, and reduce diet-related inequalities</w:t>
            </w:r>
            <w:r w:rsidR="00B84E85" w:rsidRPr="0091450A">
              <w:rPr>
                <w:rFonts w:cs="Times New Roman"/>
                <w:szCs w:val="20"/>
              </w:rPr>
              <w:t>.</w:t>
            </w:r>
          </w:p>
        </w:tc>
      </w:tr>
      <w:tr w:rsidR="00A7005C" w:rsidRPr="0091450A" w14:paraId="0FBEE71D" w14:textId="77777777" w:rsidTr="00CA16E1">
        <w:tc>
          <w:tcPr>
            <w:tcW w:w="9209" w:type="dxa"/>
          </w:tcPr>
          <w:p w14:paraId="25CEF5F8" w14:textId="66F9DB6C" w:rsidR="00A7005C" w:rsidRPr="0091450A" w:rsidRDefault="006A1285" w:rsidP="002D613F">
            <w:pPr>
              <w:shd w:val="clear" w:color="auto" w:fill="FFFFFF" w:themeFill="background1"/>
              <w:spacing w:before="40" w:after="40"/>
              <w:rPr>
                <w:rFonts w:cs="Times New Roman"/>
                <w:color w:val="000000"/>
                <w:szCs w:val="20"/>
                <w:lang w:eastAsia="en-NZ"/>
              </w:rPr>
            </w:pPr>
            <w:bookmarkStart w:id="48" w:name="_Toc31623746"/>
            <w:r w:rsidRPr="0091450A">
              <w:rPr>
                <w:rStyle w:val="Heading3Char"/>
              </w:rPr>
              <w:t>LEAD2</w:t>
            </w:r>
            <w:bookmarkEnd w:id="48"/>
            <w:r w:rsidR="00A7005C" w:rsidRPr="0091450A">
              <w:rPr>
                <w:rFonts w:cs="Times New Roman"/>
                <w:b/>
                <w:color w:val="1F497D" w:themeColor="text2"/>
                <w:sz w:val="28"/>
                <w:szCs w:val="28"/>
              </w:rPr>
              <w:t xml:space="preserve">: </w:t>
            </w:r>
            <w:r w:rsidR="00A7005C" w:rsidRPr="0091450A">
              <w:rPr>
                <w:rFonts w:cs="Times New Roman"/>
                <w:b/>
                <w:szCs w:val="20"/>
              </w:rPr>
              <w:t>Clear population intake targets have been established by the government for the nutrients of concern to meet WHO and national recommended dietary intake levels</w:t>
            </w:r>
            <w:r w:rsidR="00B84E85" w:rsidRPr="0091450A">
              <w:rPr>
                <w:rFonts w:cs="Times New Roman"/>
                <w:b/>
                <w:szCs w:val="20"/>
              </w:rPr>
              <w:t>.</w:t>
            </w:r>
          </w:p>
        </w:tc>
      </w:tr>
      <w:tr w:rsidR="00A7005C" w:rsidRPr="0091450A" w14:paraId="5E962D34" w14:textId="77777777" w:rsidTr="00CA16E1">
        <w:tc>
          <w:tcPr>
            <w:tcW w:w="9209" w:type="dxa"/>
          </w:tcPr>
          <w:p w14:paraId="14A4A76C" w14:textId="666B6DAD"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214C3F0B" w14:textId="231A52EA" w:rsidR="0095063E" w:rsidRPr="0091450A" w:rsidRDefault="0095063E" w:rsidP="002D613F">
            <w:pPr>
              <w:pStyle w:val="ListParagraph"/>
              <w:numPr>
                <w:ilvl w:val="0"/>
                <w:numId w:val="1"/>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t>There are no intake targets specified by the Ministry of Health (MoH) or the Ministry for Primary Indu</w:t>
            </w:r>
            <w:r w:rsidR="00005199" w:rsidRPr="0091450A">
              <w:rPr>
                <w:rFonts w:cs="Times New Roman"/>
                <w:szCs w:val="20"/>
                <w:lang w:eastAsia="en-NZ"/>
              </w:rPr>
              <w:t>stries (MPI) for the</w:t>
            </w:r>
            <w:r w:rsidRPr="0091450A">
              <w:rPr>
                <w:rFonts w:cs="Times New Roman"/>
                <w:szCs w:val="20"/>
                <w:lang w:eastAsia="en-NZ"/>
              </w:rPr>
              <w:t xml:space="preserve"> nutrients of concern. </w:t>
            </w:r>
          </w:p>
          <w:p w14:paraId="54B5B178" w14:textId="117DF3B9" w:rsidR="008D1899" w:rsidRDefault="00CD2610" w:rsidP="008D1899">
            <w:pPr>
              <w:pStyle w:val="ListParagraph"/>
              <w:numPr>
                <w:ilvl w:val="0"/>
                <w:numId w:val="1"/>
              </w:numPr>
              <w:shd w:val="clear" w:color="auto" w:fill="FFFFFF" w:themeFill="background1"/>
              <w:spacing w:before="40" w:after="40"/>
              <w:ind w:left="284" w:hanging="284"/>
              <w:contextualSpacing w:val="0"/>
              <w:rPr>
                <w:rFonts w:cs="Times New Roman"/>
                <w:szCs w:val="20"/>
                <w:lang w:eastAsia="en-NZ"/>
              </w:rPr>
            </w:pPr>
            <w:r w:rsidRPr="0091450A">
              <w:rPr>
                <w:rFonts w:cs="Times New Roman"/>
                <w:szCs w:val="20"/>
                <w:lang w:eastAsia="en-NZ"/>
              </w:rPr>
              <w:t xml:space="preserve">New Zealand adopted the voluntary non-communicable diseases (NCD) action plan and global monitoring framework of the World Health Organisation in May 2013, including a target to reduce population salt intake to 5 g of salt per person per day. </w:t>
            </w:r>
            <w:r w:rsidR="0016468A" w:rsidRPr="0091450A">
              <w:rPr>
                <w:rFonts w:eastAsia="MS Mincho" w:cs="Times New Roman"/>
                <w:color w:val="000000"/>
                <w:szCs w:val="20"/>
              </w:rPr>
              <w:t xml:space="preserve">The Ministry of Health is progressing actions supporting the NCD resolution. The Ministry has been reporting to the WHO </w:t>
            </w:r>
            <w:r w:rsidR="004909A6" w:rsidRPr="0091450A">
              <w:rPr>
                <w:rFonts w:eastAsia="MS Mincho" w:cs="Times New Roman"/>
                <w:color w:val="000000"/>
                <w:szCs w:val="20"/>
              </w:rPr>
              <w:t>in</w:t>
            </w:r>
            <w:r w:rsidR="0016468A" w:rsidRPr="0091450A">
              <w:rPr>
                <w:rFonts w:eastAsia="MS Mincho" w:cs="Times New Roman"/>
                <w:color w:val="000000"/>
                <w:szCs w:val="20"/>
              </w:rPr>
              <w:t xml:space="preserve"> 2016. The Ministry continue</w:t>
            </w:r>
            <w:r w:rsidR="00FC43C2">
              <w:rPr>
                <w:rFonts w:eastAsia="MS Mincho" w:cs="Times New Roman"/>
                <w:color w:val="000000"/>
                <w:szCs w:val="20"/>
              </w:rPr>
              <w:t>s</w:t>
            </w:r>
            <w:r w:rsidR="0016468A" w:rsidRPr="0091450A">
              <w:rPr>
                <w:rFonts w:eastAsia="MS Mincho" w:cs="Times New Roman"/>
                <w:color w:val="000000"/>
                <w:szCs w:val="20"/>
              </w:rPr>
              <w:t xml:space="preserve"> to work with key stakeholders and </w:t>
            </w:r>
            <w:r w:rsidR="00F67453" w:rsidRPr="0091450A">
              <w:rPr>
                <w:rFonts w:eastAsia="MS Mincho" w:cs="Times New Roman"/>
                <w:color w:val="000000"/>
                <w:szCs w:val="20"/>
              </w:rPr>
              <w:t>partners and</w:t>
            </w:r>
            <w:r w:rsidR="0016468A" w:rsidRPr="0091450A">
              <w:rPr>
                <w:rFonts w:eastAsia="MS Mincho" w:cs="Times New Roman"/>
                <w:color w:val="000000"/>
                <w:szCs w:val="20"/>
              </w:rPr>
              <w:t xml:space="preserve"> support effective strategies and actions to address th</w:t>
            </w:r>
            <w:r w:rsidR="00255302" w:rsidRPr="0091450A">
              <w:rPr>
                <w:rFonts w:eastAsia="MS Mincho" w:cs="Times New Roman"/>
                <w:color w:val="000000"/>
                <w:szCs w:val="20"/>
              </w:rPr>
              <w:t>e burden of NCDs in New Zealand</w:t>
            </w:r>
            <w:r w:rsidR="00F13BCF" w:rsidRPr="0091450A">
              <w:rPr>
                <w:rFonts w:cs="Times New Roman"/>
                <w:szCs w:val="20"/>
                <w:lang w:eastAsia="en-NZ"/>
              </w:rPr>
              <w:t xml:space="preserve"> </w:t>
            </w:r>
            <w:r w:rsidR="00B30652" w:rsidRPr="0091450A">
              <w:rPr>
                <w:rFonts w:cs="Times New Roman"/>
                <w:szCs w:val="20"/>
                <w:lang w:eastAsia="en-NZ"/>
              </w:rPr>
              <w:t>(</w:t>
            </w:r>
            <w:r w:rsidR="0016468A" w:rsidRPr="0091450A">
              <w:rPr>
                <w:rFonts w:cs="Times New Roman"/>
                <w:szCs w:val="20"/>
                <w:lang w:eastAsia="en-NZ"/>
              </w:rPr>
              <w:t>personal communication</w:t>
            </w:r>
            <w:r w:rsidR="00B42934" w:rsidRPr="0091450A">
              <w:rPr>
                <w:rFonts w:cs="Times New Roman"/>
                <w:szCs w:val="20"/>
                <w:lang w:eastAsia="en-NZ"/>
              </w:rPr>
              <w:t>,</w:t>
            </w:r>
            <w:r w:rsidR="0016468A" w:rsidRPr="0091450A">
              <w:rPr>
                <w:rFonts w:cs="Times New Roman"/>
                <w:szCs w:val="20"/>
                <w:lang w:eastAsia="en-NZ"/>
              </w:rPr>
              <w:t xml:space="preserve"> MoH</w:t>
            </w:r>
            <w:r w:rsidR="00611934" w:rsidRPr="0091450A">
              <w:rPr>
                <w:rFonts w:cs="Times New Roman"/>
                <w:szCs w:val="20"/>
                <w:lang w:eastAsia="en-NZ"/>
              </w:rPr>
              <w:t>, 2017</w:t>
            </w:r>
            <w:r w:rsidR="00B30652" w:rsidRPr="0091450A">
              <w:rPr>
                <w:rFonts w:cs="Times New Roman"/>
                <w:szCs w:val="20"/>
                <w:lang w:eastAsia="en-NZ"/>
              </w:rPr>
              <w:t>)</w:t>
            </w:r>
            <w:r w:rsidR="00F13BCF" w:rsidRPr="0091450A">
              <w:rPr>
                <w:rFonts w:cs="Times New Roman"/>
                <w:szCs w:val="20"/>
                <w:lang w:eastAsia="en-NZ"/>
              </w:rPr>
              <w:t>.</w:t>
            </w:r>
          </w:p>
          <w:p w14:paraId="311A35E1" w14:textId="26771702" w:rsidR="00275996" w:rsidRPr="008D1899" w:rsidRDefault="00114B58" w:rsidP="008D1899">
            <w:pPr>
              <w:pStyle w:val="ListParagraph"/>
              <w:numPr>
                <w:ilvl w:val="0"/>
                <w:numId w:val="1"/>
              </w:numPr>
              <w:shd w:val="clear" w:color="auto" w:fill="FFFFFF" w:themeFill="background1"/>
              <w:spacing w:before="40" w:after="40"/>
              <w:ind w:left="284" w:hanging="284"/>
              <w:contextualSpacing w:val="0"/>
              <w:rPr>
                <w:rFonts w:cs="Times New Roman"/>
                <w:szCs w:val="20"/>
                <w:lang w:eastAsia="en-NZ"/>
              </w:rPr>
            </w:pPr>
            <w:r w:rsidRPr="008D1899">
              <w:rPr>
                <w:rFonts w:cs="Times New Roman"/>
                <w:szCs w:val="20"/>
              </w:rPr>
              <w:t xml:space="preserve">The Nutrient Reference Values </w:t>
            </w:r>
            <w:r w:rsidR="00E427DE" w:rsidRPr="008D1899">
              <w:rPr>
                <w:rFonts w:cs="Times New Roman"/>
                <w:szCs w:val="20"/>
              </w:rPr>
              <w:t xml:space="preserve">(NRVs) </w:t>
            </w:r>
            <w:r w:rsidRPr="008D1899">
              <w:rPr>
                <w:rFonts w:cs="Times New Roman"/>
                <w:szCs w:val="20"/>
              </w:rPr>
              <w:t>are a set of recommendations for nutritional intake based on currently available scientific knowledge</w:t>
            </w:r>
            <w:r w:rsidR="00C31773" w:rsidRPr="008D1899">
              <w:rPr>
                <w:rFonts w:cs="Times New Roman"/>
                <w:szCs w:val="20"/>
              </w:rPr>
              <w:t xml:space="preserve"> </w:t>
            </w:r>
            <w:r w:rsidR="00C31773" w:rsidRPr="008D1899">
              <w:rPr>
                <w:rFonts w:cs="Times New Roman"/>
                <w:szCs w:val="20"/>
              </w:rPr>
              <w:fldChar w:fldCharType="begin" w:fldLock="1"/>
            </w:r>
            <w:r w:rsidR="00EC12A7">
              <w:rPr>
                <w:rFonts w:cs="Times New Roman"/>
                <w:szCs w:val="20"/>
              </w:rPr>
              <w:instrText>ADDIN CSL_CITATION {"citationItems":[{"id":"ITEM-1","itemData":{"URL":"https://www.nrv.gov.au/","author":[{"dropping-particle":"","family":"Ministry of Health","given":"","non-dropping-particle":"","parse-names":false,"suffix":""}],"container-title":"Australian Government","id":"ITEM-1","issued":{"date-parts":[["2020"]]},"title":"Nutrient Reference Values","type":"webpage"},"uris":["http://www.mendeley.com/documents/?uuid=30e55197-9628-4195-8937-fc8fbc3471fb"]}],"mendeley":{"formattedCitation":"(167)","plainTextFormattedCitation":"(167)","previouslyFormattedCitation":"(167)"},"properties":{"noteIndex":0},"schema":"https://github.com/citation-style-language/schema/raw/master/csl-citation.json"}</w:instrText>
            </w:r>
            <w:r w:rsidR="00C31773" w:rsidRPr="008D1899">
              <w:rPr>
                <w:rFonts w:cs="Times New Roman"/>
                <w:szCs w:val="20"/>
              </w:rPr>
              <w:fldChar w:fldCharType="separate"/>
            </w:r>
            <w:r w:rsidR="009C4029" w:rsidRPr="009C4029">
              <w:rPr>
                <w:rFonts w:cs="Times New Roman"/>
                <w:noProof/>
                <w:szCs w:val="20"/>
              </w:rPr>
              <w:t>(167)</w:t>
            </w:r>
            <w:r w:rsidR="00C31773" w:rsidRPr="008D1899">
              <w:rPr>
                <w:rFonts w:cs="Times New Roman"/>
                <w:szCs w:val="20"/>
              </w:rPr>
              <w:fldChar w:fldCharType="end"/>
            </w:r>
            <w:r w:rsidRPr="008D1899">
              <w:rPr>
                <w:rFonts w:cs="Times New Roman"/>
                <w:szCs w:val="20"/>
              </w:rPr>
              <w:t>.</w:t>
            </w:r>
            <w:r w:rsidR="00FD3E4A" w:rsidRPr="008D1899">
              <w:rPr>
                <w:rFonts w:cs="Times New Roman"/>
                <w:szCs w:val="20"/>
                <w:lang w:eastAsia="en-NZ"/>
              </w:rPr>
              <w:t xml:space="preserve"> </w:t>
            </w:r>
            <w:r w:rsidRPr="008D1899">
              <w:rPr>
                <w:rFonts w:cs="Times New Roman"/>
                <w:szCs w:val="20"/>
                <w:lang w:eastAsia="en-NZ"/>
              </w:rPr>
              <w:t>Acceptable daily macronutrients ranges are given with an upper limit of 10% of energy from</w:t>
            </w:r>
            <w:r w:rsidRPr="008D1899">
              <w:rPr>
                <w:rFonts w:cs="Times New Roman"/>
                <w:color w:val="000000"/>
                <w:szCs w:val="20"/>
                <w:lang w:eastAsia="en-NZ"/>
              </w:rPr>
              <w:t xml:space="preserve"> saturated and </w:t>
            </w:r>
            <w:r w:rsidRPr="008D1899">
              <w:rPr>
                <w:rFonts w:cs="Times New Roman"/>
                <w:i/>
                <w:color w:val="000000"/>
                <w:szCs w:val="20"/>
                <w:lang w:eastAsia="en-NZ"/>
              </w:rPr>
              <w:t>trans</w:t>
            </w:r>
            <w:r w:rsidRPr="008D1899">
              <w:rPr>
                <w:rFonts w:cs="Times New Roman"/>
                <w:color w:val="000000"/>
                <w:szCs w:val="20"/>
                <w:lang w:eastAsia="en-NZ"/>
              </w:rPr>
              <w:t xml:space="preserve">-fat, and upper level of intake for added sugars and </w:t>
            </w:r>
            <w:r w:rsidRPr="008D1899">
              <w:rPr>
                <w:rFonts w:cs="Times New Roman"/>
                <w:szCs w:val="20"/>
              </w:rPr>
              <w:t>an upper limit of sodium of 2000mg per day for those aged 9 years and over, 1000mg 1-3-year olds, 1400 4-8 years</w:t>
            </w:r>
            <w:r w:rsidRPr="008D1899">
              <w:rPr>
                <w:rFonts w:cs="Times New Roman"/>
                <w:color w:val="000000"/>
                <w:szCs w:val="20"/>
                <w:lang w:eastAsia="en-NZ"/>
              </w:rPr>
              <w:t>.</w:t>
            </w:r>
            <w:r w:rsidR="00FD3E4A" w:rsidRPr="008D1899">
              <w:rPr>
                <w:rFonts w:cs="Times New Roman"/>
                <w:color w:val="000000"/>
                <w:szCs w:val="20"/>
                <w:lang w:eastAsia="en-NZ"/>
              </w:rPr>
              <w:t xml:space="preserve"> </w:t>
            </w:r>
            <w:r w:rsidRPr="008D1899">
              <w:rPr>
                <w:rFonts w:cs="Times New Roman"/>
                <w:color w:val="000000"/>
                <w:szCs w:val="20"/>
                <w:lang w:eastAsia="en-NZ"/>
              </w:rPr>
              <w:t xml:space="preserve">Reviews of nutrients take a phased approach by </w:t>
            </w:r>
            <w:r w:rsidR="00FD3E4A" w:rsidRPr="008D1899">
              <w:rPr>
                <w:rFonts w:cs="Times New Roman"/>
                <w:szCs w:val="20"/>
                <w:lang w:eastAsia="en-NZ"/>
              </w:rPr>
              <w:t xml:space="preserve">the Australian Department of Health and NZ Ministry of Health overseen by a steering </w:t>
            </w:r>
            <w:r w:rsidR="00254501" w:rsidRPr="008D1899">
              <w:rPr>
                <w:rFonts w:cs="Times New Roman"/>
                <w:szCs w:val="20"/>
                <w:lang w:eastAsia="en-NZ"/>
              </w:rPr>
              <w:t xml:space="preserve">and advisory </w:t>
            </w:r>
            <w:r w:rsidR="00FD3E4A" w:rsidRPr="008D1899">
              <w:rPr>
                <w:rFonts w:cs="Times New Roman"/>
                <w:szCs w:val="20"/>
                <w:lang w:eastAsia="en-NZ"/>
              </w:rPr>
              <w:t>group. A scoping study was conducted in 2011 and a methodological framework dev</w:t>
            </w:r>
            <w:r w:rsidR="0097004D" w:rsidRPr="008D1899">
              <w:rPr>
                <w:rFonts w:cs="Times New Roman"/>
                <w:szCs w:val="20"/>
                <w:lang w:eastAsia="en-NZ"/>
              </w:rPr>
              <w:t>el</w:t>
            </w:r>
            <w:r w:rsidR="00FD3E4A" w:rsidRPr="008D1899">
              <w:rPr>
                <w:rFonts w:cs="Times New Roman"/>
                <w:szCs w:val="20"/>
                <w:lang w:eastAsia="en-NZ"/>
              </w:rPr>
              <w:t>oped</w:t>
            </w:r>
            <w:r w:rsidR="0097004D" w:rsidRPr="008D1899">
              <w:rPr>
                <w:rFonts w:cs="Times New Roman"/>
                <w:szCs w:val="20"/>
                <w:lang w:eastAsia="en-NZ"/>
              </w:rPr>
              <w:t xml:space="preserve"> with public consultation undertaken in 2015</w:t>
            </w:r>
            <w:r w:rsidR="00FD3E4A" w:rsidRPr="008D1899">
              <w:rPr>
                <w:rFonts w:cs="Times New Roman"/>
                <w:szCs w:val="20"/>
                <w:lang w:eastAsia="en-NZ"/>
              </w:rPr>
              <w:t xml:space="preserve">. </w:t>
            </w:r>
            <w:r w:rsidRPr="008D1899">
              <w:rPr>
                <w:rFonts w:cs="Times New Roman"/>
                <w:szCs w:val="20"/>
                <w:lang w:eastAsia="en-NZ"/>
              </w:rPr>
              <w:t>The review of fluoride for infants and young children is complete</w:t>
            </w:r>
            <w:r w:rsidR="002B0DB3" w:rsidRPr="008D1899">
              <w:rPr>
                <w:rFonts w:cs="Times New Roman"/>
                <w:szCs w:val="20"/>
                <w:lang w:eastAsia="en-NZ"/>
              </w:rPr>
              <w:t xml:space="preserve"> and was published in 2017</w:t>
            </w:r>
            <w:r w:rsidRPr="008D1899">
              <w:rPr>
                <w:rFonts w:cs="Times New Roman"/>
                <w:szCs w:val="20"/>
                <w:lang w:eastAsia="en-NZ"/>
              </w:rPr>
              <w:t xml:space="preserve">. The review of the sodium upper limit and </w:t>
            </w:r>
            <w:r w:rsidR="00E427DE" w:rsidRPr="008D1899">
              <w:rPr>
                <w:rFonts w:cs="Times New Roman"/>
                <w:szCs w:val="20"/>
                <w:lang w:eastAsia="en-NZ"/>
              </w:rPr>
              <w:t xml:space="preserve">suggested dietary target for adults was published in September 2017. </w:t>
            </w:r>
            <w:r w:rsidR="00EF7856" w:rsidRPr="008D1899">
              <w:rPr>
                <w:rFonts w:cs="Times New Roman"/>
                <w:szCs w:val="20"/>
                <w:lang w:eastAsia="en-NZ"/>
              </w:rPr>
              <w:t>Th</w:t>
            </w:r>
            <w:r w:rsidR="00E427DE" w:rsidRPr="008D1899">
              <w:rPr>
                <w:rFonts w:cs="Times New Roman"/>
                <w:szCs w:val="20"/>
                <w:lang w:eastAsia="en-NZ"/>
              </w:rPr>
              <w:t xml:space="preserve">e remaining fluoride and sodium and all iodine NRVs </w:t>
            </w:r>
            <w:r w:rsidR="00FC43C2">
              <w:rPr>
                <w:rFonts w:cs="Times New Roman"/>
                <w:szCs w:val="20"/>
                <w:lang w:eastAsia="en-NZ"/>
              </w:rPr>
              <w:t>will be</w:t>
            </w:r>
            <w:r w:rsidR="00EF7856" w:rsidRPr="008D1899">
              <w:rPr>
                <w:rFonts w:cs="Times New Roman"/>
                <w:szCs w:val="20"/>
                <w:lang w:eastAsia="en-NZ"/>
              </w:rPr>
              <w:t xml:space="preserve"> reviewed o</w:t>
            </w:r>
            <w:r w:rsidR="00E9423B" w:rsidRPr="008D1899">
              <w:rPr>
                <w:rFonts w:cs="Times New Roman"/>
                <w:szCs w:val="20"/>
                <w:lang w:eastAsia="en-NZ"/>
              </w:rPr>
              <w:t>ver three years</w:t>
            </w:r>
            <w:r w:rsidR="00275996" w:rsidRPr="008D1899">
              <w:rPr>
                <w:rFonts w:cs="Times New Roman"/>
                <w:szCs w:val="20"/>
                <w:lang w:eastAsia="en-NZ"/>
              </w:rPr>
              <w:t xml:space="preserve"> </w:t>
            </w:r>
            <w:r w:rsidR="00EF7856" w:rsidRPr="008D1899">
              <w:rPr>
                <w:rFonts w:cs="Times New Roman"/>
                <w:szCs w:val="20"/>
                <w:lang w:eastAsia="en-NZ"/>
              </w:rPr>
              <w:t xml:space="preserve">beginning in 2018 </w:t>
            </w:r>
            <w:r w:rsidR="00D034E5" w:rsidRPr="008D1899">
              <w:rPr>
                <w:rFonts w:cs="Times New Roman"/>
                <w:szCs w:val="20"/>
                <w:lang w:eastAsia="en-NZ"/>
              </w:rPr>
              <w:fldChar w:fldCharType="begin" w:fldLock="1"/>
            </w:r>
            <w:r w:rsidR="00EC12A7">
              <w:rPr>
                <w:rFonts w:cs="Times New Roman"/>
                <w:szCs w:val="20"/>
                <w:lang w:eastAsia="en-NZ"/>
              </w:rPr>
              <w:instrText>ADDIN CSL_CITATION {"citationItems":[{"id":"ITEM-1","itemData":{"URL":"http://www.health.gov.au/internet/main/publishing.nsf/Content/nutrient-ref-values","author":[{"dropping-particle":"","family":"Australian Government Department of Health","given":"","non-dropping-particle":"","parse-names":false,"suffix":""}],"id":"ITEM-1","issue":"8/12/2016","issued":{"date-parts":[["2015"]]},"title":"Nutrient Reference Values","type":"webpage"},"uris":["http://www.mendeley.com/documents/?uuid=1b553426-7f50-3f1a-9f89-363fbd6928ac"]}],"mendeley":{"formattedCitation":"(168)","plainTextFormattedCitation":"(168)","previouslyFormattedCitation":"(168)"},"properties":{"noteIndex":0},"schema":"https://github.com/citation-style-language/schema/raw/master/csl-citation.json"}</w:instrText>
            </w:r>
            <w:r w:rsidR="00D034E5" w:rsidRPr="008D1899">
              <w:rPr>
                <w:rFonts w:cs="Times New Roman"/>
                <w:szCs w:val="20"/>
                <w:lang w:eastAsia="en-NZ"/>
              </w:rPr>
              <w:fldChar w:fldCharType="separate"/>
            </w:r>
            <w:r w:rsidR="009C4029" w:rsidRPr="009C4029">
              <w:rPr>
                <w:rFonts w:cs="Times New Roman"/>
                <w:noProof/>
                <w:szCs w:val="20"/>
                <w:lang w:eastAsia="en-NZ"/>
              </w:rPr>
              <w:t>(168)</w:t>
            </w:r>
            <w:r w:rsidR="00D034E5" w:rsidRPr="008D1899">
              <w:rPr>
                <w:rFonts w:cs="Times New Roman"/>
                <w:szCs w:val="20"/>
                <w:lang w:eastAsia="en-NZ"/>
              </w:rPr>
              <w:fldChar w:fldCharType="end"/>
            </w:r>
            <w:r w:rsidR="00E427DE" w:rsidRPr="008D1899">
              <w:rPr>
                <w:rFonts w:cs="Times New Roman"/>
                <w:szCs w:val="20"/>
                <w:lang w:eastAsia="en-NZ"/>
              </w:rPr>
              <w:t>.</w:t>
            </w:r>
          </w:p>
          <w:p w14:paraId="20C7E38E" w14:textId="77777777" w:rsidR="00275996" w:rsidRPr="00275996" w:rsidRDefault="00275996" w:rsidP="00275996"/>
          <w:p w14:paraId="425B7C9C" w14:textId="77777777" w:rsidR="00C04080" w:rsidRPr="00275996" w:rsidRDefault="00C04080" w:rsidP="00275996">
            <w:pPr>
              <w:shd w:val="clear" w:color="auto" w:fill="FFFFFF" w:themeFill="background1"/>
              <w:spacing w:before="40" w:after="40"/>
              <w:rPr>
                <w:b/>
                <w:color w:val="1F497D"/>
                <w:sz w:val="28"/>
                <w:szCs w:val="28"/>
              </w:rPr>
            </w:pPr>
            <w:r w:rsidRPr="00275996">
              <w:rPr>
                <w:b/>
                <w:color w:val="1F497D"/>
                <w:sz w:val="28"/>
                <w:szCs w:val="28"/>
              </w:rPr>
              <w:t xml:space="preserve">International best practice </w:t>
            </w:r>
            <w:r w:rsidR="00AE20D3" w:rsidRPr="00275996">
              <w:rPr>
                <w:b/>
                <w:color w:val="1F497D"/>
                <w:sz w:val="28"/>
                <w:szCs w:val="28"/>
              </w:rPr>
              <w:t>examples</w:t>
            </w:r>
            <w:r w:rsidRPr="00275996">
              <w:rPr>
                <w:b/>
                <w:color w:val="1F497D"/>
                <w:sz w:val="28"/>
                <w:szCs w:val="28"/>
              </w:rPr>
              <w:t xml:space="preserve"> (benchmarks)</w:t>
            </w:r>
          </w:p>
          <w:p w14:paraId="3195BDF0" w14:textId="615ED7DA" w:rsidR="00C5347E" w:rsidRPr="0091450A" w:rsidRDefault="00C5347E" w:rsidP="002D613F">
            <w:pPr>
              <w:pStyle w:val="ListParagraph"/>
              <w:keepNext/>
              <w:numPr>
                <w:ilvl w:val="0"/>
                <w:numId w:val="69"/>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Brazil</w:t>
            </w:r>
            <w:r w:rsidR="000E462E" w:rsidRPr="0091450A">
              <w:rPr>
                <w:rFonts w:eastAsia="Times New Roman" w:cs="Times New Roman"/>
                <w:szCs w:val="20"/>
                <w:lang w:eastAsia="en-NZ"/>
              </w:rPr>
              <w:t xml:space="preserve">: The </w:t>
            </w:r>
            <w:r w:rsidRPr="0091450A">
              <w:rPr>
                <w:rFonts w:eastAsia="Times New Roman" w:cs="Times New Roman"/>
                <w:szCs w:val="20"/>
                <w:lang w:eastAsia="en-NZ"/>
              </w:rPr>
              <w:t>Strategic Action Plan for Confronting NCDs in Brazil, 2011-2022 specifies a target of increasing adequate consumption of fruits and vegetables, from 18.2% to 24.3 % between 2010 and 2022 and reduction of the average salt intake of 12 g to 5 g, between 2010 and 2022</w:t>
            </w:r>
            <w:r w:rsidR="00E8311C" w:rsidRPr="0091450A">
              <w:rPr>
                <w:rFonts w:eastAsia="Times New Roman" w:cs="Times New Roman"/>
                <w:szCs w:val="20"/>
                <w:lang w:eastAsia="en-NZ"/>
              </w:rPr>
              <w:t xml:space="preserve"> </w:t>
            </w:r>
            <w:r w:rsidR="002E0186"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{"citationItems":[{"id":"ITEM-1","itemData":{"author":[{"dropping-particle":"","family":"Ministry of Health Brazil","given":"","non-dropping-particle":"","parse-names":false,"suffix":""}],"id":"ITEM-1","issued":{"date-parts":[["2011"]]},"publisher":"Ministry of Health","publisher-place":"Brazil","title":"Health Surveillance Secretariat: Health situation analysis department. Strategic action plan to tackle noncommunicable diseases in Brazil 2011-2022","type":"report"},"uris":["http://www.mendeley.com/documents/?uuid=d78859af-6e0c-3aa1-bf62-382e982d9eaf","http://www.mendeley.com/documents/?uuid=ca8da348-a353-4f2b-b0e5-d2482b22c630"]}],"mendeley":{"formattedCitation":"(169)","plainTextFormattedCitation":"(169)","previouslyFormattedCitation":"(169)"},"properties":{"noteIndex":0},"schema":"https://github.com/citation-style-language/schema/raw/master/csl-citation.json"}</w:instrText>
            </w:r>
            <w:r w:rsidR="002E0186"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(169)</w:t>
            </w:r>
            <w:r w:rsidR="002E0186" w:rsidRPr="0091450A">
              <w:rPr>
                <w:rFonts w:eastAsia="Times New Roman" w:cs="Times New Roman"/>
                <w:szCs w:val="20"/>
                <w:lang w:eastAsia="en-NZ"/>
              </w:rPr>
              <w:fldChar w:fldCharType="end"/>
            </w:r>
            <w:r w:rsidR="002E0186" w:rsidRPr="0091450A">
              <w:rPr>
                <w:rFonts w:eastAsia="Times New Roman" w:cs="Times New Roman"/>
                <w:szCs w:val="20"/>
                <w:lang w:eastAsia="en-NZ"/>
              </w:rPr>
              <w:t>.</w:t>
            </w:r>
          </w:p>
          <w:p w14:paraId="46837803" w14:textId="1C6A7562" w:rsidR="00C5347E" w:rsidRPr="0091450A" w:rsidRDefault="00C5347E" w:rsidP="002D613F">
            <w:pPr>
              <w:pStyle w:val="ListParagraph"/>
              <w:keepNext/>
              <w:numPr>
                <w:ilvl w:val="0"/>
                <w:numId w:val="69"/>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South Africa</w:t>
            </w:r>
            <w:r w:rsidRPr="0091450A">
              <w:rPr>
                <w:rFonts w:eastAsia="Times New Roman" w:cs="Times New Roman"/>
                <w:szCs w:val="20"/>
                <w:lang w:eastAsia="en-NZ"/>
              </w:rPr>
              <w:t xml:space="preserve">: The South African plan for the prevention and control of non-communicable diseases includes a target on reducing mean population intake of salt to &lt;5 grams per day by 2020 </w:t>
            </w:r>
            <w:r w:rsidR="002E0186"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{"citationItems":[{"id":"ITEM-1","itemData":{"URL":"http://www.hsrc.ac.za/uploads/pageContent/3893/NCDs STRAT PLAN  CONTENT 8 april proof.pdf","author":[{"dropping-particle":"","family":"Ministry of Health South Africa","given":"","non-dropping-particle":"","parse-names":false,"suffix":""}],"id":"ITEM-1","issue":"22/02/2016","issued":{"date-parts":[["2013"]]},"title":"Strategic Plan for the Prevention and Control of Non-Communicable Diseases 2013-17","type":"webpage"},"uris":["http://www.mendeley.com/documents/?uuid=73ebfdd0-5a40-3b31-b6d4-e1769990d3fa","http://www.mendeley.com/documents/?uuid=0c804f38-22f4-45dc-a856-3ac6f38b45be"]}],"mendeley":{"formattedCitation":"(170)","plainTextFormattedCitation":"(170)","previouslyFormattedCitation":"(170)"},"properties":{"noteIndex":0},"schema":"https://github.com/citation-style-language/schema/raw/master/csl-citation.json"}</w:instrText>
            </w:r>
            <w:r w:rsidR="002E0186"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(170)</w:t>
            </w:r>
            <w:r w:rsidR="002E0186" w:rsidRPr="0091450A">
              <w:rPr>
                <w:rFonts w:eastAsia="Times New Roman" w:cs="Times New Roman"/>
                <w:szCs w:val="20"/>
                <w:lang w:eastAsia="en-NZ"/>
              </w:rPr>
              <w:fldChar w:fldCharType="end"/>
            </w:r>
            <w:r w:rsidR="002E0186" w:rsidRPr="0091450A">
              <w:rPr>
                <w:rFonts w:eastAsia="Times New Roman" w:cs="Times New Roman"/>
                <w:szCs w:val="20"/>
                <w:lang w:eastAsia="en-NZ"/>
              </w:rPr>
              <w:t>.</w:t>
            </w:r>
          </w:p>
          <w:p w14:paraId="4ADB6A9F" w14:textId="350C8B49" w:rsidR="00C5347E" w:rsidRPr="0091450A" w:rsidRDefault="00C5347E" w:rsidP="002D613F">
            <w:pPr>
              <w:pStyle w:val="ListParagraph"/>
              <w:keepNext/>
              <w:numPr>
                <w:ilvl w:val="0"/>
                <w:numId w:val="69"/>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UK</w:t>
            </w:r>
            <w:r w:rsidRPr="0091450A">
              <w:rPr>
                <w:rFonts w:eastAsia="Times New Roman" w:cs="Times New Roman"/>
                <w:szCs w:val="20"/>
                <w:lang w:eastAsia="en-NZ"/>
              </w:rPr>
              <w:t xml:space="preserve">: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 </w:t>
            </w:r>
            <w:r w:rsidR="002E0186"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{"citationItems":[{"id":"ITEM-1","itemData":{"author":[{"dropping-particle":"","family":"Public Health England","given":"","non-dropping-particle":"","parse-names":false,"suffix":""}],"id":"ITEM-1","issued":{"date-parts":[["2015"]]},"publisher":"Public Health England","publisher-place":"London","title":"Sugar reduction: From evidence to action","type":"report"},"uris":["http://www.mendeley.com/documents/?uuid=4d0362ee-a57b-3d80-aa3e-fb7753c3246c","http://www.mendeley.com/documents/?uuid=6a29d11a-4f21-4b34-ba22-1b8b788a92b0"]}],"mendeley":{"formattedCitation":"(171)","plainTextFormattedCitation":"(171)","previouslyFormattedCitation":"(171)"},"properties":{"noteIndex":0},"schema":"https://github.com/citation-style-language/schema/raw/master/csl-citation.json"}</w:instrText>
            </w:r>
            <w:r w:rsidR="002E0186"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(171)</w:t>
            </w:r>
            <w:r w:rsidR="002E0186" w:rsidRPr="0091450A">
              <w:rPr>
                <w:rFonts w:eastAsia="Times New Roman" w:cs="Times New Roman"/>
                <w:szCs w:val="20"/>
                <w:lang w:eastAsia="en-NZ"/>
              </w:rPr>
              <w:fldChar w:fldCharType="end"/>
            </w:r>
            <w:r w:rsidR="002E0186" w:rsidRPr="0091450A">
              <w:rPr>
                <w:rFonts w:eastAsia="Times New Roman" w:cs="Times New Roman"/>
                <w:szCs w:val="20"/>
                <w:lang w:eastAsia="en-NZ"/>
              </w:rPr>
              <w:t>.</w:t>
            </w:r>
          </w:p>
        </w:tc>
      </w:tr>
    </w:tbl>
    <w:p w14:paraId="5F7ED4AF" w14:textId="7D6D09A7" w:rsidR="00BD5651" w:rsidRPr="0091450A" w:rsidRDefault="00BD5651" w:rsidP="002D613F">
      <w:pPr>
        <w:spacing w:line="240" w:lineRule="auto"/>
        <w:rPr>
          <w:rFonts w:eastAsiaTheme="majorEastAsia" w:cstheme="majorBidi"/>
          <w:b/>
          <w:bCs/>
          <w:color w:val="1F497D" w:themeColor="text2"/>
          <w:sz w:val="28"/>
          <w:szCs w:val="26"/>
        </w:rPr>
      </w:pPr>
    </w:p>
    <w:tbl>
      <w:tblPr>
        <w:tblStyle w:val="TableGrid"/>
        <w:tblW w:w="9209" w:type="dxa"/>
        <w:tblLook w:val="04A0" w:firstRow="1" w:lastRow="0" w:firstColumn="1" w:lastColumn="0" w:noHBand="0" w:noVBand="1"/>
      </w:tblPr>
      <w:tblGrid>
        <w:gridCol w:w="9209"/>
      </w:tblGrid>
      <w:tr w:rsidR="00A7005C" w:rsidRPr="0091450A" w14:paraId="0EB0731F" w14:textId="77777777" w:rsidTr="00CA16E1">
        <w:tc>
          <w:tcPr>
            <w:tcW w:w="9209" w:type="dxa"/>
          </w:tcPr>
          <w:p w14:paraId="37FD624A" w14:textId="2DC0563F" w:rsidR="00A7005C" w:rsidRPr="0091450A" w:rsidRDefault="00A7005C"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8 LEADERSHIP: </w:t>
            </w:r>
            <w:r w:rsidRPr="0091450A">
              <w:rPr>
                <w:rFonts w:cs="Times New Roman"/>
                <w:szCs w:val="20"/>
              </w:rPr>
              <w:t>The political leadership ensures that there is strong support for the vision, planning, communication, implementation and evaluation of policies and actions to create healthy food environments, improve population nutrition, and reduce diet-related inequalities</w:t>
            </w:r>
            <w:r w:rsidR="00B84E85" w:rsidRPr="0091450A">
              <w:rPr>
                <w:rFonts w:cs="Times New Roman"/>
                <w:szCs w:val="20"/>
              </w:rPr>
              <w:t>.</w:t>
            </w:r>
          </w:p>
        </w:tc>
      </w:tr>
      <w:tr w:rsidR="00A7005C" w:rsidRPr="0091450A" w14:paraId="213EC192" w14:textId="77777777" w:rsidTr="00CA16E1">
        <w:tc>
          <w:tcPr>
            <w:tcW w:w="9209" w:type="dxa"/>
          </w:tcPr>
          <w:p w14:paraId="223D359E" w14:textId="3C8B7168" w:rsidR="00A7005C" w:rsidRPr="0091450A" w:rsidRDefault="006A1285" w:rsidP="002D613F">
            <w:pPr>
              <w:shd w:val="clear" w:color="auto" w:fill="FFFFFF" w:themeFill="background1"/>
              <w:spacing w:before="40" w:after="40"/>
              <w:rPr>
                <w:rFonts w:cs="Times New Roman"/>
                <w:color w:val="000000"/>
                <w:szCs w:val="20"/>
                <w:lang w:eastAsia="en-NZ"/>
              </w:rPr>
            </w:pPr>
            <w:bookmarkStart w:id="49" w:name="_Toc31623747"/>
            <w:r w:rsidRPr="0091450A">
              <w:rPr>
                <w:rStyle w:val="Heading3Char"/>
              </w:rPr>
              <w:t>LEAD3</w:t>
            </w:r>
            <w:bookmarkEnd w:id="49"/>
            <w:r w:rsidR="00A7005C" w:rsidRPr="0091450A">
              <w:rPr>
                <w:rFonts w:cs="Times New Roman"/>
                <w:b/>
                <w:color w:val="1F497D" w:themeColor="text2"/>
                <w:sz w:val="28"/>
                <w:szCs w:val="28"/>
              </w:rPr>
              <w:t xml:space="preserve">: </w:t>
            </w:r>
            <w:r w:rsidR="00A7005C" w:rsidRPr="0091450A">
              <w:rPr>
                <w:rFonts w:cs="Times New Roman"/>
                <w:b/>
                <w:szCs w:val="20"/>
              </w:rPr>
              <w:t>Clear, interpretive, evidence-informed food-based dietary guidelines have been established and implemented</w:t>
            </w:r>
            <w:r w:rsidR="00B84E85" w:rsidRPr="0091450A">
              <w:rPr>
                <w:rFonts w:cs="Times New Roman"/>
                <w:b/>
                <w:szCs w:val="20"/>
              </w:rPr>
              <w:t>.</w:t>
            </w:r>
          </w:p>
        </w:tc>
      </w:tr>
      <w:tr w:rsidR="00A7005C" w:rsidRPr="0091450A" w14:paraId="169F3C27" w14:textId="77777777" w:rsidTr="00CA16E1">
        <w:tc>
          <w:tcPr>
            <w:tcW w:w="9209" w:type="dxa"/>
          </w:tcPr>
          <w:p w14:paraId="0BB79EA6" w14:textId="5CF1F9D1"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36196ED" w14:textId="5B4E116C" w:rsidR="00870834" w:rsidRPr="0091450A" w:rsidRDefault="00C55280" w:rsidP="002D613F">
            <w:pPr>
              <w:pStyle w:val="ListParagraph"/>
              <w:numPr>
                <w:ilvl w:val="0"/>
                <w:numId w:val="1"/>
              </w:numPr>
              <w:shd w:val="clear" w:color="auto" w:fill="FFFFFF" w:themeFill="background1"/>
              <w:spacing w:before="40" w:after="40"/>
              <w:ind w:left="284" w:hanging="284"/>
              <w:contextualSpacing w:val="0"/>
              <w:rPr>
                <w:rFonts w:cs="Times New Roman"/>
                <w:szCs w:val="20"/>
                <w:lang w:eastAsia="en-NZ"/>
              </w:rPr>
            </w:pPr>
            <w:r w:rsidRPr="008D1899">
              <w:rPr>
                <w:rFonts w:cs="Times New Roman"/>
                <w:szCs w:val="20"/>
              </w:rPr>
              <w:t>The 2015 Eating and</w:t>
            </w:r>
            <w:r w:rsidRPr="0091450A">
              <w:rPr>
                <w:rFonts w:cs="Times New Roman"/>
                <w:szCs w:val="20"/>
              </w:rPr>
              <w:t xml:space="preserve"> Activity Guidelines </w:t>
            </w:r>
            <w:r w:rsidR="00870834" w:rsidRPr="0091450A">
              <w:rPr>
                <w:rFonts w:cs="Times New Roman"/>
                <w:szCs w:val="20"/>
              </w:rPr>
              <w:t>for adults</w:t>
            </w:r>
            <w:r w:rsidR="003C0DA1" w:rsidRPr="0091450A">
              <w:rPr>
                <w:rFonts w:cs="Times New Roman"/>
                <w:szCs w:val="20"/>
              </w:rPr>
              <w:t xml:space="preserve"> </w:t>
            </w:r>
            <w:r w:rsidR="006A2D6E" w:rsidRPr="0091450A">
              <w:rPr>
                <w:rFonts w:cs="Times New Roman"/>
                <w:szCs w:val="20"/>
              </w:rPr>
              <w:fldChar w:fldCharType="begin" w:fldLock="1"/>
            </w:r>
            <w:r w:rsidR="00EC12A7">
              <w:rPr>
                <w:rFonts w:cs="Times New Roman"/>
                <w:szCs w:val="20"/>
              </w:rPr>
              <w:instrText>ADDIN CSL_CITATION {"citationItems":[{"id":"ITEM-1","itemData":{"URL":"http://www.health.govt.nz/our-work/eating-and-activity-guidelines","author":[{"dropping-particle":"","family":"Ministry of Health","given":"","non-dropping-particle":"","parse-names":false,"suffix":""}],"id":"ITEM-1","issue":"16/12/2017","issued":{"date-parts":[["2015"]]},"publisher":"Ministry of Health","publisher-place":"Wellington","title":"Eating and Activity Guidelines","type":"webpage"},"uris":["http://www.mendeley.com/documents/?uuid=9613d578-fc04-4927-abdd-d61b7ef7285d","http://www.mendeley.com/documents/?uuid=84a91dcc-5af2-3189-89a4-d93284e3f5a6"]}],"mendeley":{"formattedCitation":"(172)","plainTextFormattedCitation":"(172)","previouslyFormattedCitation":"(172)"},"properties":{"noteIndex":0},"schema":"https://github.com/citation-style-language/schema/raw/master/csl-citation.json"}</w:instrText>
            </w:r>
            <w:r w:rsidR="006A2D6E" w:rsidRPr="0091450A">
              <w:rPr>
                <w:rFonts w:cs="Times New Roman"/>
                <w:szCs w:val="20"/>
              </w:rPr>
              <w:fldChar w:fldCharType="separate"/>
            </w:r>
            <w:r w:rsidR="009C4029" w:rsidRPr="009C4029">
              <w:rPr>
                <w:rFonts w:cs="Times New Roman"/>
                <w:noProof/>
                <w:szCs w:val="20"/>
              </w:rPr>
              <w:t>(172)</w:t>
            </w:r>
            <w:r w:rsidR="006A2D6E" w:rsidRPr="0091450A">
              <w:rPr>
                <w:rFonts w:cs="Times New Roman"/>
                <w:szCs w:val="20"/>
              </w:rPr>
              <w:fldChar w:fldCharType="end"/>
            </w:r>
            <w:r w:rsidR="00870834" w:rsidRPr="0091450A">
              <w:rPr>
                <w:rFonts w:cs="Times New Roman"/>
                <w:szCs w:val="20"/>
              </w:rPr>
              <w:t xml:space="preserve"> </w:t>
            </w:r>
            <w:r w:rsidRPr="0091450A">
              <w:rPr>
                <w:rFonts w:cs="Times New Roman"/>
                <w:szCs w:val="20"/>
              </w:rPr>
              <w:t>is the first</w:t>
            </w:r>
            <w:r w:rsidR="00662C2E" w:rsidRPr="0091450A">
              <w:rPr>
                <w:rFonts w:cs="Times New Roman"/>
                <w:szCs w:val="20"/>
              </w:rPr>
              <w:t xml:space="preserve"> publication using </w:t>
            </w:r>
            <w:r w:rsidRPr="0091450A">
              <w:rPr>
                <w:rFonts w:cs="Times New Roman"/>
                <w:szCs w:val="20"/>
              </w:rPr>
              <w:t xml:space="preserve">a new </w:t>
            </w:r>
            <w:r w:rsidR="00662C2E" w:rsidRPr="0091450A">
              <w:rPr>
                <w:rFonts w:cs="Times New Roman"/>
                <w:szCs w:val="20"/>
              </w:rPr>
              <w:t>model</w:t>
            </w:r>
            <w:r w:rsidRPr="0091450A">
              <w:rPr>
                <w:rFonts w:cs="Times New Roman"/>
                <w:szCs w:val="20"/>
              </w:rPr>
              <w:t xml:space="preserve"> to provide comprehensive advice on nutrition, physical activity and obesity prevention. </w:t>
            </w:r>
            <w:r w:rsidR="00751621" w:rsidRPr="0091450A">
              <w:rPr>
                <w:rFonts w:cs="Times New Roman"/>
                <w:szCs w:val="20"/>
              </w:rPr>
              <w:t xml:space="preserve">There is a </w:t>
            </w:r>
            <w:r w:rsidR="00662C2E" w:rsidRPr="0091450A">
              <w:rPr>
                <w:rFonts w:cs="Times New Roman"/>
                <w:szCs w:val="20"/>
              </w:rPr>
              <w:t xml:space="preserve">central guidelines document with eating and activity advice for all population groups accompanied by issues-based papers with in-depth </w:t>
            </w:r>
            <w:r w:rsidR="004909A6" w:rsidRPr="0091450A">
              <w:rPr>
                <w:rFonts w:cs="Times New Roman"/>
                <w:szCs w:val="20"/>
              </w:rPr>
              <w:t>information</w:t>
            </w:r>
            <w:r w:rsidR="00662C2E" w:rsidRPr="0091450A">
              <w:rPr>
                <w:rFonts w:cs="Times New Roman"/>
                <w:szCs w:val="20"/>
              </w:rPr>
              <w:t xml:space="preserve"> links to evidence and health education resources for the </w:t>
            </w:r>
            <w:r w:rsidR="00D247F2" w:rsidRPr="0091450A">
              <w:rPr>
                <w:rFonts w:cs="Times New Roman"/>
                <w:szCs w:val="20"/>
              </w:rPr>
              <w:t>public.</w:t>
            </w:r>
            <w:r w:rsidR="00662C2E" w:rsidRPr="0091450A">
              <w:rPr>
                <w:rFonts w:cs="Times New Roman"/>
                <w:szCs w:val="20"/>
              </w:rPr>
              <w:t xml:space="preserve"> </w:t>
            </w:r>
            <w:r w:rsidR="00870834" w:rsidRPr="0091450A">
              <w:rPr>
                <w:rFonts w:cs="Times New Roman"/>
                <w:szCs w:val="20"/>
              </w:rPr>
              <w:t>The publication</w:t>
            </w:r>
            <w:r w:rsidR="00870834" w:rsidRPr="0091450A">
              <w:rPr>
                <w:rFonts w:cs="Times New Roman"/>
                <w:szCs w:val="20"/>
                <w:lang w:eastAsia="en-NZ"/>
              </w:rPr>
              <w:t xml:space="preserve"> recommends decreasing sodium intake but do</w:t>
            </w:r>
            <w:r w:rsidR="0028119B">
              <w:rPr>
                <w:rFonts w:cs="Times New Roman"/>
                <w:szCs w:val="20"/>
                <w:lang w:eastAsia="en-NZ"/>
              </w:rPr>
              <w:t>es</w:t>
            </w:r>
            <w:r w:rsidR="00870834" w:rsidRPr="0091450A">
              <w:rPr>
                <w:rFonts w:cs="Times New Roman"/>
                <w:szCs w:val="20"/>
                <w:lang w:eastAsia="en-NZ"/>
              </w:rPr>
              <w:t xml:space="preserve"> not have a target level. The guidelines recommend decreasing free sugar intake, while there is no target for free sugars, the WHO recommendation of &lt;10% of total energy from free sugars and preferably &lt;5% is in the section on choosing </w:t>
            </w:r>
            <w:r w:rsidR="00870834" w:rsidRPr="0091450A">
              <w:rPr>
                <w:rFonts w:cs="Times New Roman"/>
                <w:szCs w:val="20"/>
                <w:lang w:eastAsia="en-NZ"/>
              </w:rPr>
              <w:lastRenderedPageBreak/>
              <w:t xml:space="preserve">foods with little or no added sugar. The recommended intake for saturated fat and </w:t>
            </w:r>
            <w:r w:rsidR="00870834" w:rsidRPr="0091450A">
              <w:rPr>
                <w:rFonts w:cs="Times New Roman"/>
                <w:i/>
                <w:szCs w:val="20"/>
                <w:lang w:eastAsia="en-NZ"/>
              </w:rPr>
              <w:t>trans</w:t>
            </w:r>
            <w:r w:rsidR="00870834" w:rsidRPr="0091450A">
              <w:rPr>
                <w:rFonts w:cs="Times New Roman"/>
                <w:szCs w:val="20"/>
                <w:lang w:eastAsia="en-NZ"/>
              </w:rPr>
              <w:t xml:space="preserve"> fats combined is &lt;10% energy.</w:t>
            </w:r>
            <w:r w:rsidR="00611934" w:rsidRPr="0091450A">
              <w:rPr>
                <w:rFonts w:cs="Times New Roman"/>
                <w:szCs w:val="20"/>
              </w:rPr>
              <w:t xml:space="preserve"> </w:t>
            </w:r>
          </w:p>
          <w:p w14:paraId="098229B6" w14:textId="68CD471C" w:rsidR="00751621" w:rsidRPr="00FC43C2" w:rsidRDefault="00751621" w:rsidP="002D613F">
            <w:pPr>
              <w:pStyle w:val="ListParagraph"/>
              <w:numPr>
                <w:ilvl w:val="0"/>
                <w:numId w:val="1"/>
              </w:numPr>
              <w:shd w:val="clear" w:color="auto" w:fill="FFFFFF" w:themeFill="background1"/>
              <w:spacing w:before="40" w:after="40"/>
              <w:ind w:left="284" w:hanging="284"/>
              <w:contextualSpacing w:val="0"/>
              <w:rPr>
                <w:rFonts w:cs="Times New Roman"/>
                <w:szCs w:val="20"/>
                <w:lang w:eastAsia="en-NZ"/>
              </w:rPr>
            </w:pPr>
            <w:r w:rsidRPr="00FC43C2">
              <w:rPr>
                <w:rFonts w:cs="Times New Roman"/>
                <w:szCs w:val="20"/>
              </w:rPr>
              <w:t>Future editions will include key advice for other ages and pregnant and breastfeeding women, and in-depth information on topical issues. The guidelines for pregnant and breastfeeding women, infants and toddlers w</w:t>
            </w:r>
            <w:r w:rsidR="00DB557F" w:rsidRPr="00FC43C2">
              <w:rPr>
                <w:rFonts w:cs="Times New Roman"/>
                <w:szCs w:val="20"/>
              </w:rPr>
              <w:t>ere</w:t>
            </w:r>
            <w:r w:rsidRPr="00FC43C2">
              <w:rPr>
                <w:rFonts w:cs="Times New Roman"/>
                <w:szCs w:val="20"/>
              </w:rPr>
              <w:t xml:space="preserve"> reviewed in 2019 overseen by a Technical Advisory Group. The guidelines will be released in 2020 (personal communication, University of Auckland, 2020).</w:t>
            </w:r>
          </w:p>
          <w:p w14:paraId="5C5802EE" w14:textId="6DF825BA" w:rsidR="003C0DA1" w:rsidRPr="00FC43C2" w:rsidRDefault="003C0DA1" w:rsidP="002D613F">
            <w:pPr>
              <w:pStyle w:val="ListParagraph"/>
              <w:numPr>
                <w:ilvl w:val="0"/>
                <w:numId w:val="1"/>
              </w:numPr>
              <w:shd w:val="clear" w:color="auto" w:fill="FFFFFF" w:themeFill="background1"/>
              <w:spacing w:before="40" w:after="40"/>
              <w:ind w:left="284" w:hanging="284"/>
              <w:contextualSpacing w:val="0"/>
              <w:rPr>
                <w:rFonts w:cs="Times New Roman"/>
                <w:szCs w:val="20"/>
              </w:rPr>
            </w:pPr>
            <w:r w:rsidRPr="00FC43C2">
              <w:rPr>
                <w:rFonts w:cs="Times New Roman"/>
                <w:szCs w:val="20"/>
              </w:rPr>
              <w:t xml:space="preserve">The contracts with the Ministry of Health include a clause that all messages </w:t>
            </w:r>
            <w:r w:rsidR="00373D47" w:rsidRPr="00FC43C2">
              <w:rPr>
                <w:rFonts w:cs="Times New Roman"/>
                <w:szCs w:val="20"/>
              </w:rPr>
              <w:t>must</w:t>
            </w:r>
            <w:r w:rsidRPr="00FC43C2">
              <w:rPr>
                <w:rFonts w:cs="Times New Roman"/>
                <w:szCs w:val="20"/>
              </w:rPr>
              <w:t xml:space="preserve"> be in line with the food and nutrition guidelines of the MoH current (personal communication</w:t>
            </w:r>
            <w:r w:rsidR="00255302" w:rsidRPr="00FC43C2">
              <w:rPr>
                <w:rFonts w:cs="Times New Roman"/>
                <w:szCs w:val="20"/>
              </w:rPr>
              <w:t>,</w:t>
            </w:r>
            <w:r w:rsidRPr="00FC43C2">
              <w:rPr>
                <w:rFonts w:cs="Times New Roman"/>
                <w:szCs w:val="20"/>
              </w:rPr>
              <w:t xml:space="preserve"> MoH</w:t>
            </w:r>
            <w:r w:rsidR="00255302" w:rsidRPr="00FC43C2">
              <w:rPr>
                <w:rFonts w:cs="Times New Roman"/>
                <w:szCs w:val="20"/>
              </w:rPr>
              <w:t>, 20</w:t>
            </w:r>
            <w:r w:rsidR="00945AE4" w:rsidRPr="00FC43C2">
              <w:rPr>
                <w:rFonts w:cs="Times New Roman"/>
                <w:szCs w:val="20"/>
              </w:rPr>
              <w:t>20</w:t>
            </w:r>
            <w:r w:rsidRPr="00FC43C2">
              <w:rPr>
                <w:rFonts w:cs="Times New Roman"/>
                <w:szCs w:val="20"/>
              </w:rPr>
              <w:t>)</w:t>
            </w:r>
            <w:r w:rsidR="00255302" w:rsidRPr="00FC43C2">
              <w:rPr>
                <w:rFonts w:cs="Times New Roman"/>
                <w:szCs w:val="20"/>
              </w:rPr>
              <w:t>.</w:t>
            </w:r>
          </w:p>
          <w:p w14:paraId="7DC03630" w14:textId="27C3F7C7" w:rsidR="004F6742" w:rsidRDefault="003C0DA1" w:rsidP="002D613F">
            <w:pPr>
              <w:pStyle w:val="ListParagraph"/>
              <w:numPr>
                <w:ilvl w:val="0"/>
                <w:numId w:val="1"/>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The </w:t>
            </w:r>
            <w:r w:rsidR="004F6742" w:rsidRPr="0091450A">
              <w:rPr>
                <w:rFonts w:cs="Times New Roman"/>
                <w:szCs w:val="20"/>
              </w:rPr>
              <w:t>201</w:t>
            </w:r>
            <w:r w:rsidR="00CE424A" w:rsidRPr="0091450A">
              <w:rPr>
                <w:rFonts w:cs="Times New Roman"/>
                <w:szCs w:val="20"/>
              </w:rPr>
              <w:t>8</w:t>
            </w:r>
            <w:r w:rsidR="004F6742" w:rsidRPr="0091450A">
              <w:rPr>
                <w:rFonts w:cs="Times New Roman"/>
                <w:szCs w:val="20"/>
              </w:rPr>
              <w:t xml:space="preserve"> HPA annual report</w:t>
            </w:r>
            <w:r w:rsidR="009E62BE" w:rsidRPr="0091450A">
              <w:rPr>
                <w:rFonts w:cs="Times New Roman"/>
                <w:szCs w:val="20"/>
              </w:rPr>
              <w:t xml:space="preserve"> </w:t>
            </w:r>
            <w:r w:rsidR="00B93598" w:rsidRPr="0091450A">
              <w:rPr>
                <w:rFonts w:cs="Times New Roman"/>
                <w:szCs w:val="20"/>
              </w:rPr>
              <w:fldChar w:fldCharType="begin" w:fldLock="1"/>
            </w:r>
            <w:r w:rsidR="00EC12A7">
              <w:rPr>
                <w:rFonts w:cs="Times New Roman"/>
                <w:szCs w:val="20"/>
              </w:rPr>
              <w:instrText>ADDIN CSL_CITATION {"citationItems":[{"id":"ITEM-1","itemData":{"ISBN":"9429041905333","author":[{"dropping-particle":"","family":"Promotion Agency","given":"Health","non-dropping-particle":"","parse-names":false,"suffix":""}],"id":"ITEM-1","issued":{"date-parts":[["2018"]]},"title":"HPA Annual Report 2018 - Presented to the House of Representatives pursuant to Section 150(3) of the Crown Entities Act 2004 Annual Report","type":"report"},"uris":["http://www.mendeley.com/documents/?uuid=6beba551-57a7-3f9b-9a92-ab93c20b90d1","http://www.mendeley.com/documents/?uuid=f8c685c0-c3ff-47f3-8867-5299d7be9bad"]}],"mendeley":{"formattedCitation":"(173)","plainTextFormattedCitation":"(173)","previouslyFormattedCitation":"(173)"},"properties":{"noteIndex":0},"schema":"https://github.com/citation-style-language/schema/raw/master/csl-citation.json"}</w:instrText>
            </w:r>
            <w:r w:rsidR="00B93598" w:rsidRPr="0091450A">
              <w:rPr>
                <w:rFonts w:cs="Times New Roman"/>
                <w:szCs w:val="20"/>
              </w:rPr>
              <w:fldChar w:fldCharType="separate"/>
            </w:r>
            <w:r w:rsidR="009C4029" w:rsidRPr="009C4029">
              <w:rPr>
                <w:rFonts w:cs="Times New Roman"/>
                <w:noProof/>
                <w:szCs w:val="20"/>
              </w:rPr>
              <w:t>(173)</w:t>
            </w:r>
            <w:r w:rsidR="00B93598" w:rsidRPr="0091450A">
              <w:rPr>
                <w:rFonts w:cs="Times New Roman"/>
                <w:szCs w:val="20"/>
              </w:rPr>
              <w:fldChar w:fldCharType="end"/>
            </w:r>
            <w:r w:rsidR="00F920FB" w:rsidRPr="0091450A">
              <w:rPr>
                <w:rFonts w:cs="Times New Roman"/>
                <w:szCs w:val="20"/>
              </w:rPr>
              <w:t xml:space="preserve"> </w:t>
            </w:r>
            <w:r w:rsidR="000152F0" w:rsidRPr="0091450A">
              <w:rPr>
                <w:rFonts w:cs="Times New Roman"/>
                <w:szCs w:val="20"/>
              </w:rPr>
              <w:t>s</w:t>
            </w:r>
            <w:r w:rsidR="00483885" w:rsidRPr="0091450A">
              <w:rPr>
                <w:rFonts w:cs="Times New Roman"/>
                <w:szCs w:val="20"/>
              </w:rPr>
              <w:t>tates a focus on “g</w:t>
            </w:r>
            <w:r w:rsidR="00483885" w:rsidRPr="0091450A">
              <w:rPr>
                <w:szCs w:val="20"/>
              </w:rPr>
              <w:t xml:space="preserve">ood nutrition, regular physical activity, adequate sleep and healthy body size are important for maintaining health and wellbeing both now and in the future”. </w:t>
            </w:r>
            <w:r w:rsidRPr="0091450A">
              <w:rPr>
                <w:rFonts w:cs="Times New Roman"/>
                <w:szCs w:val="20"/>
              </w:rPr>
              <w:t>HPA ha</w:t>
            </w:r>
            <w:r w:rsidR="00DB557F">
              <w:rPr>
                <w:rFonts w:cs="Times New Roman"/>
                <w:szCs w:val="20"/>
              </w:rPr>
              <w:t>s</w:t>
            </w:r>
            <w:r w:rsidR="00F920FB" w:rsidRPr="0091450A">
              <w:rPr>
                <w:rFonts w:cs="Times New Roman"/>
                <w:szCs w:val="20"/>
              </w:rPr>
              <w:t xml:space="preserve"> also</w:t>
            </w:r>
            <w:r w:rsidRPr="0091450A">
              <w:rPr>
                <w:rFonts w:cs="Times New Roman"/>
                <w:szCs w:val="20"/>
              </w:rPr>
              <w:t xml:space="preserve"> c</w:t>
            </w:r>
            <w:r w:rsidR="004F6742" w:rsidRPr="0091450A">
              <w:rPr>
                <w:rFonts w:cs="Times New Roman"/>
                <w:szCs w:val="20"/>
              </w:rPr>
              <w:t xml:space="preserve">ompleted </w:t>
            </w:r>
            <w:r w:rsidR="001D5B31" w:rsidRPr="0091450A">
              <w:rPr>
                <w:rFonts w:cs="Times New Roman"/>
                <w:szCs w:val="20"/>
              </w:rPr>
              <w:t>providing health promoters and others with resources to support their work</w:t>
            </w:r>
            <w:r w:rsidR="00D96A7B" w:rsidRPr="0091450A">
              <w:rPr>
                <w:rFonts w:cs="Times New Roman"/>
                <w:szCs w:val="20"/>
              </w:rPr>
              <w:t xml:space="preserve"> including two new recipe pads. </w:t>
            </w:r>
          </w:p>
          <w:p w14:paraId="70AC8455" w14:textId="4865C1EC" w:rsidR="005B63D3" w:rsidRPr="005B63D3" w:rsidRDefault="005B63D3" w:rsidP="00F371A9">
            <w:pPr>
              <w:pStyle w:val="ListParagraph"/>
              <w:numPr>
                <w:ilvl w:val="0"/>
                <w:numId w:val="1"/>
              </w:numPr>
              <w:shd w:val="clear" w:color="auto" w:fill="FFFFFF" w:themeFill="background1"/>
              <w:spacing w:before="40" w:after="40"/>
              <w:rPr>
                <w:rFonts w:cs="Times New Roman"/>
                <w:szCs w:val="20"/>
              </w:rPr>
            </w:pPr>
            <w:r w:rsidRPr="00DC1C59">
              <w:t xml:space="preserve">Through the </w:t>
            </w:r>
            <w:r>
              <w:t>h</w:t>
            </w:r>
            <w:r w:rsidRPr="00DC1C59">
              <w:t xml:space="preserve">ealthy </w:t>
            </w:r>
            <w:r>
              <w:t>k</w:t>
            </w:r>
            <w:r w:rsidRPr="00DC1C59">
              <w:t>ids</w:t>
            </w:r>
            <w:r>
              <w:t xml:space="preserve"> website</w:t>
            </w:r>
            <w:r w:rsidRPr="00DC1C59">
              <w:t xml:space="preserve"> </w:t>
            </w:r>
            <w:r>
              <w:t>(healthykids.org.nz)</w:t>
            </w:r>
            <w:r w:rsidRPr="00DC1C59">
              <w:t xml:space="preserve">, </w:t>
            </w:r>
            <w:r w:rsidRPr="005B63D3">
              <w:rPr>
                <w:i/>
              </w:rPr>
              <w:t>Quick Bites</w:t>
            </w:r>
            <w:r w:rsidRPr="00DC1C59">
              <w:t xml:space="preserve"> newsletter and Facebook page, HPA encourages families to prepare healthier meals, be active together and sleep well. Food ideas and suggested activities are designed to provide solutions for low-income, Māori and Pac</w:t>
            </w:r>
            <w:r>
              <w:t>i</w:t>
            </w:r>
            <w:r w:rsidRPr="00DC1C59">
              <w:t>f</w:t>
            </w:r>
            <w:r>
              <w:t>i</w:t>
            </w:r>
            <w:r w:rsidRPr="00DC1C59">
              <w:t xml:space="preserve">c families with young children. </w:t>
            </w:r>
            <w:r w:rsidRPr="001478B3">
              <w:t xml:space="preserve"> </w:t>
            </w:r>
            <w:r w:rsidRPr="005B63D3">
              <w:rPr>
                <w:rFonts w:cs="Times New Roman"/>
              </w:rPr>
              <w:t>Through the Nutrition and Activity Hub (</w:t>
            </w:r>
            <w:hyperlink r:id="rId24" w:history="1">
              <w:r w:rsidRPr="005B63D3">
                <w:rPr>
                  <w:rStyle w:val="Hyperlink"/>
                  <w:rFonts w:cs="Times New Roman"/>
                </w:rPr>
                <w:t>www.nutritionandactivity.govt.nz</w:t>
              </w:r>
            </w:hyperlink>
            <w:r w:rsidRPr="005B63D3">
              <w:rPr>
                <w:rFonts w:cs="Times New Roman"/>
              </w:rPr>
              <w:t>) HPA provides health promoters and others working in the nutrition and physical activity sector with resources, tools and information to support their work</w:t>
            </w:r>
            <w:r w:rsidRPr="005B63D3">
              <w:rPr>
                <w:rFonts w:cs="Times New Roman"/>
                <w:szCs w:val="20"/>
              </w:rPr>
              <w:t xml:space="preserve">. A number of HPA resources are also available on </w:t>
            </w:r>
            <w:hyperlink r:id="rId25" w:history="1">
              <w:r w:rsidRPr="005B63D3">
                <w:rPr>
                  <w:rStyle w:val="Hyperlink"/>
                  <w:rFonts w:cs="Times New Roman"/>
                  <w:szCs w:val="20"/>
                </w:rPr>
                <w:t>www.healthed.govt.nz</w:t>
              </w:r>
            </w:hyperlink>
            <w:r w:rsidRPr="005B63D3">
              <w:rPr>
                <w:rStyle w:val="Hyperlink"/>
                <w:rFonts w:cs="Times New Roman"/>
                <w:szCs w:val="20"/>
              </w:rPr>
              <w:t>,</w:t>
            </w:r>
            <w:r w:rsidRPr="005B63D3">
              <w:rPr>
                <w:rFonts w:cs="Times New Roman"/>
                <w:szCs w:val="20"/>
              </w:rPr>
              <w:t xml:space="preserve"> such as how much sugar do you drink posters and behind the hype fact sheets. </w:t>
            </w:r>
          </w:p>
          <w:p w14:paraId="5C1B0ABC" w14:textId="77777777" w:rsidR="00C5347E" w:rsidRPr="0091450A" w:rsidRDefault="00C5347E" w:rsidP="002D613F">
            <w:pPr>
              <w:pStyle w:val="ListParagraph"/>
              <w:shd w:val="clear" w:color="auto" w:fill="FFFFFF" w:themeFill="background1"/>
              <w:spacing w:before="40" w:after="40"/>
              <w:ind w:left="360"/>
              <w:contextualSpacing w:val="0"/>
              <w:rPr>
                <w:rFonts w:cs="Times New Roman"/>
                <w:szCs w:val="20"/>
              </w:rPr>
            </w:pPr>
          </w:p>
          <w:p w14:paraId="4AC842B0" w14:textId="15BE1EBA"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576346C8" w14:textId="0EFD5316" w:rsidR="00A04132" w:rsidRPr="0091450A" w:rsidRDefault="00C5347E" w:rsidP="002D613F">
            <w:pPr>
              <w:pStyle w:val="ListParagraph"/>
              <w:numPr>
                <w:ilvl w:val="0"/>
                <w:numId w:val="71"/>
              </w:numPr>
              <w:shd w:val="clear" w:color="auto" w:fill="FFFFFF" w:themeFill="background1"/>
              <w:spacing w:before="40" w:after="40"/>
              <w:ind w:left="284" w:hanging="284"/>
              <w:contextualSpacing w:val="0"/>
              <w:rPr>
                <w:rFonts w:cs="Times New Roman"/>
                <w:b/>
                <w:color w:val="002060"/>
                <w:szCs w:val="20"/>
              </w:rPr>
            </w:pPr>
            <w:r w:rsidRPr="0091450A">
              <w:rPr>
                <w:rFonts w:eastAsia="Times New Roman" w:cs="Times New Roman"/>
                <w:b/>
                <w:szCs w:val="20"/>
                <w:lang w:eastAsia="en-NZ"/>
              </w:rPr>
              <w:t>Brazil</w:t>
            </w:r>
            <w:r w:rsidRPr="0091450A">
              <w:rPr>
                <w:rFonts w:eastAsia="Times New Roman" w:cs="Times New Roman"/>
                <w:szCs w:val="20"/>
                <w:lang w:eastAsia="en-NZ"/>
              </w:rPr>
              <w:t xml:space="preserve">: The national dietary guidelines of Brazil address healthy eating from a cultural, ethical and environmental perspective, rather than based on </w:t>
            </w:r>
            <w:r w:rsidR="00DB557F">
              <w:rPr>
                <w:rFonts w:eastAsia="Times New Roman" w:cs="Times New Roman"/>
                <w:szCs w:val="20"/>
                <w:lang w:eastAsia="en-NZ"/>
              </w:rPr>
              <w:t xml:space="preserve">the </w:t>
            </w:r>
            <w:r w:rsidRPr="0091450A">
              <w:rPr>
                <w:rFonts w:eastAsia="Times New Roman" w:cs="Times New Roman"/>
                <w:szCs w:val="20"/>
                <w:lang w:eastAsia="en-NZ"/>
              </w:rPr>
              <w:t xml:space="preserve">number of servings per food group. The main recommendations are: ‘Make natural or minimally processed foods the basis of your diet’; ‘use oils, fats, salt, and sugar in small amounts for seasoning and cooking foods’; ‘use processed foods in small amounts’; ‘avoid ultra-processed foods’. They also provide advice on planning, shopping and sharing meals, as well as warning people to be wary of food marketing and advertising </w:t>
            </w:r>
            <w:r w:rsidR="00606C9E"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{"citationItems":[{"id":"ITEM-1","itemData":{"DOI":"10.1017/S1368980015002165","ISBN":"1475-2727 (Electronic)\r1368-9800 (Linking)","PMID":"26205679","author":[{"dropping-particle":"","family":"Monteiro","given":"C A","non-dropping-particle":"","parse-names":false,"suffix":""},{"dropping-particle":"","family":"Cannon","given":"G","non-dropping-particle":"","parse-names":false,"suffix":""},{"dropping-particle":"","family":"Moubarac","given":"J C","non-dropping-particle":"","parse-names":false,"suffix":""},{"dropping-particle":"","family":"Martins","given":"A P","non-dropping-particle":"","parse-names":false,"suffix":""},{"dropping-particle":"","family":"Martins","given":"C A","non-dropping-particle":"","parse-names":false,"suffix":""},{"dropping-particle":"","family":"Garzillo","given":"J","non-dropping-particle":"","parse-names":false,"suffix":""},{"dropping-particle":"","family":"Canella","given":"D S","non-dropping-particle":"","parse-names":false,"suffix":""},{"dropping-particle":"","family":"Baraldi","given":"L G","non-dropping-particle":"","parse-names":false,"suffix":""},{"dropping-particle":"","family":"Barciotte","given":"M","non-dropping-particle":"","parse-names":false,"suffix":""},{"dropping-particle":"","family":"Louzada","given":"M L","non-dropping-particle":"","parse-names":false,"suffix":""},{"dropping-particle":"","family":"Levy","given":"R B","non-dropping-particle":"","parse-names":false,"suffix":""},{"dropping-particle":"","family":"Claro","given":"R M","non-dropping-particle":"","parse-names":false,"suffix":""},{"dropping-particle":"","family":"Jaime","given":"P C","non-dropping-particle":"","parse-names":false,"suffix":""}],"container-title":"Public Health Nutr","id":"ITEM-1","issue":"13","issued":{"date-parts":[["2015"]]},"page":"2311-2322","title":"Dietary guidelines to nourish humanity and the planet in the twenty-first century. A blueprint from Brazil","type":"article-journal","volume":"18"},"uris":["http://www.mendeley.com/documents/?uuid=fc49bf32-d062-3702-8c63-60a199f33291","http://www.mendeley.com/documents/?uuid=883767b2-951f-4746-9196-e191900c0518"]},{"id":"ITEM-2","itemData":{"URL":"http://www.foodpolitics.com/wp-content/uploads/Brazilian-Dietary-Guidelines-2014.pdf","author":[{"dropping-particle":"","family":"Ministry of Health Brazil","given":"","non-dropping-particle":"","parse-names":false,"suffix":""}],"id":"ITEM-2","issue":"22/02/2016","issued":{"date-parts":[["2014"]]},"title":"Dietary guidelines for the Brazilian population","type":"webpage"},"uris":["http://www.mendeley.com/documents/?uuid=3ecfe263-8087-3b45-ae73-0feaeaf9f119","http://www.mendeley.com/documents/?uuid=0f48c832-69b9-4b7c-8244-9e9eb07dc48b"]}],"mendeley":{"formattedCitation":"(174,175)","plainTextFormattedCitation":"(174,175)","previouslyFormattedCitation":"(174,175)"},"properties":{"noteIndex":0},"schema":"https://github.com/citation-style-language/schema/raw/master/csl-citation.json"}</w:instrText>
            </w:r>
            <w:r w:rsidR="00606C9E"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(174,175)</w:t>
            </w:r>
            <w:r w:rsidR="00606C9E" w:rsidRPr="0091450A">
              <w:rPr>
                <w:rFonts w:eastAsia="Times New Roman" w:cs="Times New Roman"/>
                <w:szCs w:val="20"/>
                <w:lang w:eastAsia="en-NZ"/>
              </w:rPr>
              <w:fldChar w:fldCharType="end"/>
            </w:r>
            <w:r w:rsidR="00606C9E" w:rsidRPr="0091450A">
              <w:rPr>
                <w:rFonts w:eastAsia="Times New Roman" w:cs="Times New Roman"/>
                <w:szCs w:val="20"/>
                <w:lang w:eastAsia="en-NZ"/>
              </w:rPr>
              <w:t>.</w:t>
            </w:r>
          </w:p>
        </w:tc>
      </w:tr>
    </w:tbl>
    <w:p w14:paraId="4948F5EE" w14:textId="7D49BCA9" w:rsidR="004E04F5" w:rsidRPr="0091450A" w:rsidRDefault="004E04F5"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623D23D9" w14:textId="77777777" w:rsidTr="00CA16E1">
        <w:tc>
          <w:tcPr>
            <w:tcW w:w="9209" w:type="dxa"/>
          </w:tcPr>
          <w:p w14:paraId="0F0F8A66" w14:textId="4175E8E4" w:rsidR="00AE3D68"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8 </w:t>
            </w:r>
            <w:r w:rsidR="00AE3D68" w:rsidRPr="0091450A">
              <w:rPr>
                <w:rFonts w:cs="Times New Roman"/>
                <w:b/>
                <w:color w:val="1F497D" w:themeColor="text2"/>
                <w:sz w:val="28"/>
                <w:szCs w:val="28"/>
              </w:rPr>
              <w:t xml:space="preserve">LEADERSHIP: </w:t>
            </w:r>
            <w:r w:rsidR="00A7005C" w:rsidRPr="0091450A">
              <w:rPr>
                <w:rFonts w:cs="Times New Roman"/>
                <w:szCs w:val="20"/>
              </w:rPr>
              <w:t>The political leadership ensures that there is strong support for the vision, planning, communication, implementation and evaluation of policies and actions to create healthy food environments, improve population nutrition, and reduce diet-related inequalities</w:t>
            </w:r>
          </w:p>
        </w:tc>
      </w:tr>
      <w:tr w:rsidR="00AE3D68" w:rsidRPr="0091450A" w14:paraId="1C5B4BE5" w14:textId="77777777" w:rsidTr="00CA16E1">
        <w:tc>
          <w:tcPr>
            <w:tcW w:w="9209" w:type="dxa"/>
          </w:tcPr>
          <w:p w14:paraId="5E952FE5" w14:textId="6C93F5DC" w:rsidR="00AE3D68" w:rsidRPr="0091450A" w:rsidRDefault="00D677B8" w:rsidP="002D613F">
            <w:pPr>
              <w:shd w:val="clear" w:color="auto" w:fill="FFFFFF" w:themeFill="background1"/>
              <w:spacing w:before="40" w:after="40"/>
              <w:rPr>
                <w:rFonts w:cs="Times New Roman"/>
                <w:color w:val="000000"/>
                <w:szCs w:val="20"/>
                <w:lang w:eastAsia="en-NZ"/>
              </w:rPr>
            </w:pPr>
            <w:bookmarkStart w:id="50" w:name="_Toc31623748"/>
            <w:r w:rsidRPr="0091450A">
              <w:rPr>
                <w:rStyle w:val="Heading3Char"/>
              </w:rPr>
              <w:t>LEAD4</w:t>
            </w:r>
            <w:bookmarkEnd w:id="50"/>
            <w:r w:rsidR="00AE3D68" w:rsidRPr="0091450A">
              <w:rPr>
                <w:rFonts w:cs="Times New Roman"/>
                <w:b/>
                <w:color w:val="1F497D" w:themeColor="text2"/>
                <w:sz w:val="28"/>
                <w:szCs w:val="28"/>
              </w:rPr>
              <w:t xml:space="preserve">: </w:t>
            </w:r>
            <w:r w:rsidR="00A7005C" w:rsidRPr="0091450A">
              <w:rPr>
                <w:rFonts w:cs="Times New Roman"/>
                <w:b/>
                <w:szCs w:val="20"/>
              </w:rPr>
              <w:t xml:space="preserve">There is a comprehensive, </w:t>
            </w:r>
            <w:r w:rsidR="00BF5551" w:rsidRPr="0091450A">
              <w:rPr>
                <w:rFonts w:cs="Times New Roman"/>
                <w:b/>
                <w:szCs w:val="20"/>
              </w:rPr>
              <w:t xml:space="preserve">transparent, </w:t>
            </w:r>
            <w:r w:rsidR="00A7005C" w:rsidRPr="0091450A">
              <w:rPr>
                <w:rFonts w:cs="Times New Roman"/>
                <w:b/>
                <w:szCs w:val="20"/>
              </w:rPr>
              <w:t>up-to-date</w:t>
            </w:r>
            <w:r w:rsidR="00BF5551" w:rsidRPr="0091450A">
              <w:rPr>
                <w:rFonts w:cs="Times New Roman"/>
                <w:b/>
                <w:szCs w:val="20"/>
              </w:rPr>
              <w:t xml:space="preserve"> implementation </w:t>
            </w:r>
            <w:r w:rsidR="00A7005C" w:rsidRPr="0091450A">
              <w:rPr>
                <w:rFonts w:cs="Times New Roman"/>
                <w:b/>
                <w:szCs w:val="20"/>
              </w:rPr>
              <w:t>plan (including priority policy and program strategies</w:t>
            </w:r>
            <w:r w:rsidR="001432BB" w:rsidRPr="0091450A">
              <w:rPr>
                <w:rFonts w:cs="Times New Roman"/>
                <w:b/>
                <w:szCs w:val="20"/>
              </w:rPr>
              <w:t xml:space="preserve">, </w:t>
            </w:r>
            <w:r w:rsidR="00BF5551" w:rsidRPr="0091450A">
              <w:rPr>
                <w:rFonts w:cs="Times New Roman"/>
                <w:b/>
                <w:szCs w:val="20"/>
              </w:rPr>
              <w:t>social marketing for public awareness</w:t>
            </w:r>
            <w:r w:rsidR="001432BB" w:rsidRPr="0091450A">
              <w:rPr>
                <w:rFonts w:cs="Times New Roman"/>
                <w:b/>
                <w:szCs w:val="20"/>
              </w:rPr>
              <w:t xml:space="preserve"> and threat of legislation for voluntary approaches</w:t>
            </w:r>
            <w:r w:rsidR="00A7005C" w:rsidRPr="0091450A">
              <w:rPr>
                <w:rFonts w:cs="Times New Roman"/>
                <w:b/>
                <w:szCs w:val="20"/>
              </w:rPr>
              <w:t>) linked to national needs and priorities, to improve food environments, reduce the intake of the nutrients of concern to meet WHO and national recommended dietary intake levels, and reduce diet-related NCDs</w:t>
            </w:r>
          </w:p>
        </w:tc>
      </w:tr>
      <w:tr w:rsidR="00AE3D68" w:rsidRPr="0091450A" w14:paraId="747A1DDD" w14:textId="77777777" w:rsidTr="00CA16E1">
        <w:tc>
          <w:tcPr>
            <w:tcW w:w="9209" w:type="dxa"/>
          </w:tcPr>
          <w:p w14:paraId="1E4DF390" w14:textId="70381C0D"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1FB22C65" w14:textId="5E66EEB5" w:rsidR="00BD5651" w:rsidRPr="0091450A" w:rsidRDefault="003316AA" w:rsidP="002D613F">
            <w:pPr>
              <w:pStyle w:val="ListParagraph"/>
              <w:widowControl w:val="0"/>
              <w:numPr>
                <w:ilvl w:val="0"/>
                <w:numId w:val="40"/>
              </w:numPr>
              <w:shd w:val="clear" w:color="auto" w:fill="FFFFFF" w:themeFill="background1"/>
              <w:autoSpaceDE w:val="0"/>
              <w:autoSpaceDN w:val="0"/>
              <w:adjustRightInd w:val="0"/>
              <w:spacing w:before="40" w:after="40"/>
              <w:ind w:left="284" w:hanging="284"/>
              <w:contextualSpacing w:val="0"/>
              <w:rPr>
                <w:rFonts w:cs="Times New Roman"/>
                <w:szCs w:val="20"/>
              </w:rPr>
            </w:pPr>
            <w:r w:rsidRPr="0091450A">
              <w:rPr>
                <w:rFonts w:cs="Times New Roman"/>
                <w:szCs w:val="20"/>
              </w:rPr>
              <w:t xml:space="preserve">The </w:t>
            </w:r>
            <w:r w:rsidR="00EA4AD4" w:rsidRPr="0091450A">
              <w:rPr>
                <w:rFonts w:cs="Times New Roman"/>
                <w:szCs w:val="20"/>
              </w:rPr>
              <w:t xml:space="preserve">Childhood Obesity Plan </w:t>
            </w:r>
            <w:r w:rsidRPr="0091450A">
              <w:rPr>
                <w:rFonts w:cs="Times New Roman"/>
                <w:szCs w:val="20"/>
              </w:rPr>
              <w:t>was introduced in October 2015</w:t>
            </w:r>
            <w:r w:rsidR="009E62BE" w:rsidRPr="0091450A">
              <w:rPr>
                <w:rFonts w:cs="Times New Roman"/>
                <w:szCs w:val="20"/>
              </w:rPr>
              <w:t xml:space="preserve"> </w:t>
            </w:r>
            <w:r w:rsidR="005E132C"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{"citationItems":[{"id":"ITEM-1","itemData":{"URL":"https://www.health.govt.nz/our-work/diseases-and-conditions/obesity/childhood-obesity-plan","author":[{"dropping-particle":"","family":"Ministry of Health","given":"","non-dropping-particle":"","parse-names":false,"suffix":""}],"id":"ITEM-1","issue":"12/12/2016","issued":{"date-parts":[["2016"]]},"title":"Childhood obesity plan","type":"webpage"},"uris":["http://www.mendeley.com/documents/?uuid=1fff5286-50e7-48b3-925a-58988e227dbc","http://www.mendeley.com/documents/?uuid=b5a8989e-025f-352e-9e63-285d113b3f0e"]}],"mendeley":{"formattedCitation":"(176)","plainTextFormattedCitation":"(176)","previouslyFormattedCitation":"(176)"},"properties":{"noteIndex":0},"schema":"https://github.com/citation-style-language/schema/raw/master/csl-citation.json"}</w:instrText>
            </w:r>
            <w:r w:rsidR="005E132C" w:rsidRPr="0091450A">
              <w:rPr>
                <w:rFonts w:cs="Times New Roman"/>
                <w:szCs w:val="20"/>
              </w:rPr>
              <w:fldChar w:fldCharType="separate"/>
            </w:r>
            <w:r w:rsidR="009C4029" w:rsidRPr="009C4029">
              <w:rPr>
                <w:rFonts w:cs="Times New Roman"/>
                <w:noProof/>
                <w:szCs w:val="20"/>
              </w:rPr>
              <w:t>(176)</w:t>
            </w:r>
            <w:r w:rsidR="005E132C" w:rsidRPr="0091450A">
              <w:rPr>
                <w:rFonts w:cs="Times New Roman"/>
                <w:szCs w:val="20"/>
              </w:rPr>
              <w:fldChar w:fldCharType="end"/>
            </w:r>
            <w:r w:rsidRPr="0091450A">
              <w:rPr>
                <w:rFonts w:cs="Times New Roman"/>
                <w:szCs w:val="20"/>
              </w:rPr>
              <w:t xml:space="preserve"> by t</w:t>
            </w:r>
            <w:r w:rsidR="00AF1945" w:rsidRPr="0091450A">
              <w:rPr>
                <w:rFonts w:cs="Times New Roman"/>
                <w:szCs w:val="20"/>
              </w:rPr>
              <w:t>he Ministry of Health</w:t>
            </w:r>
            <w:r w:rsidRPr="0091450A">
              <w:rPr>
                <w:rFonts w:cs="Times New Roman"/>
                <w:szCs w:val="20"/>
              </w:rPr>
              <w:t xml:space="preserve">. </w:t>
            </w:r>
            <w:r w:rsidR="00283022" w:rsidRPr="0091450A">
              <w:rPr>
                <w:rFonts w:cs="Times New Roman"/>
                <w:szCs w:val="20"/>
              </w:rPr>
              <w:t xml:space="preserve">The </w:t>
            </w:r>
            <w:r w:rsidR="00EA4AD4" w:rsidRPr="0091450A">
              <w:rPr>
                <w:rFonts w:cs="Times New Roman"/>
                <w:szCs w:val="20"/>
              </w:rPr>
              <w:t>Childhood Obesity Plan</w:t>
            </w:r>
            <w:r w:rsidR="00283022" w:rsidRPr="0091450A">
              <w:rPr>
                <w:rFonts w:cs="Times New Roman"/>
                <w:szCs w:val="20"/>
              </w:rPr>
              <w:t xml:space="preserve"> is a package of initiatives to prevent and manage obesity in children and young people up to 18 years. </w:t>
            </w:r>
            <w:r w:rsidRPr="0091450A">
              <w:rPr>
                <w:rFonts w:cs="Times New Roman"/>
                <w:szCs w:val="20"/>
              </w:rPr>
              <w:t xml:space="preserve">There </w:t>
            </w:r>
            <w:r w:rsidR="00390BDE" w:rsidRPr="0091450A">
              <w:rPr>
                <w:rFonts w:cs="Times New Roman"/>
                <w:szCs w:val="20"/>
              </w:rPr>
              <w:t>we</w:t>
            </w:r>
            <w:r w:rsidRPr="0091450A">
              <w:rPr>
                <w:rFonts w:cs="Times New Roman"/>
                <w:szCs w:val="20"/>
              </w:rPr>
              <w:t>re</w:t>
            </w:r>
            <w:r w:rsidR="00283022" w:rsidRPr="0091450A">
              <w:rPr>
                <w:rFonts w:cs="Times New Roman"/>
                <w:szCs w:val="20"/>
              </w:rPr>
              <w:t xml:space="preserve"> three focus areas </w:t>
            </w:r>
            <w:r w:rsidRPr="0091450A">
              <w:rPr>
                <w:rFonts w:cs="Times New Roman"/>
                <w:szCs w:val="20"/>
              </w:rPr>
              <w:t>with</w:t>
            </w:r>
            <w:r w:rsidR="00283022" w:rsidRPr="0091450A">
              <w:rPr>
                <w:rFonts w:cs="Times New Roman"/>
                <w:szCs w:val="20"/>
              </w:rPr>
              <w:t xml:space="preserve"> 22 initiatives: 1. Targeted interv</w:t>
            </w:r>
            <w:r w:rsidR="00AB087B" w:rsidRPr="0091450A">
              <w:rPr>
                <w:rFonts w:cs="Times New Roman"/>
                <w:szCs w:val="20"/>
              </w:rPr>
              <w:t>entions for those who are obese.</w:t>
            </w:r>
            <w:r w:rsidR="00283022" w:rsidRPr="0091450A">
              <w:rPr>
                <w:rFonts w:cs="Times New Roman"/>
                <w:szCs w:val="20"/>
              </w:rPr>
              <w:t xml:space="preserve"> 2. Increased support for those at risk of becoming obese. 3. Broad approaches to make healthier choices easier for all New Zealanders. </w:t>
            </w:r>
          </w:p>
          <w:p w14:paraId="14F736E4" w14:textId="07EB688A" w:rsidR="00283022" w:rsidRPr="0091450A" w:rsidRDefault="00283022" w:rsidP="002D613F">
            <w:pPr>
              <w:pStyle w:val="ListParagraph"/>
              <w:widowControl w:val="0"/>
              <w:shd w:val="clear" w:color="auto" w:fill="FFFFFF" w:themeFill="background1"/>
              <w:autoSpaceDE w:val="0"/>
              <w:autoSpaceDN w:val="0"/>
              <w:adjustRightInd w:val="0"/>
              <w:spacing w:before="40" w:after="40"/>
              <w:ind w:left="284"/>
              <w:contextualSpacing w:val="0"/>
              <w:rPr>
                <w:rFonts w:cs="Times New Roman"/>
                <w:szCs w:val="20"/>
              </w:rPr>
            </w:pPr>
            <w:r w:rsidRPr="0091450A">
              <w:rPr>
                <w:rFonts w:cs="Times New Roman"/>
                <w:szCs w:val="20"/>
              </w:rPr>
              <w:t xml:space="preserve">The package </w:t>
            </w:r>
            <w:r w:rsidR="00234E1E" w:rsidRPr="0091450A">
              <w:rPr>
                <w:rFonts w:cs="Times New Roman"/>
                <w:szCs w:val="20"/>
              </w:rPr>
              <w:t xml:space="preserve">brought </w:t>
            </w:r>
            <w:r w:rsidRPr="0091450A">
              <w:rPr>
                <w:rFonts w:cs="Times New Roman"/>
                <w:szCs w:val="20"/>
              </w:rPr>
              <w:t xml:space="preserve">together </w:t>
            </w:r>
            <w:r w:rsidR="00611934" w:rsidRPr="0091450A">
              <w:rPr>
                <w:rFonts w:cs="Times New Roman"/>
                <w:szCs w:val="20"/>
              </w:rPr>
              <w:t xml:space="preserve">existing and new </w:t>
            </w:r>
            <w:r w:rsidRPr="0091450A">
              <w:rPr>
                <w:rFonts w:cs="Times New Roman"/>
                <w:szCs w:val="20"/>
              </w:rPr>
              <w:t xml:space="preserve">initiatives across government agencies, the private sector, communities, schools, families and whanau. </w:t>
            </w:r>
            <w:r w:rsidR="00DF6CBB" w:rsidRPr="0091450A">
              <w:rPr>
                <w:rFonts w:cs="Times New Roman"/>
                <w:szCs w:val="20"/>
              </w:rPr>
              <w:t>Five of the actions focus on improving the healthiness of environments (DHB healthy food policies, marketing and advertising to children</w:t>
            </w:r>
            <w:r w:rsidR="001F57DC" w:rsidRPr="0091450A">
              <w:rPr>
                <w:rFonts w:cs="Times New Roman"/>
                <w:szCs w:val="20"/>
              </w:rPr>
              <w:t>, food i</w:t>
            </w:r>
            <w:r w:rsidR="00DF6CBB" w:rsidRPr="0091450A">
              <w:rPr>
                <w:rFonts w:cs="Times New Roman"/>
                <w:szCs w:val="20"/>
              </w:rPr>
              <w:t>ndustry pledge</w:t>
            </w:r>
            <w:r w:rsidR="001F57DC" w:rsidRPr="0091450A">
              <w:rPr>
                <w:rFonts w:cs="Times New Roman"/>
                <w:szCs w:val="20"/>
              </w:rPr>
              <w:t>s, h</w:t>
            </w:r>
            <w:r w:rsidR="00DF6CBB" w:rsidRPr="0091450A">
              <w:rPr>
                <w:rFonts w:cs="Times New Roman"/>
                <w:szCs w:val="20"/>
              </w:rPr>
              <w:t>ealth</w:t>
            </w:r>
            <w:r w:rsidR="00DB557F">
              <w:rPr>
                <w:rFonts w:cs="Times New Roman"/>
                <w:szCs w:val="20"/>
              </w:rPr>
              <w:t>-</w:t>
            </w:r>
            <w:r w:rsidR="00DF6CBB" w:rsidRPr="0091450A">
              <w:rPr>
                <w:rFonts w:cs="Times New Roman"/>
                <w:szCs w:val="20"/>
              </w:rPr>
              <w:t>promoting schools</w:t>
            </w:r>
            <w:r w:rsidR="00EA4AD4" w:rsidRPr="0091450A">
              <w:rPr>
                <w:rFonts w:cs="Times New Roman"/>
                <w:szCs w:val="20"/>
              </w:rPr>
              <w:t>, Healthy F</w:t>
            </w:r>
            <w:r w:rsidR="00DF6CBB" w:rsidRPr="0091450A">
              <w:rPr>
                <w:rFonts w:cs="Times New Roman"/>
                <w:szCs w:val="20"/>
              </w:rPr>
              <w:t>amilies</w:t>
            </w:r>
            <w:r w:rsidR="00EA4AD4" w:rsidRPr="0091450A">
              <w:rPr>
                <w:rFonts w:cs="Times New Roman"/>
                <w:szCs w:val="20"/>
              </w:rPr>
              <w:t xml:space="preserve"> NZ</w:t>
            </w:r>
            <w:r w:rsidR="001F57DC" w:rsidRPr="0091450A">
              <w:rPr>
                <w:rFonts w:cs="Times New Roman"/>
                <w:szCs w:val="20"/>
              </w:rPr>
              <w:t>).</w:t>
            </w:r>
            <w:r w:rsidR="00DF6CBB" w:rsidRPr="0091450A">
              <w:rPr>
                <w:rFonts w:cs="Times New Roman"/>
                <w:szCs w:val="20"/>
              </w:rPr>
              <w:t xml:space="preserve"> </w:t>
            </w:r>
            <w:r w:rsidRPr="0091450A">
              <w:rPr>
                <w:rFonts w:cs="Times New Roman"/>
                <w:szCs w:val="20"/>
              </w:rPr>
              <w:t xml:space="preserve">A technical advisory committee provided advice and a forum was held with members of the processed food and beverage industries, and relevant government agencies (Sport NZ, </w:t>
            </w:r>
            <w:proofErr w:type="spellStart"/>
            <w:r w:rsidRPr="0091450A">
              <w:rPr>
                <w:rFonts w:cs="Times New Roman"/>
                <w:szCs w:val="20"/>
              </w:rPr>
              <w:t>MoE</w:t>
            </w:r>
            <w:proofErr w:type="spellEnd"/>
            <w:r w:rsidRPr="0091450A">
              <w:rPr>
                <w:rFonts w:cs="Times New Roman"/>
                <w:szCs w:val="20"/>
              </w:rPr>
              <w:t xml:space="preserve">, ERO, HPA, MPI). All the </w:t>
            </w:r>
            <w:r w:rsidR="008965FB" w:rsidRPr="0091450A">
              <w:rPr>
                <w:rFonts w:cs="Times New Roman"/>
                <w:szCs w:val="20"/>
              </w:rPr>
              <w:t xml:space="preserve">cabinet papers, </w:t>
            </w:r>
            <w:r w:rsidRPr="0091450A">
              <w:rPr>
                <w:rFonts w:cs="Times New Roman"/>
                <w:szCs w:val="20"/>
              </w:rPr>
              <w:t xml:space="preserve">health reports, forum notes and technical advisory group meeting agenda and minutes are </w:t>
            </w:r>
            <w:r w:rsidR="00E1300D" w:rsidRPr="0091450A">
              <w:rPr>
                <w:rFonts w:cs="Times New Roman"/>
                <w:szCs w:val="20"/>
              </w:rPr>
              <w:t>publicly</w:t>
            </w:r>
            <w:r w:rsidRPr="0091450A">
              <w:rPr>
                <w:rFonts w:cs="Times New Roman"/>
                <w:szCs w:val="20"/>
              </w:rPr>
              <w:t xml:space="preserve"> available on </w:t>
            </w:r>
            <w:r w:rsidR="00DB557F">
              <w:rPr>
                <w:rFonts w:cs="Times New Roman"/>
                <w:szCs w:val="20"/>
              </w:rPr>
              <w:t xml:space="preserve">the </w:t>
            </w:r>
            <w:r w:rsidRPr="0091450A">
              <w:rPr>
                <w:rFonts w:cs="Times New Roman"/>
                <w:szCs w:val="20"/>
              </w:rPr>
              <w:t>MoH website.</w:t>
            </w:r>
          </w:p>
          <w:p w14:paraId="751C59FC" w14:textId="5D3EBD17" w:rsidR="00A32EE6" w:rsidRPr="0091450A" w:rsidRDefault="00A32EE6" w:rsidP="002D613F">
            <w:pPr>
              <w:pStyle w:val="ListParagraph"/>
              <w:numPr>
                <w:ilvl w:val="0"/>
                <w:numId w:val="40"/>
              </w:numPr>
              <w:shd w:val="clear" w:color="auto" w:fill="FFFFFF" w:themeFill="background1"/>
              <w:spacing w:before="40" w:after="40"/>
              <w:ind w:left="284" w:hanging="284"/>
              <w:contextualSpacing w:val="0"/>
              <w:rPr>
                <w:rFonts w:cs="Times New Roman"/>
                <w:szCs w:val="20"/>
              </w:rPr>
            </w:pPr>
            <w:r w:rsidRPr="0091450A">
              <w:rPr>
                <w:rFonts w:cs="Times New Roman"/>
                <w:szCs w:val="20"/>
              </w:rPr>
              <w:t>Background documents</w:t>
            </w:r>
            <w:r w:rsidR="009E62BE" w:rsidRPr="0091450A">
              <w:rPr>
                <w:rFonts w:cs="Times New Roman"/>
                <w:szCs w:val="20"/>
              </w:rPr>
              <w:t xml:space="preserve"> </w:t>
            </w:r>
            <w:r w:rsidR="00006116"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{"citationItems":[{"id":"ITEM-1","itemData":{"URL":"https://www.health.govt.nz/our-work/diseases-and-conditions/obesity/childhood-obesity-plan/childhood-obesity-plan-background-information","author":[{"dropping-particle":"","family":"Ministry of Health","given":"","non-dropping-particle":"","parse-names":false,"suffix":""}],"id":"ITEM-1","issue":"4/12/2016","issued":{"date-parts":[["2016"]]},"title":"Childhood obesity plan: background information ","type":"webpage"},"uris":["http://www.mendeley.com/documents/?uuid=4787275d-14e7-4d2a-bc27-eb2d346411ce","http://www.mendeley.com/documents/?uuid=c0d07df9-1f57-37a4-b6e6-9889fc63d527"]}],"mendeley":{"formattedCitation":"(177)","plainTextFormattedCitation":"(177)","previouslyFormattedCitation":"(177)"},"properties":{"noteIndex":0},"schema":"https://github.com/citation-style-language/schema/raw/master/csl-citation.json"}</w:instrText>
            </w:r>
            <w:r w:rsidR="00006116" w:rsidRPr="0091450A">
              <w:rPr>
                <w:rFonts w:cs="Times New Roman"/>
                <w:szCs w:val="20"/>
              </w:rPr>
              <w:fldChar w:fldCharType="separate"/>
            </w:r>
            <w:r w:rsidR="009C4029" w:rsidRPr="009C4029">
              <w:rPr>
                <w:rFonts w:cs="Times New Roman"/>
                <w:noProof/>
                <w:szCs w:val="20"/>
              </w:rPr>
              <w:t>(177)</w:t>
            </w:r>
            <w:r w:rsidR="00006116" w:rsidRPr="0091450A">
              <w:rPr>
                <w:rFonts w:cs="Times New Roman"/>
                <w:szCs w:val="20"/>
              </w:rPr>
              <w:fldChar w:fldCharType="end"/>
            </w:r>
            <w:r w:rsidR="003316AA" w:rsidRPr="0091450A">
              <w:rPr>
                <w:rFonts w:cs="Times New Roman"/>
                <w:szCs w:val="20"/>
              </w:rPr>
              <w:t xml:space="preserve"> provided i</w:t>
            </w:r>
            <w:r w:rsidRPr="0091450A">
              <w:rPr>
                <w:rFonts w:cs="Times New Roman"/>
                <w:szCs w:val="20"/>
              </w:rPr>
              <w:t xml:space="preserve">nitial advice on setting a childhood obesity target (2015) and further advice (2015) recommended setting an initial healthy weight target for children at the age of four before starting school. </w:t>
            </w:r>
            <w:r w:rsidR="008965FB" w:rsidRPr="0091450A">
              <w:rPr>
                <w:rFonts w:cs="Times New Roman"/>
                <w:szCs w:val="20"/>
              </w:rPr>
              <w:t>It was suggested that th</w:t>
            </w:r>
            <w:r w:rsidRPr="0091450A">
              <w:rPr>
                <w:rFonts w:cs="Times New Roman"/>
                <w:szCs w:val="20"/>
              </w:rPr>
              <w:t xml:space="preserve">e target </w:t>
            </w:r>
            <w:r w:rsidR="008965FB" w:rsidRPr="0091450A">
              <w:rPr>
                <w:rFonts w:cs="Times New Roman"/>
                <w:szCs w:val="20"/>
              </w:rPr>
              <w:t>was</w:t>
            </w:r>
            <w:r w:rsidRPr="0091450A">
              <w:rPr>
                <w:rFonts w:cs="Times New Roman"/>
                <w:szCs w:val="20"/>
              </w:rPr>
              <w:t xml:space="preserve"> a Better Public Health Services Target as health </w:t>
            </w:r>
            <w:r w:rsidRPr="0091450A">
              <w:rPr>
                <w:rFonts w:cs="Times New Roman"/>
                <w:szCs w:val="20"/>
              </w:rPr>
              <w:lastRenderedPageBreak/>
              <w:t xml:space="preserve">alone </w:t>
            </w:r>
            <w:r w:rsidR="00651244" w:rsidRPr="0091450A">
              <w:rPr>
                <w:rFonts w:cs="Times New Roman"/>
                <w:szCs w:val="20"/>
              </w:rPr>
              <w:t>cannot</w:t>
            </w:r>
            <w:r w:rsidRPr="0091450A">
              <w:rPr>
                <w:rFonts w:cs="Times New Roman"/>
                <w:szCs w:val="20"/>
              </w:rPr>
              <w:t xml:space="preserve"> achieve the target. </w:t>
            </w:r>
            <w:r w:rsidR="00AB2565" w:rsidRPr="0091450A">
              <w:rPr>
                <w:rFonts w:cs="Times New Roman"/>
                <w:szCs w:val="20"/>
              </w:rPr>
              <w:t>A Cabinet Stra</w:t>
            </w:r>
            <w:r w:rsidR="00AB087B" w:rsidRPr="0091450A">
              <w:rPr>
                <w:rFonts w:cs="Times New Roman"/>
                <w:szCs w:val="20"/>
              </w:rPr>
              <w:t>t</w:t>
            </w:r>
            <w:r w:rsidR="00AB2565" w:rsidRPr="0091450A">
              <w:rPr>
                <w:rFonts w:cs="Times New Roman"/>
                <w:szCs w:val="20"/>
              </w:rPr>
              <w:t>e</w:t>
            </w:r>
            <w:r w:rsidR="00AB087B" w:rsidRPr="0091450A">
              <w:rPr>
                <w:rFonts w:cs="Times New Roman"/>
                <w:szCs w:val="20"/>
              </w:rPr>
              <w:t>g</w:t>
            </w:r>
            <w:r w:rsidR="00AB2565" w:rsidRPr="0091450A">
              <w:rPr>
                <w:rFonts w:cs="Times New Roman"/>
                <w:szCs w:val="20"/>
              </w:rPr>
              <w:t xml:space="preserve">y Committee did not support this approach (15 June 2015) </w:t>
            </w:r>
            <w:r w:rsidR="007567FF" w:rsidRPr="0091450A">
              <w:rPr>
                <w:rFonts w:cs="Times New Roman"/>
                <w:szCs w:val="20"/>
              </w:rPr>
              <w:t>A new health target was implemented from 1 July 2016 ‘</w:t>
            </w:r>
            <w:r w:rsidR="007567FF" w:rsidRPr="00EF2FFE">
              <w:rPr>
                <w:rFonts w:cs="Times New Roman"/>
                <w:szCs w:val="20"/>
              </w:rPr>
              <w:t xml:space="preserve">By December 2017, 95% of obese children </w:t>
            </w:r>
            <w:r w:rsidR="00651244" w:rsidRPr="00EF2FFE">
              <w:rPr>
                <w:rFonts w:cs="Times New Roman"/>
                <w:szCs w:val="20"/>
              </w:rPr>
              <w:t>identified</w:t>
            </w:r>
            <w:r w:rsidR="007567FF" w:rsidRPr="00EF2FFE">
              <w:t xml:space="preserve"> in the Before School Check (B4SC) programme will be offered a referral to a health professional for clinical assessment and family</w:t>
            </w:r>
            <w:r w:rsidR="00A929BE" w:rsidRPr="00EF2FFE">
              <w:rPr>
                <w:rFonts w:cs="Times New Roman"/>
                <w:szCs w:val="20"/>
              </w:rPr>
              <w:t>-</w:t>
            </w:r>
            <w:r w:rsidR="007567FF" w:rsidRPr="00EF2FFE">
              <w:t>based nutrition, activity and lifestyle interventions.</w:t>
            </w:r>
            <w:r w:rsidR="007567FF" w:rsidRPr="00FC43C2">
              <w:t xml:space="preserve">’ </w:t>
            </w:r>
            <w:r w:rsidR="00DE5F11" w:rsidRPr="00FC43C2">
              <w:t xml:space="preserve">By quarter one 2019/20 17 out of 22 DHBs had met the target </w:t>
            </w:r>
            <w:r w:rsidR="00F35CD2" w:rsidRPr="00FC43C2">
              <w:fldChar w:fldCharType="begin" w:fldLock="1"/>
            </w:r>
            <w:r w:rsidR="00EC12A7" w:rsidRPr="00FC43C2">
              <w:instrText>ADDIN CSL_CITATION {"citationItems":[{"id":"ITEM-1","itemData":{"URL":"https://www.health.govt.nz/new-zealand-health-system/health-targets/how-my-dhb-performing-2017-18","accessed":{"date-parts":[["2020","1","31"]]},"author":[{"dropping-particle":"","family":"Ministry of Health NZ","given":"","non-dropping-particle":"","parse-names":false,"suffix":""}],"id":"ITEM-1","issued":{"date-parts":[["2019"]]},"title":"How is my DHB performing?","type":"webpage"},"uris":["http://www.mendeley.com/documents/?uuid=35f70dcb-60e4-3f85-914c-9390a447e5e3"]}],"mendeley":{"formattedCitation":"(178)","plainTextFormattedCitation":"(178)","previouslyFormattedCitation":"(178)"},"properties":{"noteIndex":0},"schema":"https://github.com/citation-style-language/schema/raw/master/csl-citation.json"}</w:instrText>
            </w:r>
            <w:r w:rsidR="00F35CD2" w:rsidRPr="00FC43C2">
              <w:fldChar w:fldCharType="separate"/>
            </w:r>
            <w:r w:rsidR="009C4029" w:rsidRPr="00FC43C2">
              <w:rPr>
                <w:noProof/>
              </w:rPr>
              <w:t>(178)</w:t>
            </w:r>
            <w:r w:rsidR="00F35CD2" w:rsidRPr="00FC43C2">
              <w:fldChar w:fldCharType="end"/>
            </w:r>
            <w:r w:rsidR="00DE5F11" w:rsidRPr="00FC43C2">
              <w:t>.</w:t>
            </w:r>
            <w:r w:rsidR="00DB557F" w:rsidRPr="00FC43C2">
              <w:t xml:space="preserve"> </w:t>
            </w:r>
            <w:r w:rsidR="007567FF" w:rsidRPr="00FC43C2">
              <w:t>The target was selected as the B4SC focuses on</w:t>
            </w:r>
            <w:r w:rsidR="007567FF" w:rsidRPr="0091450A">
              <w:t xml:space="preserve"> early intervention to ensure positive, sustained effects on health. </w:t>
            </w:r>
            <w:r w:rsidR="00AB2565" w:rsidRPr="0091450A">
              <w:rPr>
                <w:rFonts w:cs="Times New Roman"/>
                <w:szCs w:val="20"/>
              </w:rPr>
              <w:t xml:space="preserve">The coverage of services such as Active Families needed to be expanded and the age of eligibility lowered from five to four years at an indicative cost of $3.8 M per annum to be reprioritised from funding identified in the obesity stocktake. </w:t>
            </w:r>
          </w:p>
          <w:p w14:paraId="6D90AD7A" w14:textId="15605264" w:rsidR="00855A9C" w:rsidRPr="0091450A" w:rsidRDefault="0016468A" w:rsidP="002D613F">
            <w:pPr>
              <w:pStyle w:val="ListParagraph"/>
              <w:numPr>
                <w:ilvl w:val="0"/>
                <w:numId w:val="40"/>
              </w:numPr>
              <w:autoSpaceDE w:val="0"/>
              <w:autoSpaceDN w:val="0"/>
              <w:adjustRightInd w:val="0"/>
              <w:spacing w:before="40" w:after="40"/>
              <w:ind w:left="284" w:hanging="284"/>
              <w:contextualSpacing w:val="0"/>
              <w:rPr>
                <w:rFonts w:eastAsia="MS Mincho" w:cs="Times New Roman"/>
                <w:szCs w:val="20"/>
              </w:rPr>
            </w:pPr>
            <w:r w:rsidRPr="0091450A">
              <w:rPr>
                <w:rFonts w:eastAsia="MS Mincho" w:cs="Times New Roman"/>
                <w:szCs w:val="20"/>
              </w:rPr>
              <w:t xml:space="preserve">A reducing childhood obesity </w:t>
            </w:r>
            <w:r w:rsidRPr="00EF2FFE">
              <w:rPr>
                <w:rFonts w:eastAsia="MS Mincho" w:cs="Times New Roman"/>
                <w:szCs w:val="20"/>
              </w:rPr>
              <w:t>intervention logic model aligns with the direction of the Childhood Obesity Plan and recommendations of the World Health Organization</w:t>
            </w:r>
            <w:r w:rsidRPr="0091450A">
              <w:rPr>
                <w:rFonts w:eastAsia="MS Mincho" w:cs="Times New Roman"/>
                <w:szCs w:val="20"/>
              </w:rPr>
              <w:t xml:space="preserve"> Commission on Ending Childhood Obesity. The model sets out </w:t>
            </w:r>
            <w:r w:rsidR="00373D47" w:rsidRPr="0091450A">
              <w:rPr>
                <w:rFonts w:eastAsia="MS Mincho" w:cs="Times New Roman"/>
                <w:szCs w:val="20"/>
              </w:rPr>
              <w:t>several</w:t>
            </w:r>
            <w:r w:rsidRPr="0091450A">
              <w:rPr>
                <w:rFonts w:eastAsia="MS Mincho" w:cs="Times New Roman"/>
                <w:szCs w:val="20"/>
              </w:rPr>
              <w:t xml:space="preserve"> shared goals, outcomes and indicators for the New Zealand Childhood Obesity Programme</w:t>
            </w:r>
            <w:r w:rsidR="00816B0F">
              <w:rPr>
                <w:rFonts w:eastAsia="MS Mincho" w:cs="Times New Roman"/>
                <w:szCs w:val="20"/>
              </w:rPr>
              <w:t xml:space="preserve"> </w:t>
            </w:r>
            <w:r w:rsidR="00C641E3">
              <w:rPr>
                <w:rFonts w:eastAsia="MS Mincho" w:cs="Times New Roman"/>
                <w:szCs w:val="20"/>
              </w:rPr>
              <w:fldChar w:fldCharType="begin" w:fldLock="1"/>
            </w:r>
            <w:r w:rsidR="00EC12A7">
              <w:rPr>
                <w:rFonts w:eastAsia="MS Mincho" w:cs="Times New Roman"/>
                <w:szCs w:val="20"/>
              </w:rPr>
              <w:instrText>ADDIN CSL_CITATION {"citationItems":[{"id":"ITEM-1","itemData":{"author":[{"dropping-particle":"","family":"Ministry of Health","given":"","non-dropping-particle":"","parse-names":false,"suffix":""}],"id":"ITEM-1","issued":{"date-parts":[["2017"]]},"publisher-place":"Wellington","title":"Children and Young People Living Well and Staying Well: New Zealand Childhood Obesity Programme Baseline Report 2016/17","type":"report"},"uris":["http://www.mendeley.com/documents/?uuid=807c8d70-1748-4ad9-88eb-221d40716e5f"]}],"mendeley":{"formattedCitation":"(179)","plainTextFormattedCitation":"(179)","previouslyFormattedCitation":"(179)"},"properties":{"noteIndex":0},"schema":"https://github.com/citation-style-language/schema/raw/master/csl-citation.json"}</w:instrText>
            </w:r>
            <w:r w:rsidR="00C641E3">
              <w:rPr>
                <w:rFonts w:eastAsia="MS Mincho" w:cs="Times New Roman"/>
                <w:szCs w:val="20"/>
              </w:rPr>
              <w:fldChar w:fldCharType="separate"/>
            </w:r>
            <w:r w:rsidR="009C4029" w:rsidRPr="009C4029">
              <w:rPr>
                <w:rFonts w:eastAsia="MS Mincho" w:cs="Times New Roman"/>
                <w:noProof/>
                <w:szCs w:val="20"/>
              </w:rPr>
              <w:t>(179)</w:t>
            </w:r>
            <w:r w:rsidR="00C641E3">
              <w:rPr>
                <w:rFonts w:eastAsia="MS Mincho" w:cs="Times New Roman"/>
                <w:szCs w:val="20"/>
              </w:rPr>
              <w:fldChar w:fldCharType="end"/>
            </w:r>
            <w:r w:rsidRPr="0091450A">
              <w:rPr>
                <w:rFonts w:eastAsia="MS Mincho" w:cs="Times New Roman"/>
                <w:szCs w:val="20"/>
              </w:rPr>
              <w:t>.</w:t>
            </w:r>
            <w:r w:rsidR="00D856DA" w:rsidRPr="0091450A">
              <w:rPr>
                <w:rFonts w:eastAsia="MS Mincho" w:cs="Times New Roman"/>
                <w:szCs w:val="20"/>
              </w:rPr>
              <w:t xml:space="preserve"> However</w:t>
            </w:r>
            <w:r w:rsidR="00DB557F">
              <w:rPr>
                <w:rFonts w:eastAsia="MS Mincho" w:cs="Times New Roman"/>
                <w:szCs w:val="20"/>
              </w:rPr>
              <w:t>,</w:t>
            </w:r>
            <w:r w:rsidR="00D856DA" w:rsidRPr="0091450A">
              <w:rPr>
                <w:rFonts w:eastAsia="MS Mincho" w:cs="Times New Roman"/>
                <w:szCs w:val="20"/>
              </w:rPr>
              <w:t xml:space="preserve"> there have been no regular progress reports on the outcomes of the plan.</w:t>
            </w:r>
            <w:r w:rsidRPr="0091450A">
              <w:rPr>
                <w:rFonts w:eastAsia="MS Mincho" w:cs="Times New Roman"/>
                <w:szCs w:val="20"/>
              </w:rPr>
              <w:t xml:space="preserve"> </w:t>
            </w:r>
          </w:p>
          <w:p w14:paraId="5930C542" w14:textId="6E038A30" w:rsidR="00C5347E" w:rsidRPr="00FC43C2" w:rsidRDefault="00855A9C" w:rsidP="007159FF">
            <w:pPr>
              <w:pStyle w:val="ListParagraph"/>
              <w:numPr>
                <w:ilvl w:val="0"/>
                <w:numId w:val="40"/>
              </w:numPr>
              <w:autoSpaceDE w:val="0"/>
              <w:autoSpaceDN w:val="0"/>
              <w:adjustRightInd w:val="0"/>
              <w:spacing w:before="40" w:after="40"/>
              <w:ind w:left="284" w:hanging="284"/>
              <w:contextualSpacing w:val="0"/>
              <w:rPr>
                <w:b/>
                <w:color w:val="1F497D"/>
              </w:rPr>
            </w:pPr>
            <w:r w:rsidRPr="00FC43C2">
              <w:t xml:space="preserve">Many nutrition-related projects and areas of work are carried out within MPI to support </w:t>
            </w:r>
            <w:r w:rsidR="00DB557F" w:rsidRPr="00FC43C2">
              <w:t xml:space="preserve">the </w:t>
            </w:r>
            <w:r w:rsidRPr="00FC43C2">
              <w:t xml:space="preserve">development of fit for purpose food regulations. These include monitoring and implementation of the New Zealand and Australian front of pack labelling (the Health Star Rating system), monitoring voluntary folic acid fortification and the New Zealand Total Diet Study (which includes measurement of fluoride, iodine, selenium and sodium) and significant input into global food regulations that are related to nutrition especially the Codex Committee on Nutrition of Foods for Special Dietary Uses and the Codex Committee for Food Labelling. </w:t>
            </w:r>
            <w:r w:rsidR="0095233C" w:rsidRPr="00FC43C2">
              <w:t>MPI is currently reviewing the approach to folic acid fortification in New Zealand</w:t>
            </w:r>
            <w:r w:rsidR="006330C6" w:rsidRPr="00FC43C2">
              <w:t xml:space="preserve"> </w:t>
            </w:r>
            <w:r w:rsidR="006330C6" w:rsidRPr="00FC43C2">
              <w:fldChar w:fldCharType="begin" w:fldLock="1"/>
            </w:r>
            <w:r w:rsidR="00EC12A7" w:rsidRPr="00FC43C2">
              <w:instrText>ADDIN CSL_CITATION {"citationItems":[{"id":"ITEM-1","itemData":{"URL":"https://www.mpi.govt.nz/news-and-resources/consultations/review-of-folic-acid-fortification-of-food/","accessed":{"date-parts":[["2020","1","31"]]},"author":[{"dropping-particle":"","family":"Ministry of Primary Industries","given":"","non-dropping-particle":"","parse-names":false,"suffix":""}],"id":"ITEM-1","issued":{"date-parts":[["2019"]]},"title":"Review of folic acid fortification of food | NZ Food Safety | NZ Government","type":"webpage"},"uris":["http://www.mendeley.com/documents/?uuid=c62beb44-029b-3e95-a4fd-f777179f97cc"]}],"mendeley":{"formattedCitation":"(180)","plainTextFormattedCitation":"(180)","previouslyFormattedCitation":"(180)"},"properties":{"noteIndex":0},"schema":"https://github.com/citation-style-language/schema/raw/master/csl-citation.json"}</w:instrText>
            </w:r>
            <w:r w:rsidR="006330C6" w:rsidRPr="00FC43C2">
              <w:fldChar w:fldCharType="separate"/>
            </w:r>
            <w:r w:rsidR="009C4029" w:rsidRPr="00FC43C2">
              <w:rPr>
                <w:noProof/>
              </w:rPr>
              <w:t>(180)</w:t>
            </w:r>
            <w:r w:rsidR="006330C6" w:rsidRPr="00FC43C2">
              <w:fldChar w:fldCharType="end"/>
            </w:r>
            <w:r w:rsidR="0095233C" w:rsidRPr="00FC43C2">
              <w:t xml:space="preserve">. </w:t>
            </w:r>
            <w:r w:rsidR="00DB557F" w:rsidRPr="00FC43C2">
              <w:t>P</w:t>
            </w:r>
            <w:r w:rsidR="0095233C" w:rsidRPr="00FC43C2">
              <w:t xml:space="preserve">ublic consultation on options for strengthening folic acid fortification in New Zealand closed in November 2019. MPI </w:t>
            </w:r>
            <w:r w:rsidR="00DB557F" w:rsidRPr="00FC43C2">
              <w:t>is</w:t>
            </w:r>
            <w:r w:rsidR="0095233C" w:rsidRPr="00FC43C2">
              <w:t xml:space="preserve"> currently analysing the submissions. </w:t>
            </w:r>
            <w:r w:rsidRPr="00FC43C2">
              <w:t>MPI is also responsible for New Zealand input into the Food Standards Code: the trans-Tasman food regulations that include aspects of nutrition in the composition and labelling requirements (personal communication, MPI, 20</w:t>
            </w:r>
            <w:r w:rsidR="006330C6" w:rsidRPr="00FC43C2">
              <w:t>20</w:t>
            </w:r>
            <w:r w:rsidRPr="00FC43C2">
              <w:t>).</w:t>
            </w:r>
          </w:p>
          <w:p w14:paraId="7FB347DB" w14:textId="293D84B2"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6D266192" w14:textId="51FBCE9D" w:rsidR="00BF5551" w:rsidRPr="0091450A" w:rsidRDefault="00C5347E" w:rsidP="002D613F">
            <w:pPr>
              <w:pStyle w:val="ListParagraph"/>
              <w:numPr>
                <w:ilvl w:val="0"/>
                <w:numId w:val="72"/>
              </w:numPr>
              <w:shd w:val="clear" w:color="auto" w:fill="FFFFFF" w:themeFill="background1"/>
              <w:spacing w:before="40" w:after="40"/>
              <w:ind w:left="284" w:hanging="284"/>
              <w:contextualSpacing w:val="0"/>
              <w:rPr>
                <w:rFonts w:cs="Times New Roman"/>
                <w:b/>
                <w:color w:val="002060"/>
                <w:szCs w:val="20"/>
              </w:rPr>
            </w:pPr>
            <w:r w:rsidRPr="0091450A">
              <w:rPr>
                <w:rFonts w:eastAsia="Times New Roman" w:cs="Times New Roman"/>
                <w:b/>
                <w:szCs w:val="20"/>
                <w:lang w:eastAsia="en-NZ"/>
              </w:rPr>
              <w:t>EU</w:t>
            </w:r>
            <w:r w:rsidRPr="0091450A">
              <w:rPr>
                <w:rFonts w:eastAsia="Times New Roman" w:cs="Times New Roman"/>
                <w:szCs w:val="20"/>
                <w:lang w:eastAsia="en-NZ"/>
              </w:rPr>
              <w:t>: The European Food and Nutrition Action Plan 2015-20 outlines clear strategic goals, guiding principles, objectives, priorities and tools. The Plan aligns with the WHO Global Action Plan and under ‘Objective 1 – Create healthy food and drink environments’ there are clear policy and program actions identified</w:t>
            </w:r>
            <w:r w:rsidR="00E8311C" w:rsidRPr="0091450A">
              <w:rPr>
                <w:rFonts w:eastAsia="Times New Roman" w:cs="Times New Roman"/>
                <w:szCs w:val="20"/>
                <w:lang w:eastAsia="en-NZ"/>
              </w:rPr>
              <w:t xml:space="preserve"> </w:t>
            </w:r>
            <w:r w:rsidR="00035AAC"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{"citationItems":[{"id":"ITEM-1","itemData":{"author":[{"dropping-particle":"","family":"World Health Organization Europe","given":"","non-dropping-particle":"","parse-names":false,"suffix":""}],"id":"ITEM-1","issued":{"date-parts":[["2015"]]},"publisher":"WHO Europe","publisher-place":"Copenhagen","title":"European Food and Nutrition Action Plan 2015–2020","type":"report"},"uris":["http://www.mendeley.com/documents/?uuid=e56ba4fb-7ae3-38a7-8ddd-aba51c42b4e4","http://www.mendeley.com/documents/?uuid=ad97f975-54d2-44ca-8eb2-4e89152b2333"]}],"mendeley":{"formattedCitation":"(181)","plainTextFormattedCitation":"(181)","previouslyFormattedCitation":"(181)"},"properties":{"noteIndex":0},"schema":"https://github.com/citation-style-language/schema/raw/master/csl-citation.json"}</w:instrText>
            </w:r>
            <w:r w:rsidR="00035AAC"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(181)</w:t>
            </w:r>
            <w:r w:rsidR="00035AAC" w:rsidRPr="0091450A">
              <w:rPr>
                <w:rFonts w:eastAsia="Times New Roman" w:cs="Times New Roman"/>
                <w:szCs w:val="20"/>
                <w:lang w:eastAsia="en-NZ"/>
              </w:rPr>
              <w:fldChar w:fldCharType="end"/>
            </w:r>
            <w:r w:rsidR="00E97F71" w:rsidRPr="0091450A">
              <w:rPr>
                <w:rFonts w:eastAsia="Times New Roman" w:cs="Times New Roman"/>
                <w:szCs w:val="20"/>
                <w:lang w:eastAsia="en-NZ"/>
              </w:rPr>
              <w:t>.</w:t>
            </w:r>
          </w:p>
        </w:tc>
      </w:tr>
    </w:tbl>
    <w:p w14:paraId="0252A805" w14:textId="2D5E2CDC" w:rsidR="00BD5651" w:rsidRPr="0091450A" w:rsidRDefault="00BD5651" w:rsidP="002D613F">
      <w:pPr>
        <w:spacing w:line="240" w:lineRule="auto"/>
        <w:rPr>
          <w:rFonts w:eastAsiaTheme="majorEastAsia" w:cstheme="majorBidi"/>
          <w:b/>
          <w:bCs/>
          <w:color w:val="1F497D" w:themeColor="text2"/>
          <w:sz w:val="28"/>
          <w:szCs w:val="26"/>
        </w:rPr>
      </w:pPr>
    </w:p>
    <w:tbl>
      <w:tblPr>
        <w:tblStyle w:val="TableGrid"/>
        <w:tblW w:w="9209" w:type="dxa"/>
        <w:tblLook w:val="04A0" w:firstRow="1" w:lastRow="0" w:firstColumn="1" w:lastColumn="0" w:noHBand="0" w:noVBand="1"/>
      </w:tblPr>
      <w:tblGrid>
        <w:gridCol w:w="9209"/>
      </w:tblGrid>
      <w:tr w:rsidR="007A5E04" w:rsidRPr="0091450A" w14:paraId="255C6574" w14:textId="77777777" w:rsidTr="00CA16E1">
        <w:tc>
          <w:tcPr>
            <w:tcW w:w="9209" w:type="dxa"/>
          </w:tcPr>
          <w:p w14:paraId="10F1BFEB" w14:textId="248EA101" w:rsidR="007A5E04" w:rsidRPr="0091450A" w:rsidRDefault="007A5E04"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8 LEADERSHIP: </w:t>
            </w:r>
            <w:r w:rsidRPr="0091450A">
              <w:rPr>
                <w:rFonts w:cs="Times New Roman"/>
                <w:szCs w:val="20"/>
              </w:rPr>
              <w:t>The political leadership ensures that there is strong support for the vision, planning, communication, implementation and evaluation of policies and actions to create healthy food environments, improve population nutrition, and reduce diet-related inequalities</w:t>
            </w:r>
            <w:r w:rsidR="00B84E85" w:rsidRPr="0091450A">
              <w:rPr>
                <w:rFonts w:cs="Times New Roman"/>
                <w:szCs w:val="20"/>
              </w:rPr>
              <w:t>.</w:t>
            </w:r>
          </w:p>
        </w:tc>
      </w:tr>
      <w:tr w:rsidR="007A5E04" w:rsidRPr="0091450A" w14:paraId="53522CD0" w14:textId="77777777" w:rsidTr="00CA16E1">
        <w:tc>
          <w:tcPr>
            <w:tcW w:w="9209" w:type="dxa"/>
          </w:tcPr>
          <w:p w14:paraId="64ACC6C4" w14:textId="416843C8" w:rsidR="007A5E04" w:rsidRPr="0091450A" w:rsidRDefault="00B72DFC" w:rsidP="002D613F">
            <w:pPr>
              <w:shd w:val="clear" w:color="auto" w:fill="FFFFFF" w:themeFill="background1"/>
              <w:spacing w:before="40" w:after="40"/>
              <w:rPr>
                <w:rFonts w:cs="Times New Roman"/>
                <w:szCs w:val="20"/>
              </w:rPr>
            </w:pPr>
            <w:bookmarkStart w:id="51" w:name="_Toc31623749"/>
            <w:r w:rsidRPr="0091450A">
              <w:rPr>
                <w:rStyle w:val="Heading3Char"/>
              </w:rPr>
              <w:t>L</w:t>
            </w:r>
            <w:r w:rsidR="007A5E04" w:rsidRPr="0091450A">
              <w:rPr>
                <w:rStyle w:val="Heading3Char"/>
              </w:rPr>
              <w:t>EAD5</w:t>
            </w:r>
            <w:bookmarkEnd w:id="51"/>
            <w:r w:rsidR="007A5E04" w:rsidRPr="0091450A">
              <w:rPr>
                <w:rFonts w:cs="Times New Roman"/>
                <w:b/>
                <w:color w:val="1F497D" w:themeColor="text2"/>
                <w:sz w:val="28"/>
                <w:szCs w:val="28"/>
              </w:rPr>
              <w:t xml:space="preserve">: </w:t>
            </w:r>
            <w:r w:rsidR="00C22AFF" w:rsidRPr="0091450A">
              <w:rPr>
                <w:rFonts w:cs="Times New Roman"/>
                <w:b/>
                <w:szCs w:val="20"/>
              </w:rPr>
              <w:t>Government priorities have been established to reduce inequalities in relation to diet</w:t>
            </w:r>
            <w:r w:rsidR="00B84E85" w:rsidRPr="0091450A">
              <w:rPr>
                <w:rFonts w:cs="Times New Roman"/>
                <w:b/>
                <w:szCs w:val="20"/>
              </w:rPr>
              <w:t>, nutrition, obesity and NCDs.</w:t>
            </w:r>
          </w:p>
        </w:tc>
      </w:tr>
      <w:tr w:rsidR="007A5E04" w:rsidRPr="0091450A" w14:paraId="66BADE7A" w14:textId="77777777" w:rsidTr="00CA16E1">
        <w:tc>
          <w:tcPr>
            <w:tcW w:w="9209" w:type="dxa"/>
          </w:tcPr>
          <w:p w14:paraId="2F85AA10" w14:textId="1280F014"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Evidence of impleme</w:t>
            </w:r>
            <w:r w:rsidR="00C04080" w:rsidRPr="0091450A">
              <w:rPr>
                <w:rFonts w:cs="Times New Roman"/>
                <w:b/>
                <w:color w:val="1F497D" w:themeColor="text2"/>
                <w:sz w:val="28"/>
                <w:szCs w:val="28"/>
              </w:rPr>
              <w:t>ntation</w:t>
            </w:r>
          </w:p>
          <w:p w14:paraId="6B8B2D17" w14:textId="786AB8F5" w:rsidR="007A5E04" w:rsidRPr="0091450A" w:rsidRDefault="007A5E04" w:rsidP="002D613F">
            <w:pPr>
              <w:pStyle w:val="ListParagraph"/>
              <w:numPr>
                <w:ilvl w:val="0"/>
                <w:numId w:val="13"/>
              </w:numPr>
              <w:shd w:val="clear" w:color="auto" w:fill="FFFFFF" w:themeFill="background1"/>
              <w:spacing w:before="40" w:after="40"/>
              <w:contextualSpacing w:val="0"/>
              <w:rPr>
                <w:rFonts w:cs="Times New Roman"/>
                <w:color w:val="000000"/>
                <w:szCs w:val="20"/>
              </w:rPr>
            </w:pPr>
            <w:r w:rsidRPr="0091450A">
              <w:rPr>
                <w:rFonts w:cs="Times New Roman"/>
                <w:color w:val="000000"/>
                <w:szCs w:val="20"/>
              </w:rPr>
              <w:t>The New Zealand Public Health and Disability Act 2000, which the statement of intent refers to</w:t>
            </w:r>
            <w:r w:rsidR="003316AA" w:rsidRPr="0091450A">
              <w:rPr>
                <w:rFonts w:cs="Times New Roman"/>
                <w:color w:val="000000"/>
                <w:szCs w:val="20"/>
              </w:rPr>
              <w:t xml:space="preserve"> </w:t>
            </w:r>
            <w:r w:rsidR="00E97F71" w:rsidRPr="0091450A">
              <w:rPr>
                <w:rFonts w:cs="Times New Roman"/>
                <w:color w:val="000000"/>
                <w:szCs w:val="20"/>
              </w:rPr>
              <w:fldChar w:fldCharType="begin" w:fldLock="1"/>
            </w:r>
            <w:r w:rsidR="00EC12A7">
              <w:rPr>
                <w:rFonts w:cs="Times New Roman"/>
                <w:color w:val="000000"/>
                <w:szCs w:val="20"/>
              </w:rPr>
              <w:instrText>ADDIN CSL_CITATION {"citationItems":[{"id":"ITEM-1","itemData":{"author":[{"dropping-particle":"","family":"Ministry of Health","given":"","non-dropping-particle":"","parse-names":false,"suffix":""}],"id":"ITEM-1","issued":{"date-parts":[["2012"]]},"publisher":"Ministry of Health","publisher-place":"Wellington","title":"Statement of Intent 2012/13 to 2014/15","type":"report"},"uris":["http://www.mendeley.com/documents/?uuid=4c367a9c-3532-3b29-84fc-1a85658a5d7b","http://www.mendeley.com/documents/?uuid=07291bb9-046d-42fd-93b5-833528659b86"]}],"mendeley":{"formattedCitation":"(182)","plainTextFormattedCitation":"(182)","previouslyFormattedCitation":"(182)"},"properties":{"noteIndex":0},"schema":"https://github.com/citation-style-language/schema/raw/master/csl-citation.json"}</w:instrText>
            </w:r>
            <w:r w:rsidR="00E97F71" w:rsidRPr="0091450A">
              <w:rPr>
                <w:rFonts w:cs="Times New Roman"/>
                <w:color w:val="000000"/>
                <w:szCs w:val="20"/>
              </w:rPr>
              <w:fldChar w:fldCharType="separate"/>
            </w:r>
            <w:r w:rsidR="009C4029" w:rsidRPr="009C4029">
              <w:rPr>
                <w:rFonts w:cs="Times New Roman"/>
                <w:noProof/>
                <w:color w:val="000000"/>
                <w:szCs w:val="20"/>
              </w:rPr>
              <w:t>(182)</w:t>
            </w:r>
            <w:r w:rsidR="00E97F71" w:rsidRPr="0091450A">
              <w:rPr>
                <w:rFonts w:cs="Times New Roman"/>
                <w:color w:val="000000"/>
                <w:szCs w:val="20"/>
              </w:rPr>
              <w:fldChar w:fldCharType="end"/>
            </w:r>
            <w:r w:rsidRPr="0091450A">
              <w:rPr>
                <w:rFonts w:cs="Times New Roman"/>
                <w:color w:val="000000"/>
                <w:szCs w:val="20"/>
              </w:rPr>
              <w:t xml:space="preserve"> sets the strategic direction and goals for health and disability services in New Zealand, including improving the </w:t>
            </w:r>
            <w:r w:rsidRPr="007159FF">
              <w:rPr>
                <w:rFonts w:cs="Times New Roman"/>
                <w:color w:val="000000"/>
                <w:szCs w:val="20"/>
              </w:rPr>
              <w:t>health</w:t>
            </w:r>
            <w:r w:rsidRPr="0091450A">
              <w:rPr>
                <w:rFonts w:cs="Times New Roman"/>
                <w:color w:val="000000"/>
                <w:szCs w:val="20"/>
              </w:rPr>
              <w:t xml:space="preserve"> of Māori and other specific population groups.</w:t>
            </w:r>
          </w:p>
          <w:p w14:paraId="1D1A2B8C" w14:textId="2AA44127" w:rsidR="00734C18" w:rsidRPr="0091450A" w:rsidRDefault="003316AA"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 xml:space="preserve">Relevant items in the Ministry of Health </w:t>
            </w:r>
            <w:r w:rsidR="00734C18" w:rsidRPr="0091450A">
              <w:rPr>
                <w:rFonts w:cs="Times New Roman"/>
                <w:szCs w:val="20"/>
              </w:rPr>
              <w:t xml:space="preserve">Statement of Intent </w:t>
            </w:r>
            <w:r w:rsidR="00734C18" w:rsidRPr="007159FF">
              <w:rPr>
                <w:rFonts w:cs="Times New Roman"/>
                <w:szCs w:val="20"/>
              </w:rPr>
              <w:t>201</w:t>
            </w:r>
            <w:r w:rsidR="006330C6" w:rsidRPr="007159FF">
              <w:rPr>
                <w:rFonts w:cs="Times New Roman"/>
                <w:szCs w:val="20"/>
              </w:rPr>
              <w:t>7</w:t>
            </w:r>
            <w:r w:rsidR="00734C18" w:rsidRPr="007159FF">
              <w:rPr>
                <w:rFonts w:cs="Times New Roman"/>
                <w:szCs w:val="20"/>
              </w:rPr>
              <w:t>-</w:t>
            </w:r>
            <w:r w:rsidR="006330C6" w:rsidRPr="007159FF">
              <w:rPr>
                <w:rFonts w:cs="Times New Roman"/>
                <w:szCs w:val="20"/>
              </w:rPr>
              <w:t>21</w:t>
            </w:r>
            <w:r w:rsidR="009E62BE" w:rsidRPr="0091450A">
              <w:rPr>
                <w:rFonts w:cs="Times New Roman"/>
                <w:szCs w:val="20"/>
              </w:rPr>
              <w:t xml:space="preserve"> </w:t>
            </w:r>
            <w:r w:rsidR="00650578" w:rsidRPr="0091450A">
              <w:rPr>
                <w:rFonts w:cs="Times New Roman"/>
                <w:szCs w:val="20"/>
              </w:rPr>
              <w:fldChar w:fldCharType="begin" w:fldLock="1"/>
            </w:r>
            <w:r w:rsidR="00EC12A7">
              <w:rPr>
                <w:rFonts w:cs="Times New Roman"/>
                <w:szCs w:val="20"/>
              </w:rPr>
              <w:instrText>ADDIN CSL_CITATION {"citationItems":[{"id":"ITEM-1","itemData":{"ISSN":"2357-9682","author":[{"dropping-particle":"","family":"of Health","given":"Ministry","non-dropping-particle":"","parse-names":false,"suffix":""}],"id":"ITEM-1","issued":{"date-parts":[["2017"]]},"title":"Statement of Strategic Intentions 2017 to 2021","type":"article-journal"},"uris":["http://www.mendeley.com/documents/?uuid=524fe614-bf3e-3755-beaa-a740c6bad381"]}],"mendeley":{"formattedCitation":"(153)","plainTextFormattedCitation":"(153)","previouslyFormattedCitation":"(153)"},"properties":{"noteIndex":0},"schema":"https://github.com/citation-style-language/schema/raw/master/csl-citation.json"}</w:instrText>
            </w:r>
            <w:r w:rsidR="00650578" w:rsidRPr="0091450A">
              <w:rPr>
                <w:rFonts w:cs="Times New Roman"/>
                <w:szCs w:val="20"/>
              </w:rPr>
              <w:fldChar w:fldCharType="separate"/>
            </w:r>
            <w:r w:rsidR="009C4029" w:rsidRPr="009C4029">
              <w:rPr>
                <w:rFonts w:cs="Times New Roman"/>
                <w:noProof/>
                <w:szCs w:val="20"/>
              </w:rPr>
              <w:t>(153)</w:t>
            </w:r>
            <w:r w:rsidR="00650578" w:rsidRPr="0091450A">
              <w:rPr>
                <w:rFonts w:cs="Times New Roman"/>
                <w:szCs w:val="20"/>
              </w:rPr>
              <w:fldChar w:fldCharType="end"/>
            </w:r>
            <w:r w:rsidRPr="0091450A">
              <w:rPr>
                <w:rFonts w:cs="Times New Roman"/>
                <w:szCs w:val="20"/>
              </w:rPr>
              <w:t xml:space="preserve"> are that the</w:t>
            </w:r>
            <w:r w:rsidR="00734C18" w:rsidRPr="0091450A">
              <w:rPr>
                <w:rFonts w:cs="Times New Roman"/>
                <w:szCs w:val="20"/>
              </w:rPr>
              <w:t xml:space="preserve"> Government’s cross-sector priorities in the health and social sector include supporting vulnerable </w:t>
            </w:r>
            <w:r w:rsidR="00091B76" w:rsidRPr="0091450A">
              <w:rPr>
                <w:rFonts w:cs="Times New Roman"/>
                <w:szCs w:val="20"/>
              </w:rPr>
              <w:t xml:space="preserve">mothers, </w:t>
            </w:r>
            <w:r w:rsidR="00734C18" w:rsidRPr="0091450A">
              <w:rPr>
                <w:rFonts w:cs="Times New Roman"/>
                <w:szCs w:val="20"/>
              </w:rPr>
              <w:t>children</w:t>
            </w:r>
            <w:r w:rsidR="00091B76" w:rsidRPr="0091450A">
              <w:rPr>
                <w:rFonts w:cs="Times New Roman"/>
                <w:szCs w:val="20"/>
              </w:rPr>
              <w:t xml:space="preserve"> and babies</w:t>
            </w:r>
            <w:r w:rsidRPr="0091450A">
              <w:rPr>
                <w:rFonts w:cs="Times New Roman"/>
                <w:szCs w:val="20"/>
              </w:rPr>
              <w:t>, and under h</w:t>
            </w:r>
            <w:r w:rsidR="00734C18" w:rsidRPr="0091450A">
              <w:rPr>
                <w:rFonts w:cs="Times New Roman"/>
                <w:szCs w:val="20"/>
              </w:rPr>
              <w:t>ealth system outcomes, improving outcomes for particular groups such as M</w:t>
            </w:r>
            <w:r w:rsidR="00C60141">
              <w:rPr>
                <w:rFonts w:cs="Times New Roman"/>
                <w:szCs w:val="20"/>
              </w:rPr>
              <w:t>ā</w:t>
            </w:r>
            <w:r w:rsidR="00734C18" w:rsidRPr="0091450A">
              <w:rPr>
                <w:rFonts w:cs="Times New Roman"/>
                <w:szCs w:val="20"/>
              </w:rPr>
              <w:t>ori, Pacific, older people and children.</w:t>
            </w:r>
          </w:p>
          <w:p w14:paraId="29514133" w14:textId="62C0EECE" w:rsidR="009A197B" w:rsidRPr="0091450A" w:rsidRDefault="009A197B"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 xml:space="preserve">‘Ala </w:t>
            </w:r>
            <w:proofErr w:type="spellStart"/>
            <w:r w:rsidRPr="0091450A">
              <w:rPr>
                <w:rFonts w:cs="Times New Roman"/>
                <w:szCs w:val="20"/>
              </w:rPr>
              <w:t>Mo’ui</w:t>
            </w:r>
            <w:proofErr w:type="spellEnd"/>
            <w:r w:rsidRPr="0091450A">
              <w:rPr>
                <w:rFonts w:cs="Times New Roman"/>
                <w:szCs w:val="20"/>
              </w:rPr>
              <w:t>: Pathways to Pacific Health and Wellbeing 2014-2018</w:t>
            </w:r>
            <w:r w:rsidR="0034663D" w:rsidRPr="0091450A">
              <w:rPr>
                <w:rFonts w:cs="Times New Roman"/>
                <w:szCs w:val="20"/>
              </w:rPr>
              <w:t xml:space="preserve"> </w:t>
            </w:r>
            <w:r w:rsidR="00777ECD" w:rsidRPr="0091450A">
              <w:rPr>
                <w:rFonts w:cs="Times New Roman"/>
                <w:szCs w:val="20"/>
              </w:rPr>
              <w:fldChar w:fldCharType="begin" w:fldLock="1"/>
            </w:r>
            <w:r w:rsidR="00EC12A7">
              <w:rPr>
                <w:rFonts w:cs="Times New Roman"/>
                <w:szCs w:val="20"/>
              </w:rPr>
              <w:instrText>ADDIN CSL_CITATION {"citationItems":[{"id":"ITEM-1","itemData":{"author":[{"dropping-particle":"","family":"Minister of Health","given":"","non-dropping-particle":"","parse-names":false,"suffix":""},{"dropping-particle":"","family":"Minister of Pacific Island Affairs","given":"","non-dropping-particle":"","parse-names":false,"suffix":""}],"id":"ITEM-1","issued":{"date-parts":[["2014"]]},"publisher":"Ministry of Health","publisher-place":"Wellington","title":"’Ala Mo’ui: Pathways to Pacific Health and Wellbeing 2014–2018","type":"report"},"uris":["http://www.mendeley.com/documents/?uuid=a61bfd47-f49a-36ca-900e-185b04c93fe1","http://www.mendeley.com/documents/?uuid=5b17027b-f532-4a0f-a855-48dce4a2e445"]}],"mendeley":{"formattedCitation":"(183)","plainTextFormattedCitation":"(183)","previouslyFormattedCitation":"(183)"},"properties":{"noteIndex":0},"schema":"https://github.com/citation-style-language/schema/raw/master/csl-citation.json"}</w:instrText>
            </w:r>
            <w:r w:rsidR="00777ECD" w:rsidRPr="0091450A">
              <w:rPr>
                <w:rFonts w:cs="Times New Roman"/>
                <w:szCs w:val="20"/>
              </w:rPr>
              <w:fldChar w:fldCharType="separate"/>
            </w:r>
            <w:r w:rsidR="009C4029" w:rsidRPr="009C4029">
              <w:rPr>
                <w:rFonts w:cs="Times New Roman"/>
                <w:noProof/>
                <w:szCs w:val="20"/>
              </w:rPr>
              <w:t>(183)</w:t>
            </w:r>
            <w:r w:rsidR="00777ECD" w:rsidRPr="0091450A">
              <w:rPr>
                <w:rFonts w:cs="Times New Roman"/>
                <w:szCs w:val="20"/>
              </w:rPr>
              <w:fldChar w:fldCharType="end"/>
            </w:r>
            <w:r w:rsidR="003316AA" w:rsidRPr="0091450A">
              <w:rPr>
                <w:rFonts w:cs="Times New Roman"/>
                <w:szCs w:val="20"/>
              </w:rPr>
              <w:t xml:space="preserve"> is a p</w:t>
            </w:r>
            <w:r w:rsidRPr="0091450A">
              <w:rPr>
                <w:rFonts w:cs="Times New Roman"/>
                <w:szCs w:val="20"/>
              </w:rPr>
              <w:t>lan for improving healt</w:t>
            </w:r>
            <w:r w:rsidR="003316AA" w:rsidRPr="0091450A">
              <w:rPr>
                <w:rFonts w:cs="Times New Roman"/>
                <w:szCs w:val="20"/>
              </w:rPr>
              <w:t>h outcomes for Pacific peoples with a v</w:t>
            </w:r>
            <w:r w:rsidRPr="0091450A">
              <w:rPr>
                <w:rFonts w:cs="Times New Roman"/>
                <w:szCs w:val="20"/>
              </w:rPr>
              <w:t>ision of achieving health equity for all Pacific peoples in NZ. The plan is guided by Pacific principles including supporting Pacific people and communities to be healthy and to experience improved broader determinants of health. The plan has indicators related to the number of Pacific children aged 2-14 years who are obese.</w:t>
            </w:r>
            <w:r w:rsidR="003316AA" w:rsidRPr="0091450A">
              <w:rPr>
                <w:rFonts w:cs="Times New Roman"/>
                <w:szCs w:val="20"/>
              </w:rPr>
              <w:t xml:space="preserve"> All parts of the health and disability sector are responsible for improving Pacific health outcomes and reducing inequalities. </w:t>
            </w:r>
            <w:r w:rsidR="009E5384" w:rsidRPr="00FC43C2">
              <w:rPr>
                <w:rFonts w:cs="Times New Roman"/>
                <w:szCs w:val="20"/>
              </w:rPr>
              <w:t>The 2018 Progress Report has no mention of food, nutrition or obesity</w:t>
            </w:r>
            <w:r w:rsidR="001C108D" w:rsidRPr="00FC43C2">
              <w:rPr>
                <w:rFonts w:cs="Times New Roman"/>
                <w:szCs w:val="20"/>
              </w:rPr>
              <w:t xml:space="preserve"> </w:t>
            </w:r>
            <w:r w:rsidR="00E8362C" w:rsidRPr="00FC43C2">
              <w:rPr>
                <w:rFonts w:cs="Times New Roman"/>
                <w:szCs w:val="20"/>
              </w:rPr>
              <w:fldChar w:fldCharType="begin" w:fldLock="1"/>
            </w:r>
            <w:r w:rsidR="001E0551" w:rsidRPr="00FC43C2">
              <w:rPr>
                <w:rFonts w:cs="Times New Roman"/>
                <w:szCs w:val="20"/>
              </w:rPr>
              <w:instrText>ADDIN CSL_CITATION {"citationItems":[{"id":"ITEM-1","itemData":{"ISBN":"9781988539447","author":[{"dropping-particle":"","family":"Ministry of Health","given":"","non-dropping-particle":"","parse-names":false,"suffix":""}],"id":"ITEM-1","issued":{"date-parts":[["2018"]]},"title":"ʹAla Moʹui Progress Report Pacific Health Care Utilisation","type":"book"},"uris":["http://www.mendeley.com/documents/?uuid=9509727d-fe0e-3022-861c-c72b22f32b41","http://www.mendeley.com/documents/?uuid=77e792d7-413c-4ea6-b126-e1e1d9d48690"]}],"mendeley":{"formattedCitation":"(184)","plainTextFormattedCitation":"(184)","previouslyFormattedCitation":"(184)"},"properties":{"noteIndex":0},"schema":"https://github.com/citation-style-language/schema/raw/master/csl-citation.json"}</w:instrText>
            </w:r>
            <w:r w:rsidR="00E8362C" w:rsidRPr="00FC43C2">
              <w:rPr>
                <w:rFonts w:cs="Times New Roman"/>
                <w:szCs w:val="20"/>
              </w:rPr>
              <w:fldChar w:fldCharType="separate"/>
            </w:r>
            <w:r w:rsidR="009C4029" w:rsidRPr="00FC43C2">
              <w:rPr>
                <w:rFonts w:cs="Times New Roman"/>
                <w:noProof/>
                <w:szCs w:val="20"/>
              </w:rPr>
              <w:t>(184)</w:t>
            </w:r>
            <w:r w:rsidR="00E8362C" w:rsidRPr="00FC43C2">
              <w:rPr>
                <w:rFonts w:cs="Times New Roman"/>
                <w:szCs w:val="20"/>
              </w:rPr>
              <w:fldChar w:fldCharType="end"/>
            </w:r>
            <w:r w:rsidR="001C108D" w:rsidRPr="00FC43C2">
              <w:rPr>
                <w:rFonts w:cs="Times New Roman"/>
                <w:szCs w:val="20"/>
              </w:rPr>
              <w:t>.</w:t>
            </w:r>
            <w:r w:rsidR="001C108D" w:rsidRPr="0091450A">
              <w:rPr>
                <w:rFonts w:cs="Times New Roman"/>
                <w:szCs w:val="20"/>
              </w:rPr>
              <w:t xml:space="preserve"> </w:t>
            </w:r>
            <w:r w:rsidR="003316AA" w:rsidRPr="0091450A">
              <w:rPr>
                <w:rFonts w:cs="Times New Roman"/>
                <w:szCs w:val="20"/>
              </w:rPr>
              <w:t>In the MoH, all business units and teams retain responsibility for Pacific health outcomes as part of their work programmes and operational activities. DHBs take responsibility with District Strategic Plans and District Annual Plans of DHBs describing plans for improving Pacific health and reducing inequalities</w:t>
            </w:r>
            <w:r w:rsidR="0034663D" w:rsidRPr="0091450A">
              <w:rPr>
                <w:rFonts w:cs="Times New Roman"/>
                <w:szCs w:val="20"/>
              </w:rPr>
              <w:t xml:space="preserve"> </w:t>
            </w:r>
            <w:r w:rsidR="00966A53" w:rsidRPr="0091450A">
              <w:rPr>
                <w:rFonts w:cs="Times New Roman"/>
                <w:szCs w:val="20"/>
              </w:rPr>
              <w:fldChar w:fldCharType="begin" w:fldLock="1"/>
            </w:r>
            <w:r w:rsidR="00EC12A7">
              <w:rPr>
                <w:rFonts w:cs="Times New Roman"/>
                <w:szCs w:val="20"/>
              </w:rPr>
              <w:instrText>ADDIN CSL_CITATION {"citationItems":[{"id":"ITEM-1","itemData":{"URL":"https://www.health.govt.nz/our-work/populations/pacific-health/responsibility-pacific-health-outcomes","author":[{"dropping-particle":"","family":"Ministry of Health","given":"","non-dropping-particle":"","parse-names":false,"suffix":""}],"id":"ITEM-1","issue":"12/12/2016","issued":{"date-parts":[["2014"]]},"title":"Responsibility for Pacific health outcomes","type":"webpage"},"uris":["http://www.mendeley.com/documents/?uuid=f6d8e319-66b0-3aaa-b54b-61b389b17bed","http://www.mendeley.com/documents/?uuid=6e78e2f3-52d3-4640-bae6-12a13c675df4"]}],"mendeley":{"formattedCitation":"(185)","plainTextFormattedCitation":"(185)","previouslyFormattedCitation":"(185)"},"properties":{"noteIndex":0},"schema":"https://github.com/citation-style-language/schema/raw/master/csl-citation.json"}</w:instrText>
            </w:r>
            <w:r w:rsidR="00966A53" w:rsidRPr="0091450A">
              <w:rPr>
                <w:rFonts w:cs="Times New Roman"/>
                <w:szCs w:val="20"/>
              </w:rPr>
              <w:fldChar w:fldCharType="separate"/>
            </w:r>
            <w:r w:rsidR="009C4029" w:rsidRPr="009C4029">
              <w:rPr>
                <w:rFonts w:cs="Times New Roman"/>
                <w:noProof/>
                <w:szCs w:val="20"/>
              </w:rPr>
              <w:t>(185)</w:t>
            </w:r>
            <w:r w:rsidR="00966A53" w:rsidRPr="0091450A">
              <w:rPr>
                <w:rFonts w:cs="Times New Roman"/>
                <w:szCs w:val="20"/>
              </w:rPr>
              <w:fldChar w:fldCharType="end"/>
            </w:r>
            <w:r w:rsidR="00966A53" w:rsidRPr="0091450A">
              <w:rPr>
                <w:rFonts w:cs="Times New Roman"/>
                <w:szCs w:val="20"/>
              </w:rPr>
              <w:t>.</w:t>
            </w:r>
          </w:p>
          <w:p w14:paraId="034A5667" w14:textId="37901509" w:rsidR="00095968" w:rsidRPr="0091450A" w:rsidRDefault="00095968"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lastRenderedPageBreak/>
              <w:t xml:space="preserve">He Korowai </w:t>
            </w:r>
            <w:proofErr w:type="spellStart"/>
            <w:r w:rsidRPr="0091450A">
              <w:rPr>
                <w:rFonts w:cs="Times New Roman"/>
                <w:szCs w:val="20"/>
              </w:rPr>
              <w:t>Oranga</w:t>
            </w:r>
            <w:proofErr w:type="spellEnd"/>
            <w:r w:rsidR="0034663D" w:rsidRPr="0091450A">
              <w:rPr>
                <w:rFonts w:cs="Times New Roman"/>
                <w:szCs w:val="20"/>
              </w:rPr>
              <w:t xml:space="preserve"> </w:t>
            </w:r>
            <w:r w:rsidR="00966A53" w:rsidRPr="0091450A">
              <w:rPr>
                <w:rFonts w:cs="Times New Roman"/>
                <w:szCs w:val="20"/>
              </w:rPr>
              <w:fldChar w:fldCharType="begin" w:fldLock="1"/>
            </w:r>
            <w:r w:rsidR="00EC12A7">
              <w:rPr>
                <w:rFonts w:cs="Times New Roman"/>
                <w:szCs w:val="20"/>
              </w:rPr>
              <w:instrText>ADDIN CSL_CITATION {"citationItems":[{"id":"ITEM-1","itemData":{"URL":"http://www.health.govt.nz/our-work/populations/maori-health/he-korowai-oranga","author":[{"dropping-particle":"","family":"Ministry of Health","given":"","non-dropping-particle":"","parse-names":false,"suffix":""}],"id":"ITEM-1","issue":"8/12/2016","issued":{"date-parts":[["2015"]]},"publisher":"Ministry of Health","publisher-place":"Wellington","title":"He Korowai Oranga","type":"webpage"},"uris":["http://www.mendeley.com/documents/?uuid=d67cdcfd-424a-3ec4-80ee-7f88c0cee042","http://www.mendeley.com/documents/?uuid=0d7ea10c-81f2-4ecd-8cae-a064642ec25e"]}],"mendeley":{"formattedCitation":"(186)","plainTextFormattedCitation":"(186)","previouslyFormattedCitation":"(186)"},"properties":{"noteIndex":0},"schema":"https://github.com/citation-style-language/schema/raw/master/csl-citation.json"}</w:instrText>
            </w:r>
            <w:r w:rsidR="00966A53" w:rsidRPr="0091450A">
              <w:rPr>
                <w:rFonts w:cs="Times New Roman"/>
                <w:szCs w:val="20"/>
              </w:rPr>
              <w:fldChar w:fldCharType="separate"/>
            </w:r>
            <w:r w:rsidR="009C4029" w:rsidRPr="009C4029">
              <w:rPr>
                <w:rFonts w:cs="Times New Roman"/>
                <w:noProof/>
                <w:szCs w:val="20"/>
              </w:rPr>
              <w:t>(186)</w:t>
            </w:r>
            <w:r w:rsidR="00966A53" w:rsidRPr="0091450A">
              <w:rPr>
                <w:rFonts w:cs="Times New Roman"/>
                <w:szCs w:val="20"/>
              </w:rPr>
              <w:fldChar w:fldCharType="end"/>
            </w:r>
            <w:r w:rsidR="003316AA" w:rsidRPr="0091450A">
              <w:rPr>
                <w:rFonts w:cs="Times New Roman"/>
                <w:szCs w:val="20"/>
              </w:rPr>
              <w:t xml:space="preserve"> is</w:t>
            </w:r>
            <w:r w:rsidRPr="0091450A">
              <w:rPr>
                <w:rFonts w:cs="Times New Roman"/>
                <w:szCs w:val="20"/>
              </w:rPr>
              <w:t xml:space="preserve"> NZ’s Māori Health Strategy</w:t>
            </w:r>
            <w:r w:rsidR="003316AA" w:rsidRPr="0091450A">
              <w:rPr>
                <w:rFonts w:cs="Times New Roman"/>
                <w:szCs w:val="20"/>
              </w:rPr>
              <w:t xml:space="preserve"> that</w:t>
            </w:r>
            <w:r w:rsidRPr="0091450A">
              <w:rPr>
                <w:rFonts w:cs="Times New Roman"/>
                <w:szCs w:val="20"/>
              </w:rPr>
              <w:t xml:space="preserve"> sets the overarching framework that guides the Government and the health and disability sector to achieve the best health outcomes for Maori. </w:t>
            </w:r>
            <w:proofErr w:type="spellStart"/>
            <w:r w:rsidR="003B02D6" w:rsidRPr="0091450A">
              <w:rPr>
                <w:rFonts w:cs="Times New Roman"/>
                <w:szCs w:val="20"/>
              </w:rPr>
              <w:t>Pae</w:t>
            </w:r>
            <w:proofErr w:type="spellEnd"/>
            <w:r w:rsidR="003B02D6" w:rsidRPr="0091450A">
              <w:rPr>
                <w:rFonts w:cs="Times New Roman"/>
                <w:szCs w:val="20"/>
              </w:rPr>
              <w:t xml:space="preserve"> Ora (Healthy Futures) is the Government’s vision and aim for the refreshed strategy. It builds on the initial foundation of Whanau Ora to include Mauri Ora (healthy in</w:t>
            </w:r>
            <w:r w:rsidR="00651244" w:rsidRPr="0091450A">
              <w:rPr>
                <w:rFonts w:cs="Times New Roman"/>
                <w:szCs w:val="20"/>
              </w:rPr>
              <w:t>di</w:t>
            </w:r>
            <w:r w:rsidR="003B02D6" w:rsidRPr="0091450A">
              <w:rPr>
                <w:rFonts w:cs="Times New Roman"/>
                <w:szCs w:val="20"/>
              </w:rPr>
              <w:t>viduals) and Wai Ora (healthy environments). It is a living web-based strategy. It supports the MoH and DHBs to improve M</w:t>
            </w:r>
            <w:r w:rsidR="00EA3AE1">
              <w:rPr>
                <w:rFonts w:cs="Times New Roman"/>
                <w:szCs w:val="20"/>
              </w:rPr>
              <w:t>ā</w:t>
            </w:r>
            <w:r w:rsidR="003B02D6" w:rsidRPr="0091450A">
              <w:rPr>
                <w:rFonts w:cs="Times New Roman"/>
                <w:szCs w:val="20"/>
              </w:rPr>
              <w:t xml:space="preserve">ori health by addressing the: NZ Health Strategy, NZ Disability Strategy and the NZ Public Health and Disability Act 2000. Wai </w:t>
            </w:r>
            <w:proofErr w:type="spellStart"/>
            <w:r w:rsidR="003B02D6" w:rsidRPr="0091450A">
              <w:rPr>
                <w:rFonts w:cs="Times New Roman"/>
                <w:szCs w:val="20"/>
              </w:rPr>
              <w:t>ora</w:t>
            </w:r>
            <w:proofErr w:type="spellEnd"/>
            <w:r w:rsidR="003B02D6" w:rsidRPr="0091450A">
              <w:rPr>
                <w:rFonts w:cs="Times New Roman"/>
                <w:szCs w:val="20"/>
              </w:rPr>
              <w:t xml:space="preserve"> includes access to healthy food. Pathway 3 includes focusing on reducing risk and strengthening prevention. </w:t>
            </w:r>
          </w:p>
          <w:p w14:paraId="354FD176" w14:textId="74E54A8E" w:rsidR="009D26EA" w:rsidRPr="0091450A" w:rsidRDefault="00267E31"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The Ministry continues to administer and monitor the Māori Provider Development Scheme to develop more accessible and effective Māori health and disability service providers</w:t>
            </w:r>
            <w:r w:rsidR="00EA3AE1">
              <w:rPr>
                <w:rFonts w:cs="Times New Roman"/>
                <w:szCs w:val="20"/>
              </w:rPr>
              <w:t>,</w:t>
            </w:r>
            <w:r w:rsidRPr="0091450A">
              <w:rPr>
                <w:rFonts w:cs="Times New Roman"/>
                <w:szCs w:val="20"/>
              </w:rPr>
              <w:t xml:space="preserve"> and the Māori Health Innovation Fund (</w:t>
            </w:r>
            <w:proofErr w:type="spellStart"/>
            <w:r w:rsidRPr="0091450A">
              <w:rPr>
                <w:rFonts w:cs="Times New Roman"/>
                <w:szCs w:val="20"/>
              </w:rPr>
              <w:t>Te</w:t>
            </w:r>
            <w:proofErr w:type="spellEnd"/>
            <w:r w:rsidRPr="0091450A">
              <w:rPr>
                <w:rFonts w:cs="Times New Roman"/>
                <w:szCs w:val="20"/>
              </w:rPr>
              <w:t xml:space="preserve"> </w:t>
            </w:r>
            <w:proofErr w:type="spellStart"/>
            <w:r w:rsidRPr="0091450A">
              <w:rPr>
                <w:rFonts w:cs="Times New Roman"/>
                <w:szCs w:val="20"/>
              </w:rPr>
              <w:t>Ao</w:t>
            </w:r>
            <w:proofErr w:type="spellEnd"/>
            <w:r w:rsidRPr="0091450A">
              <w:rPr>
                <w:rFonts w:cs="Times New Roman"/>
                <w:szCs w:val="20"/>
              </w:rPr>
              <w:t xml:space="preserve"> </w:t>
            </w:r>
            <w:proofErr w:type="spellStart"/>
            <w:r w:rsidRPr="0091450A">
              <w:rPr>
                <w:rFonts w:cs="Times New Roman"/>
                <w:szCs w:val="20"/>
              </w:rPr>
              <w:t>Auahatanga</w:t>
            </w:r>
            <w:proofErr w:type="spellEnd"/>
            <w:r w:rsidRPr="0091450A">
              <w:rPr>
                <w:rFonts w:cs="Times New Roman"/>
                <w:szCs w:val="20"/>
              </w:rPr>
              <w:t xml:space="preserve"> Hauora Māori) to support innovation in health services for Māori </w:t>
            </w:r>
            <w:r w:rsidR="00235898" w:rsidRPr="0091450A">
              <w:rPr>
                <w:rFonts w:cs="Times New Roman"/>
                <w:szCs w:val="20"/>
              </w:rPr>
              <w:fldChar w:fldCharType="begin" w:fldLock="1"/>
            </w:r>
            <w:r w:rsidR="00EC12A7">
              <w:rPr>
                <w:rFonts w:cs="Times New Roman"/>
                <w:szCs w:val="20"/>
              </w:rPr>
              <w:instrText>ADDIN CSL_CITATION {"citationItems":[{"id":"ITEM-1","itemData":{"URL":"http://www.health.govt.nz/our-work/populations/maori-health/maori-health-providers/te-ao-auahatanga-hauora-maori-maori-health-innovation-fund-2013-2017","author":[{"dropping-particle":"","family":"Ministry of Health","given":"","non-dropping-particle":"","parse-names":false,"suffix":""}],"id":"ITEM-1","issue":"14/12/2016","issued":{"date-parts":[["2014"]]},"title":"Te Ao Auahatanga Hauora Māori: the Māori Health Innovation Fund 2013–2017","type":"webpage"},"uris":["http://www.mendeley.com/documents/?uuid=48aab4c3-3efa-365f-9940-be979f0ce821","http://www.mendeley.com/documents/?uuid=4649c3ed-a143-48bf-b9e4-ab7efbba3524"]}],"mendeley":{"formattedCitation":"(187)","plainTextFormattedCitation":"(187)","previouslyFormattedCitation":"(187)"},"properties":{"noteIndex":0},"schema":"https://github.com/citation-style-language/schema/raw/master/csl-citation.json"}</w:instrText>
            </w:r>
            <w:r w:rsidR="00235898" w:rsidRPr="0091450A">
              <w:rPr>
                <w:rFonts w:cs="Times New Roman"/>
                <w:szCs w:val="20"/>
              </w:rPr>
              <w:fldChar w:fldCharType="separate"/>
            </w:r>
            <w:r w:rsidR="009C4029" w:rsidRPr="009C4029">
              <w:rPr>
                <w:rFonts w:cs="Times New Roman"/>
                <w:noProof/>
                <w:szCs w:val="20"/>
              </w:rPr>
              <w:t>(187)</w:t>
            </w:r>
            <w:r w:rsidR="00235898" w:rsidRPr="0091450A">
              <w:rPr>
                <w:rFonts w:cs="Times New Roman"/>
                <w:szCs w:val="20"/>
              </w:rPr>
              <w:fldChar w:fldCharType="end"/>
            </w:r>
            <w:r w:rsidR="009D26EA" w:rsidRPr="0091450A">
              <w:rPr>
                <w:rFonts w:cs="Times New Roman"/>
                <w:szCs w:val="20"/>
              </w:rPr>
              <w:t xml:space="preserve">. </w:t>
            </w:r>
            <w:r w:rsidRPr="0091450A">
              <w:rPr>
                <w:rFonts w:cs="Times New Roman"/>
                <w:szCs w:val="20"/>
              </w:rPr>
              <w:t>A k</w:t>
            </w:r>
            <w:r w:rsidR="009D26EA" w:rsidRPr="0091450A">
              <w:rPr>
                <w:rFonts w:cs="Times New Roman"/>
                <w:szCs w:val="20"/>
              </w:rPr>
              <w:t xml:space="preserve">ey priority for </w:t>
            </w:r>
            <w:r w:rsidRPr="0091450A">
              <w:rPr>
                <w:rFonts w:cs="Times New Roman"/>
                <w:szCs w:val="20"/>
              </w:rPr>
              <w:t>the current</w:t>
            </w:r>
            <w:r w:rsidR="009D26EA" w:rsidRPr="0091450A">
              <w:rPr>
                <w:rFonts w:cs="Times New Roman"/>
                <w:szCs w:val="20"/>
              </w:rPr>
              <w:t xml:space="preserve"> funding round is improving the health and wellbeing of </w:t>
            </w:r>
            <w:proofErr w:type="spellStart"/>
            <w:r w:rsidR="009D26EA" w:rsidRPr="0091450A">
              <w:rPr>
                <w:rFonts w:cs="Times New Roman"/>
                <w:szCs w:val="20"/>
              </w:rPr>
              <w:t>whānau</w:t>
            </w:r>
            <w:proofErr w:type="spellEnd"/>
            <w:r w:rsidR="009D26EA" w:rsidRPr="0091450A">
              <w:rPr>
                <w:rFonts w:cs="Times New Roman"/>
                <w:szCs w:val="20"/>
              </w:rPr>
              <w:t xml:space="preserve"> and children.</w:t>
            </w:r>
          </w:p>
          <w:p w14:paraId="791C77AB" w14:textId="34645966" w:rsidR="00B62A83" w:rsidRPr="0091450A" w:rsidRDefault="009D26EA"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DHBs are the primary funders of M</w:t>
            </w:r>
            <w:r w:rsidR="00EA3AE1">
              <w:rPr>
                <w:rFonts w:cs="Times New Roman"/>
                <w:szCs w:val="20"/>
              </w:rPr>
              <w:t>ā</w:t>
            </w:r>
            <w:r w:rsidRPr="0091450A">
              <w:rPr>
                <w:rFonts w:cs="Times New Roman"/>
                <w:szCs w:val="20"/>
              </w:rPr>
              <w:t>ori health providers. Under legislation the NZ Public Health Act 2000, DHBs have a responsibility to support M</w:t>
            </w:r>
            <w:r w:rsidR="00EA3AE1">
              <w:rPr>
                <w:rFonts w:cs="Times New Roman"/>
                <w:szCs w:val="20"/>
              </w:rPr>
              <w:t>ā</w:t>
            </w:r>
            <w:r w:rsidRPr="0091450A">
              <w:rPr>
                <w:rFonts w:cs="Times New Roman"/>
                <w:szCs w:val="20"/>
              </w:rPr>
              <w:t>ori involvem</w:t>
            </w:r>
            <w:r w:rsidR="00B62A83" w:rsidRPr="0091450A">
              <w:rPr>
                <w:rFonts w:cs="Times New Roman"/>
                <w:szCs w:val="20"/>
              </w:rPr>
              <w:t xml:space="preserve">ent in service delivery. </w:t>
            </w:r>
            <w:r w:rsidR="00593F77" w:rsidRPr="0091450A">
              <w:rPr>
                <w:rFonts w:cs="Times New Roman"/>
                <w:szCs w:val="20"/>
              </w:rPr>
              <w:t>Each DHB has a M</w:t>
            </w:r>
            <w:r w:rsidR="00EA3AE1">
              <w:rPr>
                <w:rFonts w:cs="Times New Roman"/>
                <w:szCs w:val="20"/>
              </w:rPr>
              <w:t>ā</w:t>
            </w:r>
            <w:r w:rsidR="00593F77" w:rsidRPr="0091450A">
              <w:rPr>
                <w:rFonts w:cs="Times New Roman"/>
                <w:szCs w:val="20"/>
              </w:rPr>
              <w:t>ori Health plan</w:t>
            </w:r>
            <w:r w:rsidR="00235898" w:rsidRPr="0091450A">
              <w:rPr>
                <w:rFonts w:cs="Times New Roman"/>
                <w:szCs w:val="20"/>
              </w:rPr>
              <w:t xml:space="preserve"> </w:t>
            </w:r>
            <w:r w:rsidR="00235898" w:rsidRPr="0091450A">
              <w:rPr>
                <w:rFonts w:cs="Times New Roman"/>
                <w:szCs w:val="20"/>
              </w:rPr>
              <w:fldChar w:fldCharType="begin" w:fldLock="1"/>
            </w:r>
            <w:r w:rsidR="00EC12A7">
              <w:rPr>
                <w:rFonts w:cs="Times New Roman"/>
                <w:szCs w:val="20"/>
              </w:rPr>
              <w:instrText>ADDIN CSL_CITATION {"citationItems":[{"id":"ITEM-1","itemData":{"URL":"http://www.health.govt.nz/our-work/populations/maori-health/dhb-maori-health-plans-profiles-and-summaries","author":[{"dropping-particle":"","family":"Ministry of Health","given":"","non-dropping-particle":"","parse-names":false,"suffix":""}],"id":"ITEM-1","issue":"15/12/2016","issued":{"date-parts":[["2016"]]},"title":"DHB Māori health plans, profiles and summaries","type":"webpage"},"uris":["http://www.mendeley.com/documents/?uuid=36ba8483-499d-3d44-867b-94413214a8b1","http://www.mendeley.com/documents/?uuid=b2215077-a06c-46ca-b043-ec064796c3ba"]}],"mendeley":{"formattedCitation":"(188)","plainTextFormattedCitation":"(188)","previouslyFormattedCitation":"(188)"},"properties":{"noteIndex":0},"schema":"https://github.com/citation-style-language/schema/raw/master/csl-citation.json"}</w:instrText>
            </w:r>
            <w:r w:rsidR="00235898" w:rsidRPr="0091450A">
              <w:rPr>
                <w:rFonts w:cs="Times New Roman"/>
                <w:szCs w:val="20"/>
              </w:rPr>
              <w:fldChar w:fldCharType="separate"/>
            </w:r>
            <w:r w:rsidR="009C4029" w:rsidRPr="009C4029">
              <w:rPr>
                <w:rFonts w:cs="Times New Roman"/>
                <w:noProof/>
                <w:szCs w:val="20"/>
              </w:rPr>
              <w:t>(188)</w:t>
            </w:r>
            <w:r w:rsidR="00235898" w:rsidRPr="0091450A">
              <w:rPr>
                <w:rFonts w:cs="Times New Roman"/>
                <w:szCs w:val="20"/>
              </w:rPr>
              <w:fldChar w:fldCharType="end"/>
            </w:r>
            <w:r w:rsidR="00593F77" w:rsidRPr="0091450A">
              <w:rPr>
                <w:rFonts w:cs="Times New Roman"/>
                <w:szCs w:val="20"/>
              </w:rPr>
              <w:t>.</w:t>
            </w:r>
            <w:r w:rsidR="00267E31" w:rsidRPr="0091450A">
              <w:rPr>
                <w:rFonts w:cs="Times New Roman"/>
                <w:szCs w:val="20"/>
              </w:rPr>
              <w:t xml:space="preserve"> DHBs are required to improve the health of M</w:t>
            </w:r>
            <w:r w:rsidR="00EA3AE1">
              <w:rPr>
                <w:rFonts w:cs="Times New Roman"/>
                <w:szCs w:val="20"/>
              </w:rPr>
              <w:t>ā</w:t>
            </w:r>
            <w:r w:rsidR="00267E31" w:rsidRPr="0091450A">
              <w:rPr>
                <w:rFonts w:cs="Times New Roman"/>
                <w:szCs w:val="20"/>
              </w:rPr>
              <w:t>ori and reduce health disparities for M</w:t>
            </w:r>
            <w:r w:rsidR="00EA3AE1">
              <w:rPr>
                <w:rFonts w:cs="Times New Roman"/>
                <w:szCs w:val="20"/>
              </w:rPr>
              <w:t>ā</w:t>
            </w:r>
            <w:r w:rsidR="00267E31" w:rsidRPr="0091450A">
              <w:rPr>
                <w:rFonts w:cs="Times New Roman"/>
                <w:szCs w:val="20"/>
              </w:rPr>
              <w:t>ori compared to other population groups in NZ. DHB M</w:t>
            </w:r>
            <w:r w:rsidR="00EA3AE1">
              <w:rPr>
                <w:rFonts w:cs="Times New Roman"/>
                <w:szCs w:val="20"/>
              </w:rPr>
              <w:t>ā</w:t>
            </w:r>
            <w:r w:rsidR="00267E31" w:rsidRPr="0091450A">
              <w:rPr>
                <w:rFonts w:cs="Times New Roman"/>
                <w:szCs w:val="20"/>
              </w:rPr>
              <w:t>ori health plans are fundamental planning, reporting and monitoring documents. DHB M</w:t>
            </w:r>
            <w:r w:rsidR="00EA3AE1">
              <w:rPr>
                <w:rFonts w:cs="Times New Roman"/>
                <w:szCs w:val="20"/>
              </w:rPr>
              <w:t>ā</w:t>
            </w:r>
            <w:r w:rsidR="00267E31" w:rsidRPr="0091450A">
              <w:rPr>
                <w:rFonts w:cs="Times New Roman"/>
                <w:szCs w:val="20"/>
              </w:rPr>
              <w:t>ori health profiles present a snapshot of M</w:t>
            </w:r>
            <w:r w:rsidR="00EA3AE1">
              <w:rPr>
                <w:rFonts w:cs="Times New Roman"/>
                <w:szCs w:val="20"/>
              </w:rPr>
              <w:t>ā</w:t>
            </w:r>
            <w:r w:rsidR="00267E31" w:rsidRPr="0091450A">
              <w:rPr>
                <w:rFonts w:cs="Times New Roman"/>
                <w:szCs w:val="20"/>
              </w:rPr>
              <w:t>ori health compared with non-M</w:t>
            </w:r>
            <w:r w:rsidR="00EA3AE1">
              <w:rPr>
                <w:rFonts w:cs="Times New Roman"/>
                <w:szCs w:val="20"/>
              </w:rPr>
              <w:t>ā</w:t>
            </w:r>
            <w:r w:rsidR="00267E31" w:rsidRPr="0091450A">
              <w:rPr>
                <w:rFonts w:cs="Times New Roman"/>
                <w:szCs w:val="20"/>
              </w:rPr>
              <w:t>ori across a range of health and disability</w:t>
            </w:r>
            <w:r w:rsidR="00DB557F">
              <w:rPr>
                <w:rFonts w:cs="Times New Roman"/>
                <w:szCs w:val="20"/>
              </w:rPr>
              <w:t>-</w:t>
            </w:r>
            <w:r w:rsidR="00267E31" w:rsidRPr="0091450A">
              <w:rPr>
                <w:rFonts w:cs="Times New Roman"/>
                <w:szCs w:val="20"/>
              </w:rPr>
              <w:t>related indicators</w:t>
            </w:r>
            <w:r w:rsidR="00593F77" w:rsidRPr="0091450A">
              <w:rPr>
                <w:rFonts w:cs="Times New Roman"/>
                <w:szCs w:val="20"/>
              </w:rPr>
              <w:t xml:space="preserve"> </w:t>
            </w:r>
            <w:r w:rsidR="005A4BD9" w:rsidRPr="0091450A">
              <w:rPr>
                <w:rFonts w:cs="Times New Roman"/>
                <w:szCs w:val="20"/>
              </w:rPr>
              <w:fldChar w:fldCharType="begin" w:fldLock="1"/>
            </w:r>
            <w:r w:rsidR="00EC12A7">
              <w:rPr>
                <w:rFonts w:cs="Times New Roman"/>
                <w:szCs w:val="20"/>
              </w:rPr>
              <w:instrText>ADDIN CSL_CITATION {"citationItems":[{"id":"ITEM-1","itemData":{"URL":"http://www.health.govt.nz/our-work/populations/maori-health/tatau-kahukura-maori-health-statistics","author":[{"dropping-particle":"","family":"Ministry of Health","given":"","non-dropping-particle":"","parse-names":false,"suffix":""}],"id":"ITEM-1","issue":"15/12/2016","issued":{"date-parts":[["2016"]]},"title":"Tatau Kahukura: Māori health statistics","type":"webpage"},"uris":["http://www.mendeley.com/documents/?uuid=56534ca0-6233-3370-977b-b18d2e656318","http://www.mendeley.com/documents/?uuid=2eb732f0-c230-4956-bf1b-48456f514150"]}],"mendeley":{"formattedCitation":"(189)","plainTextFormattedCitation":"(189)","previouslyFormattedCitation":"(189)"},"properties":{"noteIndex":0},"schema":"https://github.com/citation-style-language/schema/raw/master/csl-citation.json"}</w:instrText>
            </w:r>
            <w:r w:rsidR="005A4BD9" w:rsidRPr="0091450A">
              <w:rPr>
                <w:rFonts w:cs="Times New Roman"/>
                <w:szCs w:val="20"/>
              </w:rPr>
              <w:fldChar w:fldCharType="separate"/>
            </w:r>
            <w:r w:rsidR="009C4029" w:rsidRPr="009C4029">
              <w:rPr>
                <w:rFonts w:cs="Times New Roman"/>
                <w:noProof/>
                <w:szCs w:val="20"/>
              </w:rPr>
              <w:t>(189)</w:t>
            </w:r>
            <w:r w:rsidR="005A4BD9" w:rsidRPr="0091450A">
              <w:rPr>
                <w:rFonts w:cs="Times New Roman"/>
                <w:szCs w:val="20"/>
              </w:rPr>
              <w:fldChar w:fldCharType="end"/>
            </w:r>
            <w:r w:rsidR="005A4BD9" w:rsidRPr="0091450A">
              <w:rPr>
                <w:rFonts w:cs="Times New Roman"/>
                <w:szCs w:val="20"/>
              </w:rPr>
              <w:t>.</w:t>
            </w:r>
          </w:p>
          <w:p w14:paraId="3329383E" w14:textId="0C5135CD" w:rsidR="00BD7309" w:rsidRPr="0091450A" w:rsidRDefault="007A5E04"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 xml:space="preserve">The MoH </w:t>
            </w:r>
            <w:r w:rsidR="00267E31" w:rsidRPr="0091450A">
              <w:rPr>
                <w:rFonts w:cs="Times New Roman"/>
                <w:szCs w:val="20"/>
              </w:rPr>
              <w:t xml:space="preserve">continues to </w:t>
            </w:r>
            <w:r w:rsidRPr="0091450A">
              <w:rPr>
                <w:rFonts w:cs="Times New Roman"/>
                <w:szCs w:val="20"/>
              </w:rPr>
              <w:t xml:space="preserve">report the estimates derived from health surveys and nutrition surveys by four subpopulation groups including age group, gender, ethnic group and an area level deprivation index </w:t>
            </w:r>
            <w:r w:rsidR="00217126" w:rsidRPr="0091450A">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Health","given":"","non-dropping-particle":"","parse-names":false,"suffix":""}],"id":"ITEM-1","issued":{"date-parts":[["2012"]]},"publisher":"Ministry of Health","publisher-place":"Wellington","title":"A Focus on Māori Nutrition: Findings from the 2008/09 New Zealand Adult Nutrition Survey","type":"report"},"uris":["http://www.mendeley.com/documents/?uuid=94d1bfe6-8010-3ad6-9753-5f1018880280","http://www.mendeley.com/documents/?uuid=a45741f9-be99-4125-b4f0-ac89027c1297"]},{"id":"ITEM-2","itemData":{"author":[{"dropping-particle":"","family":"Ministry of Health","given":"","non-dropping-particle":"","parse-names":false,"suffix":""}],"id":"ITEM-2","issued":{"date-parts":[["2012"]]},"publisher":"Ministry of Health","publisher-place":"Wellington","title":"A Focus on Pacific Nutrition. Findings from the 2008/09 New Zealand Adult Nutrition Survey.","type":"report"},"uris":["http://www.mendeley.com/documents/?uuid=19f26af5-5409-4d9f-92be-2305ec3cd63b","http://www.mendeley.com/documents/?uuid=f91c7704-c6ec-3325-9d58-c74b87feaebb"]}],"mendeley":{"formattedCitation":"(190,191)","manualFormatting":"(15, 190)","plainTextFormattedCitation":"(190,191)","previouslyFormattedCitation":"(190,191)"},"properties":{"noteIndex":0},"schema":"https://github.com/citation-style-language/schema/raw/master/csl-citation.json"}</w:instrText>
            </w:r>
            <w:r w:rsidR="00217126" w:rsidRPr="0091450A">
              <w:rPr>
                <w:rFonts w:cs="Times New Roman"/>
                <w:szCs w:val="20"/>
              </w:rPr>
              <w:fldChar w:fldCharType="separate"/>
            </w:r>
            <w:r w:rsidR="00217126" w:rsidRPr="0091450A">
              <w:rPr>
                <w:rFonts w:cs="Times New Roman"/>
                <w:noProof/>
                <w:szCs w:val="20"/>
              </w:rPr>
              <w:t>(15, 190)</w:t>
            </w:r>
            <w:r w:rsidR="00217126" w:rsidRPr="0091450A">
              <w:rPr>
                <w:rFonts w:cs="Times New Roman"/>
                <w:szCs w:val="20"/>
              </w:rPr>
              <w:fldChar w:fldCharType="end"/>
            </w:r>
            <w:r w:rsidRPr="0091450A">
              <w:rPr>
                <w:rFonts w:cs="Times New Roman"/>
                <w:szCs w:val="20"/>
              </w:rPr>
              <w:t>.  Similarly, estimates d</w:t>
            </w:r>
            <w:r w:rsidR="00046833" w:rsidRPr="0091450A">
              <w:rPr>
                <w:rFonts w:cs="Times New Roman"/>
                <w:szCs w:val="20"/>
              </w:rPr>
              <w:t>erived from other data types (</w:t>
            </w:r>
            <w:r w:rsidR="00AE20D3" w:rsidRPr="0091450A">
              <w:rPr>
                <w:rFonts w:cs="Times New Roman"/>
                <w:szCs w:val="20"/>
              </w:rPr>
              <w:t>e.g.</w:t>
            </w:r>
            <w:r w:rsidRPr="0091450A">
              <w:rPr>
                <w:rFonts w:cs="Times New Roman"/>
                <w:szCs w:val="20"/>
              </w:rPr>
              <w:t xml:space="preserve"> mortality) are presented by these subpopulation groups. </w:t>
            </w:r>
            <w:r w:rsidR="00267E31" w:rsidRPr="0091450A">
              <w:rPr>
                <w:rFonts w:cs="Times New Roman"/>
                <w:szCs w:val="20"/>
              </w:rPr>
              <w:t>A M</w:t>
            </w:r>
            <w:r w:rsidR="00EA3AE1">
              <w:rPr>
                <w:rFonts w:cs="Times New Roman"/>
                <w:szCs w:val="20"/>
              </w:rPr>
              <w:t>ā</w:t>
            </w:r>
            <w:r w:rsidR="00267E31" w:rsidRPr="0091450A">
              <w:rPr>
                <w:rFonts w:cs="Times New Roman"/>
                <w:szCs w:val="20"/>
              </w:rPr>
              <w:t>ori health statistics page presents a range of statistics including socioeconomic determinants of health and there are statistics for M</w:t>
            </w:r>
            <w:r w:rsidR="00EA3AE1">
              <w:rPr>
                <w:rFonts w:cs="Times New Roman"/>
                <w:szCs w:val="20"/>
              </w:rPr>
              <w:t>ā</w:t>
            </w:r>
            <w:r w:rsidR="00267E31" w:rsidRPr="0091450A">
              <w:rPr>
                <w:rFonts w:cs="Times New Roman"/>
                <w:szCs w:val="20"/>
              </w:rPr>
              <w:t>ori from the NZ Health Survey presented in this sectio</w:t>
            </w:r>
            <w:r w:rsidR="00217126" w:rsidRPr="0091450A">
              <w:rPr>
                <w:rFonts w:cs="Times New Roman"/>
                <w:szCs w:val="20"/>
              </w:rPr>
              <w:t xml:space="preserve">n </w:t>
            </w:r>
            <w:r w:rsidR="00217126" w:rsidRPr="0091450A">
              <w:rPr>
                <w:rFonts w:cs="Times New Roman"/>
                <w:szCs w:val="20"/>
              </w:rPr>
              <w:fldChar w:fldCharType="begin" w:fldLock="1"/>
            </w:r>
            <w:r w:rsidR="00EC12A7">
              <w:rPr>
                <w:rFonts w:cs="Times New Roman"/>
                <w:szCs w:val="20"/>
              </w:rPr>
              <w:instrText>ADDIN CSL_CITATION {"citationItems":[{"id":"ITEM-1","itemData":{"URL":"http://www.health.govt.nz/our-work/populations/maori-health/tatau-kahukura-maori-health-statistics","author":[{"dropping-particle":"","family":"Ministry of Health","given":"","non-dropping-particle":"","parse-names":false,"suffix":""}],"id":"ITEM-1","issue":"15/12/2016","issued":{"date-parts":[["2016"]]},"title":"Tatau Kahukura: Māori health statistics","type":"webpage"},"uris":["http://www.mendeley.com/documents/?uuid=2eb732f0-c230-4956-bf1b-48456f514150","http://www.mendeley.com/documents/?uuid=56534ca0-6233-3370-977b-b18d2e656318"]}],"mendeley":{"formattedCitation":"(189)","plainTextFormattedCitation":"(189)","previouslyFormattedCitation":"(189)"},"properties":{"noteIndex":0},"schema":"https://github.com/citation-style-language/schema/raw/master/csl-citation.json"}</w:instrText>
            </w:r>
            <w:r w:rsidR="00217126" w:rsidRPr="0091450A">
              <w:rPr>
                <w:rFonts w:cs="Times New Roman"/>
                <w:szCs w:val="20"/>
              </w:rPr>
              <w:fldChar w:fldCharType="separate"/>
            </w:r>
            <w:r w:rsidR="009C4029" w:rsidRPr="009C4029">
              <w:rPr>
                <w:rFonts w:cs="Times New Roman"/>
                <w:noProof/>
                <w:szCs w:val="20"/>
              </w:rPr>
              <w:t>(189)</w:t>
            </w:r>
            <w:r w:rsidR="00217126" w:rsidRPr="0091450A">
              <w:rPr>
                <w:rFonts w:cs="Times New Roman"/>
                <w:szCs w:val="20"/>
              </w:rPr>
              <w:fldChar w:fldCharType="end"/>
            </w:r>
            <w:r w:rsidR="00217126" w:rsidRPr="0091450A">
              <w:rPr>
                <w:rFonts w:cs="Times New Roman"/>
                <w:szCs w:val="20"/>
              </w:rPr>
              <w:t>.</w:t>
            </w:r>
          </w:p>
          <w:p w14:paraId="200F56AC" w14:textId="035F5640" w:rsidR="00041588" w:rsidRPr="0091450A" w:rsidRDefault="007A5E04" w:rsidP="002D613F">
            <w:pPr>
              <w:pStyle w:val="ListParagraph"/>
              <w:numPr>
                <w:ilvl w:val="0"/>
                <w:numId w:val="13"/>
              </w:numPr>
              <w:shd w:val="clear" w:color="auto" w:fill="FFFFFF" w:themeFill="background1"/>
              <w:spacing w:before="40" w:after="40"/>
              <w:contextualSpacing w:val="0"/>
              <w:rPr>
                <w:rFonts w:cs="Times New Roman"/>
                <w:strike/>
                <w:szCs w:val="20"/>
              </w:rPr>
            </w:pPr>
            <w:r w:rsidRPr="00C538D6">
              <w:rPr>
                <w:rFonts w:cs="Times New Roman"/>
                <w:szCs w:val="20"/>
              </w:rPr>
              <w:t xml:space="preserve">The </w:t>
            </w:r>
            <w:r w:rsidRPr="007159FF">
              <w:rPr>
                <w:rFonts w:cs="Times New Roman"/>
                <w:szCs w:val="20"/>
              </w:rPr>
              <w:t>contracts</w:t>
            </w:r>
            <w:r w:rsidRPr="00C538D6">
              <w:rPr>
                <w:rFonts w:cs="Times New Roman"/>
                <w:szCs w:val="20"/>
              </w:rPr>
              <w:t xml:space="preserve"> </w:t>
            </w:r>
            <w:r w:rsidRPr="00FB5269">
              <w:rPr>
                <w:rFonts w:cs="Times New Roman"/>
                <w:szCs w:val="20"/>
              </w:rPr>
              <w:t>between</w:t>
            </w:r>
            <w:r w:rsidRPr="00047C75">
              <w:rPr>
                <w:rFonts w:cs="Times New Roman"/>
                <w:szCs w:val="20"/>
              </w:rPr>
              <w:t xml:space="preserve"> </w:t>
            </w:r>
            <w:r w:rsidRPr="007159FF">
              <w:rPr>
                <w:rFonts w:cs="Times New Roman"/>
                <w:szCs w:val="20"/>
              </w:rPr>
              <w:t>MoH and NGOs</w:t>
            </w:r>
            <w:r w:rsidRPr="00C538D6">
              <w:rPr>
                <w:rFonts w:cs="Times New Roman"/>
                <w:szCs w:val="20"/>
              </w:rPr>
              <w:t xml:space="preserve"> or other institutions </w:t>
            </w:r>
            <w:r w:rsidR="00267E31" w:rsidRPr="00FB5269">
              <w:rPr>
                <w:rFonts w:cs="Times New Roman"/>
                <w:szCs w:val="20"/>
              </w:rPr>
              <w:t xml:space="preserve">continue to </w:t>
            </w:r>
            <w:r w:rsidRPr="00047C75">
              <w:rPr>
                <w:rFonts w:cs="Times New Roman"/>
                <w:szCs w:val="20"/>
              </w:rPr>
              <w:t>include a section on M</w:t>
            </w:r>
            <w:r w:rsidR="00EA3AE1">
              <w:rPr>
                <w:rFonts w:cs="Times New Roman"/>
                <w:szCs w:val="20"/>
              </w:rPr>
              <w:t>ā</w:t>
            </w:r>
            <w:r w:rsidRPr="00047C75">
              <w:rPr>
                <w:rFonts w:cs="Times New Roman"/>
                <w:szCs w:val="20"/>
              </w:rPr>
              <w:t xml:space="preserve">ori Health and state: “An </w:t>
            </w:r>
            <w:r w:rsidRPr="007B4B44">
              <w:rPr>
                <w:rFonts w:cs="Times New Roman"/>
                <w:szCs w:val="20"/>
              </w:rPr>
              <w:t>overarching aim of the health</w:t>
            </w:r>
            <w:r w:rsidRPr="0091450A">
              <w:rPr>
                <w:rFonts w:cs="Times New Roman"/>
                <w:szCs w:val="20"/>
              </w:rPr>
              <w:t xml:space="preserve"> and disability sector is the improvement of M</w:t>
            </w:r>
            <w:r w:rsidR="00EA3AE1">
              <w:rPr>
                <w:rFonts w:cs="Times New Roman"/>
                <w:szCs w:val="20"/>
              </w:rPr>
              <w:t>ā</w:t>
            </w:r>
            <w:r w:rsidRPr="0091450A">
              <w:rPr>
                <w:rFonts w:cs="Times New Roman"/>
                <w:szCs w:val="20"/>
              </w:rPr>
              <w:t>ori health outcomes and the reduction of M</w:t>
            </w:r>
            <w:r w:rsidR="00EA3AE1">
              <w:rPr>
                <w:rFonts w:cs="Times New Roman"/>
                <w:szCs w:val="20"/>
              </w:rPr>
              <w:t>ā</w:t>
            </w:r>
            <w:r w:rsidRPr="0091450A">
              <w:rPr>
                <w:rFonts w:cs="Times New Roman"/>
                <w:szCs w:val="20"/>
              </w:rPr>
              <w:t>ori health inequalities. You must comply with any: a) M</w:t>
            </w:r>
            <w:r w:rsidR="00EA3AE1">
              <w:rPr>
                <w:rFonts w:cs="Times New Roman"/>
                <w:szCs w:val="20"/>
              </w:rPr>
              <w:t>ā</w:t>
            </w:r>
            <w:r w:rsidRPr="0091450A">
              <w:rPr>
                <w:rFonts w:cs="Times New Roman"/>
                <w:szCs w:val="20"/>
              </w:rPr>
              <w:t>ori specific service requirements, b) M</w:t>
            </w:r>
            <w:r w:rsidR="00EA3AE1">
              <w:rPr>
                <w:rFonts w:cs="Times New Roman"/>
                <w:szCs w:val="20"/>
              </w:rPr>
              <w:t>ā</w:t>
            </w:r>
            <w:r w:rsidRPr="0091450A">
              <w:rPr>
                <w:rFonts w:cs="Times New Roman"/>
                <w:szCs w:val="20"/>
              </w:rPr>
              <w:t>ori specific quality requirements and c) M</w:t>
            </w:r>
            <w:r w:rsidR="00EA3AE1">
              <w:rPr>
                <w:rFonts w:cs="Times New Roman"/>
                <w:szCs w:val="20"/>
              </w:rPr>
              <w:t>ā</w:t>
            </w:r>
            <w:r w:rsidRPr="0091450A">
              <w:rPr>
                <w:rFonts w:cs="Times New Roman"/>
                <w:szCs w:val="20"/>
              </w:rPr>
              <w:t>ori specific monitoring requirements”. In addition, the provider quality specifications for public health services include specific requirements for M</w:t>
            </w:r>
            <w:r w:rsidR="00EA3AE1">
              <w:rPr>
                <w:rFonts w:cs="Times New Roman"/>
                <w:szCs w:val="20"/>
              </w:rPr>
              <w:t>ā</w:t>
            </w:r>
            <w:r w:rsidRPr="0091450A">
              <w:rPr>
                <w:rFonts w:cs="Times New Roman"/>
                <w:szCs w:val="20"/>
              </w:rPr>
              <w:t>ori:” C1 Services meet needs of M</w:t>
            </w:r>
            <w:r w:rsidR="00EA3AE1">
              <w:rPr>
                <w:rFonts w:cs="Times New Roman"/>
                <w:szCs w:val="20"/>
              </w:rPr>
              <w:t>ā</w:t>
            </w:r>
            <w:r w:rsidRPr="0091450A">
              <w:rPr>
                <w:rFonts w:cs="Times New Roman"/>
                <w:szCs w:val="20"/>
              </w:rPr>
              <w:t>ori, C2 M</w:t>
            </w:r>
            <w:r w:rsidR="00EA3AE1">
              <w:rPr>
                <w:rFonts w:cs="Times New Roman"/>
                <w:szCs w:val="20"/>
              </w:rPr>
              <w:t>ā</w:t>
            </w:r>
            <w:r w:rsidRPr="0091450A">
              <w:rPr>
                <w:rFonts w:cs="Times New Roman"/>
                <w:szCs w:val="20"/>
              </w:rPr>
              <w:t xml:space="preserve">ori participation at all levels of strategic and service planning, development and implementation within </w:t>
            </w:r>
            <w:r w:rsidR="00DB557F">
              <w:rPr>
                <w:rFonts w:cs="Times New Roman"/>
                <w:szCs w:val="20"/>
              </w:rPr>
              <w:t xml:space="preserve">the </w:t>
            </w:r>
            <w:r w:rsidRPr="0091450A">
              <w:rPr>
                <w:rFonts w:cs="Times New Roman"/>
                <w:szCs w:val="20"/>
              </w:rPr>
              <w:t>organisation at governance, management and service delivery levels, C3: support for M</w:t>
            </w:r>
            <w:r w:rsidR="00EA3AE1">
              <w:rPr>
                <w:rFonts w:cs="Times New Roman"/>
                <w:szCs w:val="20"/>
              </w:rPr>
              <w:t>ā</w:t>
            </w:r>
            <w:r w:rsidRPr="0091450A">
              <w:rPr>
                <w:rFonts w:cs="Times New Roman"/>
                <w:szCs w:val="20"/>
              </w:rPr>
              <w:t>ori accessing services”.</w:t>
            </w:r>
            <w:r w:rsidRPr="0091450A">
              <w:rPr>
                <w:rFonts w:cs="Times New Roman"/>
                <w:color w:val="000000"/>
                <w:szCs w:val="20"/>
              </w:rPr>
              <w:t xml:space="preserve"> </w:t>
            </w:r>
          </w:p>
          <w:p w14:paraId="7EDA2719" w14:textId="1755E46A" w:rsidR="00A769BB" w:rsidRPr="0091450A" w:rsidRDefault="007A5E04" w:rsidP="002D613F">
            <w:pPr>
              <w:pStyle w:val="ListParagraph"/>
              <w:numPr>
                <w:ilvl w:val="0"/>
                <w:numId w:val="13"/>
              </w:numPr>
              <w:shd w:val="clear" w:color="auto" w:fill="FFFFFF" w:themeFill="background1"/>
              <w:spacing w:before="40" w:after="40"/>
              <w:contextualSpacing w:val="0"/>
              <w:rPr>
                <w:rFonts w:cs="Times New Roman"/>
                <w:szCs w:val="20"/>
              </w:rPr>
            </w:pPr>
            <w:r w:rsidRPr="007159FF">
              <w:rPr>
                <w:rFonts w:cs="Times New Roman"/>
                <w:szCs w:val="20"/>
              </w:rPr>
              <w:t xml:space="preserve">Healthy Families NZ </w:t>
            </w:r>
            <w:r w:rsidR="007D4FC1" w:rsidRPr="00C538D6">
              <w:rPr>
                <w:rFonts w:cs="Times New Roman"/>
                <w:szCs w:val="20"/>
              </w:rPr>
              <w:t xml:space="preserve">was launched in </w:t>
            </w:r>
            <w:r w:rsidR="0080367A" w:rsidRPr="00FB5269">
              <w:rPr>
                <w:rFonts w:cs="Times New Roman"/>
                <w:szCs w:val="20"/>
              </w:rPr>
              <w:t>2014 a</w:t>
            </w:r>
            <w:r w:rsidR="007D4FC1" w:rsidRPr="00047C75">
              <w:rPr>
                <w:rFonts w:cs="Times New Roman"/>
                <w:szCs w:val="20"/>
              </w:rPr>
              <w:t>nd is</w:t>
            </w:r>
            <w:r w:rsidRPr="007B4B44">
              <w:rPr>
                <w:rFonts w:cs="Times New Roman"/>
                <w:szCs w:val="20"/>
              </w:rPr>
              <w:t xml:space="preserve"> carried out specifically in lower</w:t>
            </w:r>
            <w:r w:rsidR="00DB557F">
              <w:rPr>
                <w:rFonts w:cs="Times New Roman"/>
                <w:szCs w:val="20"/>
              </w:rPr>
              <w:t>-</w:t>
            </w:r>
            <w:r w:rsidRPr="007B4B44">
              <w:rPr>
                <w:rFonts w:cs="Times New Roman"/>
                <w:szCs w:val="20"/>
              </w:rPr>
              <w:t>income communiti</w:t>
            </w:r>
            <w:r w:rsidRPr="0091450A">
              <w:rPr>
                <w:rFonts w:cs="Times New Roman"/>
                <w:szCs w:val="20"/>
              </w:rPr>
              <w:t xml:space="preserve">es: </w:t>
            </w:r>
            <w:r w:rsidR="00041588" w:rsidRPr="0091450A">
              <w:rPr>
                <w:lang w:eastAsia="en-NZ"/>
              </w:rPr>
              <w:t xml:space="preserve">The Far North district, Waitakere, South Auckland, Rotorua, East Cape, Whanganui-Rangitikei-Ruapehu, Lower Hutt, Christchurch and Invercargill. This has changed to remove Manukau and Manurewa-Papakura ward and </w:t>
            </w:r>
            <w:proofErr w:type="spellStart"/>
            <w:r w:rsidR="00041588" w:rsidRPr="0091450A">
              <w:rPr>
                <w:lang w:eastAsia="en-NZ"/>
              </w:rPr>
              <w:t>Spreydon</w:t>
            </w:r>
            <w:proofErr w:type="spellEnd"/>
            <w:r w:rsidR="00041588" w:rsidRPr="0091450A">
              <w:rPr>
                <w:lang w:eastAsia="en-NZ"/>
              </w:rPr>
              <w:t>-Heathcote Ward to more generalised location settings</w:t>
            </w:r>
            <w:r w:rsidR="00561CA8" w:rsidRPr="0091450A">
              <w:rPr>
                <w:lang w:eastAsia="en-NZ"/>
              </w:rPr>
              <w:t xml:space="preserve"> </w:t>
            </w:r>
            <w:r w:rsidR="006E3117" w:rsidRPr="0091450A">
              <w:rPr>
                <w:lang w:eastAsia="en-NZ"/>
              </w:rPr>
              <w:fldChar w:fldCharType="begin" w:fldLock="1"/>
            </w:r>
            <w:r w:rsidR="00EC12A7">
              <w:rPr>
                <w:lang w:eastAsia="en-NZ"/>
              </w:rPr>
              <w:instrText>ADDIN CSL_CITATION {"citationItems":[{"id":"ITEM-1","itemData":{"URL":"https://www.healthyfamilies.govt.nz/who-is-involved","accessed":{"date-parts":[["2020","1","31"]]},"author":[{"dropping-particle":"","family":"Ministry of Health","given":"","non-dropping-particle":"","parse-names":false,"suffix":""}],"id":"ITEM-1","issued":{"date-parts":[["2019"]]},"title":"Who is involved? | Healthy Families","type":"webpage"},"uris":["http://www.mendeley.com/documents/?uuid=008cb219-c511-3b5d-b873-8192ff42aeac"]}],"mendeley":{"formattedCitation":"(192)","plainTextFormattedCitation":"(192)","previouslyFormattedCitation":"(192)"},"properties":{"noteIndex":0},"schema":"https://github.com/citation-style-language/schema/raw/master/csl-citation.json"}</w:instrText>
            </w:r>
            <w:r w:rsidR="006E3117" w:rsidRPr="0091450A">
              <w:rPr>
                <w:lang w:eastAsia="en-NZ"/>
              </w:rPr>
              <w:fldChar w:fldCharType="separate"/>
            </w:r>
            <w:r w:rsidR="009C4029" w:rsidRPr="009C4029">
              <w:rPr>
                <w:noProof/>
                <w:lang w:eastAsia="en-NZ"/>
              </w:rPr>
              <w:t>(192)</w:t>
            </w:r>
            <w:r w:rsidR="006E3117" w:rsidRPr="0091450A">
              <w:rPr>
                <w:lang w:eastAsia="en-NZ"/>
              </w:rPr>
              <w:fldChar w:fldCharType="end"/>
            </w:r>
            <w:r w:rsidR="00041588" w:rsidRPr="0091450A">
              <w:rPr>
                <w:lang w:eastAsia="en-NZ"/>
              </w:rPr>
              <w:t>.</w:t>
            </w:r>
            <w:r w:rsidRPr="0091450A">
              <w:rPr>
                <w:rFonts w:cs="Times New Roman"/>
                <w:szCs w:val="20"/>
              </w:rPr>
              <w:t xml:space="preserve"> The 10 communities come from areas with higher-than-average rates of preventable chronic diseases (such as diabetes), higher-than-average rates of risk factors for these diseases (such as smoking), and/or high levels of deprivation. The 10 communities are geographically spread and are a mixture of</w:t>
            </w:r>
            <w:r w:rsidR="00406370" w:rsidRPr="0091450A">
              <w:rPr>
                <w:rFonts w:cs="Times New Roman"/>
                <w:szCs w:val="20"/>
              </w:rPr>
              <w:t xml:space="preserve"> urban and rural areas, so the Healthy F</w:t>
            </w:r>
            <w:r w:rsidRPr="0091450A">
              <w:rPr>
                <w:rFonts w:cs="Times New Roman"/>
                <w:szCs w:val="20"/>
              </w:rPr>
              <w:t xml:space="preserve">amilies NZ </w:t>
            </w:r>
            <w:r w:rsidR="007D4FC1" w:rsidRPr="0091450A">
              <w:rPr>
                <w:rFonts w:cs="Times New Roman"/>
                <w:szCs w:val="20"/>
              </w:rPr>
              <w:t>can</w:t>
            </w:r>
            <w:r w:rsidRPr="0091450A">
              <w:rPr>
                <w:rFonts w:cs="Times New Roman"/>
                <w:szCs w:val="20"/>
              </w:rPr>
              <w:t xml:space="preserve"> provide valuable evidence on what works</w:t>
            </w:r>
            <w:r w:rsidR="00406370" w:rsidRPr="0091450A">
              <w:rPr>
                <w:rFonts w:cs="Times New Roman"/>
                <w:szCs w:val="20"/>
              </w:rPr>
              <w:t xml:space="preserve"> (and what doesn’t) </w:t>
            </w:r>
            <w:r w:rsidRPr="0091450A">
              <w:rPr>
                <w:rFonts w:cs="Times New Roman"/>
                <w:szCs w:val="20"/>
              </w:rPr>
              <w:t xml:space="preserve"> for a diverse range of communities</w:t>
            </w:r>
            <w:r w:rsidR="00255302" w:rsidRPr="0091450A">
              <w:rPr>
                <w:rFonts w:cs="Times New Roman"/>
                <w:szCs w:val="20"/>
              </w:rPr>
              <w:t xml:space="preserve"> </w:t>
            </w:r>
            <w:r w:rsidR="0005304E" w:rsidRPr="0091450A">
              <w:rPr>
                <w:rFonts w:cs="Times New Roman"/>
                <w:szCs w:val="20"/>
              </w:rPr>
              <w:fldChar w:fldCharType="begin" w:fldLock="1"/>
            </w:r>
            <w:r w:rsidR="00EC12A7">
              <w:rPr>
                <w:rFonts w:cs="Times New Roman"/>
                <w:szCs w:val="20"/>
              </w:rPr>
              <w:instrText>ADDIN CSL_CITATION {"citationItems":[{"id":"ITEM-1","itemData":{"URL":"http://www.health.govt.nz/our-work/preventative-health-wellness/healthy-families-nz","accessed":{"date-parts":[["2014","4","2"]]},"author":[{"dropping-particle":"","family":"Ministry of Health","given":"","non-dropping-particle":"","parse-names":false,"suffix":""}],"id":"ITEM-1","issued":{"date-parts":[["2014"]]},"title":"Healthy Families NZ","type":"webpage"},"uris":["http://www.mendeley.com/documents/?uuid=90e9e83d-581a-41d5-848b-69e59b564387","http://www.mendeley.com/documents/?uuid=e8f890f4-5150-483c-84d3-0225e81ba74c"]}],"mendeley":{"formattedCitation":"(193)","plainTextFormattedCitation":"(193)","previouslyFormattedCitation":"(193)"},"properties":{"noteIndex":0},"schema":"https://github.com/citation-style-language/schema/raw/master/csl-citation.json"}</w:instrText>
            </w:r>
            <w:r w:rsidR="0005304E" w:rsidRPr="0091450A">
              <w:rPr>
                <w:rFonts w:cs="Times New Roman"/>
                <w:szCs w:val="20"/>
              </w:rPr>
              <w:fldChar w:fldCharType="separate"/>
            </w:r>
            <w:r w:rsidR="009C4029" w:rsidRPr="009C4029">
              <w:rPr>
                <w:rFonts w:cs="Times New Roman"/>
                <w:noProof/>
                <w:szCs w:val="20"/>
              </w:rPr>
              <w:t>(193)</w:t>
            </w:r>
            <w:r w:rsidR="0005304E" w:rsidRPr="0091450A">
              <w:rPr>
                <w:rFonts w:cs="Times New Roman"/>
                <w:szCs w:val="20"/>
              </w:rPr>
              <w:fldChar w:fldCharType="end"/>
            </w:r>
            <w:r w:rsidR="0080367A" w:rsidRPr="0091450A">
              <w:rPr>
                <w:rFonts w:cs="Times New Roman"/>
                <w:szCs w:val="20"/>
              </w:rPr>
              <w:t xml:space="preserve"> (See</w:t>
            </w:r>
            <w:r w:rsidR="00A769BB" w:rsidRPr="0091450A">
              <w:rPr>
                <w:rFonts w:cs="Times New Roman"/>
                <w:szCs w:val="20"/>
              </w:rPr>
              <w:t xml:space="preserve"> platforms for interaction 4</w:t>
            </w:r>
            <w:r w:rsidR="0080367A" w:rsidRPr="0091450A">
              <w:rPr>
                <w:rFonts w:cs="Times New Roman"/>
                <w:szCs w:val="20"/>
              </w:rPr>
              <w:t>).</w:t>
            </w:r>
          </w:p>
          <w:p w14:paraId="5497B171" w14:textId="77777777" w:rsidR="00A7654F" w:rsidRPr="0091450A" w:rsidRDefault="00313BF6" w:rsidP="002D613F">
            <w:pPr>
              <w:pStyle w:val="ListParagraph"/>
              <w:numPr>
                <w:ilvl w:val="0"/>
                <w:numId w:val="13"/>
              </w:numPr>
              <w:shd w:val="clear" w:color="auto" w:fill="FFFFFF" w:themeFill="background1"/>
              <w:spacing w:before="40" w:after="40"/>
              <w:contextualSpacing w:val="0"/>
              <w:rPr>
                <w:rFonts w:cs="Times New Roman"/>
                <w:szCs w:val="20"/>
              </w:rPr>
            </w:pPr>
            <w:r w:rsidRPr="0091450A">
              <w:rPr>
                <w:rFonts w:cs="Times New Roman"/>
                <w:szCs w:val="20"/>
              </w:rPr>
              <w:t xml:space="preserve">Some </w:t>
            </w:r>
            <w:r w:rsidRPr="00C538D6">
              <w:rPr>
                <w:rFonts w:cs="Times New Roman"/>
                <w:szCs w:val="20"/>
              </w:rPr>
              <w:t>of the</w:t>
            </w:r>
            <w:r w:rsidR="00DE738F" w:rsidRPr="00FB5269">
              <w:rPr>
                <w:rFonts w:cs="Times New Roman"/>
                <w:szCs w:val="20"/>
              </w:rPr>
              <w:t xml:space="preserve"> </w:t>
            </w:r>
            <w:r w:rsidR="00DE738F" w:rsidRPr="007159FF">
              <w:rPr>
                <w:rFonts w:cs="Times New Roman"/>
                <w:szCs w:val="20"/>
              </w:rPr>
              <w:t xml:space="preserve">Science Challenges </w:t>
            </w:r>
            <w:r w:rsidR="00DE738F" w:rsidRPr="00C538D6">
              <w:rPr>
                <w:rFonts w:cs="Times New Roman"/>
                <w:szCs w:val="20"/>
              </w:rPr>
              <w:t>have</w:t>
            </w:r>
            <w:r w:rsidR="00DE738F" w:rsidRPr="0091450A">
              <w:rPr>
                <w:rFonts w:cs="Times New Roman"/>
                <w:szCs w:val="20"/>
              </w:rPr>
              <w:t xml:space="preserve"> a strong focus</w:t>
            </w:r>
            <w:r w:rsidRPr="0091450A">
              <w:rPr>
                <w:rFonts w:cs="Times New Roman"/>
                <w:szCs w:val="20"/>
              </w:rPr>
              <w:t xml:space="preserve"> on reducing health inequalities (see Funding 2 for details).</w:t>
            </w:r>
          </w:p>
          <w:p w14:paraId="5F42B577" w14:textId="493E19F1" w:rsidR="00714C2B" w:rsidRPr="00FC43C2" w:rsidRDefault="00A7654F" w:rsidP="00714C2B">
            <w:pPr>
              <w:pStyle w:val="ListParagraph"/>
              <w:numPr>
                <w:ilvl w:val="0"/>
                <w:numId w:val="13"/>
              </w:numPr>
              <w:shd w:val="clear" w:color="auto" w:fill="FFFFFF" w:themeFill="background1"/>
              <w:spacing w:before="40" w:after="40"/>
              <w:contextualSpacing w:val="0"/>
              <w:rPr>
                <w:rFonts w:cs="Times New Roman"/>
                <w:szCs w:val="20"/>
              </w:rPr>
            </w:pPr>
            <w:r w:rsidRPr="00FC43C2">
              <w:rPr>
                <w:rFonts w:cs="Times New Roman"/>
                <w:szCs w:val="20"/>
                <w:lang w:eastAsia="en-NZ"/>
              </w:rPr>
              <w:t xml:space="preserve">In 2019, </w:t>
            </w:r>
            <w:proofErr w:type="spellStart"/>
            <w:r w:rsidRPr="00FC43C2">
              <w:rPr>
                <w:rFonts w:cs="Times New Roman"/>
                <w:szCs w:val="20"/>
                <w:lang w:eastAsia="en-NZ"/>
              </w:rPr>
              <w:t>KidsCan</w:t>
            </w:r>
            <w:proofErr w:type="spellEnd"/>
            <w:r w:rsidRPr="00FC43C2">
              <w:rPr>
                <w:rFonts w:cs="Times New Roman"/>
                <w:szCs w:val="20"/>
                <w:lang w:eastAsia="en-NZ"/>
              </w:rPr>
              <w:t xml:space="preserve"> charitable trust delivered a pilot programme </w:t>
            </w:r>
            <w:r w:rsidR="00CC4A21" w:rsidRPr="00FC43C2">
              <w:rPr>
                <w:rFonts w:cs="Times New Roman"/>
                <w:szCs w:val="20"/>
                <w:lang w:eastAsia="en-NZ"/>
              </w:rPr>
              <w:t>with</w:t>
            </w:r>
            <w:r w:rsidRPr="00FC43C2">
              <w:rPr>
                <w:rFonts w:cs="Times New Roman"/>
                <w:szCs w:val="20"/>
                <w:lang w:eastAsia="en-NZ"/>
              </w:rPr>
              <w:t xml:space="preserve"> 26 early learning services in Auckland, Northland and Hawkes Bay. The pilot provides the centres with jackets, boots, nit treatment and food. The Heart Foundation has supported the initial pilot with menu advice and hands</w:t>
            </w:r>
            <w:r w:rsidR="00DB557F" w:rsidRPr="00FC43C2">
              <w:rPr>
                <w:rFonts w:cs="Times New Roman"/>
                <w:szCs w:val="20"/>
                <w:lang w:eastAsia="en-NZ"/>
              </w:rPr>
              <w:t>-</w:t>
            </w:r>
            <w:r w:rsidRPr="00FC43C2">
              <w:rPr>
                <w:rFonts w:cs="Times New Roman"/>
                <w:szCs w:val="20"/>
                <w:lang w:eastAsia="en-NZ"/>
              </w:rPr>
              <w:t>on support for the participating centres. The programme is being extended to an additional 37 centres in 2020</w:t>
            </w:r>
            <w:r w:rsidR="00CC4A21" w:rsidRPr="00FC43C2">
              <w:rPr>
                <w:rFonts w:cs="Times New Roman"/>
                <w:szCs w:val="20"/>
                <w:lang w:eastAsia="en-NZ"/>
              </w:rPr>
              <w:t xml:space="preserve"> (personal communication, </w:t>
            </w:r>
            <w:r w:rsidR="0091450A" w:rsidRPr="00FC43C2">
              <w:rPr>
                <w:rFonts w:cs="Times New Roman"/>
                <w:szCs w:val="20"/>
                <w:lang w:eastAsia="en-NZ"/>
              </w:rPr>
              <w:t>Heart Foundation</w:t>
            </w:r>
            <w:r w:rsidR="00CC4A21" w:rsidRPr="00FC43C2">
              <w:rPr>
                <w:rFonts w:cs="Times New Roman"/>
                <w:szCs w:val="20"/>
                <w:lang w:eastAsia="en-NZ"/>
              </w:rPr>
              <w:t xml:space="preserve"> 2020)</w:t>
            </w:r>
            <w:r w:rsidRPr="00FC43C2">
              <w:rPr>
                <w:rFonts w:cs="Times New Roman"/>
                <w:szCs w:val="20"/>
                <w:lang w:eastAsia="en-NZ"/>
              </w:rPr>
              <w:t xml:space="preserve">. </w:t>
            </w:r>
          </w:p>
          <w:p w14:paraId="46671FA1" w14:textId="42CE9E1A" w:rsidR="00714C2B" w:rsidRPr="00FC43C2" w:rsidRDefault="00714C2B" w:rsidP="003F0368">
            <w:pPr>
              <w:pStyle w:val="ListParagraph"/>
              <w:numPr>
                <w:ilvl w:val="0"/>
                <w:numId w:val="13"/>
              </w:numPr>
              <w:shd w:val="clear" w:color="auto" w:fill="FFFFFF" w:themeFill="background1"/>
              <w:spacing w:before="40" w:after="40"/>
              <w:contextualSpacing w:val="0"/>
              <w:rPr>
                <w:rFonts w:cs="Times New Roman"/>
                <w:szCs w:val="20"/>
              </w:rPr>
            </w:pPr>
            <w:r w:rsidRPr="00FC43C2">
              <w:t>The Heart Foundation partners with the HPA and Vegetables.co.nz to support families to improve their food skills and increase their consumption of vegetables. Currently</w:t>
            </w:r>
            <w:r w:rsidR="00DB557F" w:rsidRPr="00FC43C2">
              <w:t>,</w:t>
            </w:r>
            <w:r w:rsidRPr="00FC43C2">
              <w:t xml:space="preserve"> 25 food skill cards and over 120 recipe videos have been developed and promoted. Over the past year</w:t>
            </w:r>
            <w:r w:rsidR="00DB557F" w:rsidRPr="00FC43C2">
              <w:t>,</w:t>
            </w:r>
            <w:r w:rsidRPr="00FC43C2">
              <w:t xml:space="preserve"> this work has been adapted to support The Pacific team with resources and the National support agency for budgeting services</w:t>
            </w:r>
            <w:r w:rsidR="003F0368" w:rsidRPr="00FC43C2">
              <w:t xml:space="preserve"> with videos to use regarding budgeting </w:t>
            </w:r>
            <w:r w:rsidR="003F0368" w:rsidRPr="00FC43C2">
              <w:rPr>
                <w:rFonts w:cs="Times New Roman"/>
                <w:szCs w:val="20"/>
                <w:lang w:eastAsia="en-NZ"/>
              </w:rPr>
              <w:t>(personal communication, Heart Foundation 2020)</w:t>
            </w:r>
            <w:r w:rsidR="003F0368" w:rsidRPr="00FC43C2">
              <w:t>.</w:t>
            </w:r>
          </w:p>
          <w:p w14:paraId="182578BE" w14:textId="77777777" w:rsidR="00C5347E" w:rsidRPr="0091450A" w:rsidRDefault="00C5347E" w:rsidP="002D613F">
            <w:pPr>
              <w:shd w:val="clear" w:color="auto" w:fill="FFFFFF" w:themeFill="background1"/>
              <w:spacing w:before="40" w:after="40"/>
              <w:rPr>
                <w:rFonts w:cs="Times New Roman"/>
                <w:szCs w:val="20"/>
                <w:highlight w:val="yellow"/>
              </w:rPr>
            </w:pPr>
          </w:p>
          <w:p w14:paraId="7786DD1E" w14:textId="67BC9BFD" w:rsidR="00C04080" w:rsidRPr="0091450A" w:rsidRDefault="00C04080" w:rsidP="002D613F">
            <w:pPr>
              <w:spacing w:before="40" w:after="40"/>
              <w:rPr>
                <w:b/>
                <w:color w:val="1F497D"/>
                <w:sz w:val="28"/>
                <w:szCs w:val="28"/>
              </w:rPr>
            </w:pPr>
            <w:r w:rsidRPr="0091450A">
              <w:rPr>
                <w:b/>
                <w:color w:val="1F497D"/>
                <w:sz w:val="28"/>
                <w:szCs w:val="28"/>
              </w:rPr>
              <w:lastRenderedPageBreak/>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202AF56F" w14:textId="47220D3C" w:rsidR="00D856DA" w:rsidRPr="0091450A" w:rsidRDefault="00C5347E" w:rsidP="002D613F">
            <w:pPr>
              <w:pStyle w:val="ListParagraph"/>
              <w:numPr>
                <w:ilvl w:val="0"/>
                <w:numId w:val="13"/>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New Zealand</w:t>
            </w:r>
            <w:r w:rsidRPr="0091450A">
              <w:rPr>
                <w:rFonts w:eastAsia="Times New Roman" w:cs="Times New Roman"/>
                <w:szCs w:val="20"/>
                <w:lang w:eastAsia="en-NZ"/>
              </w:rPr>
              <w:t>: The Ministry of Health reports the estimates derived from health surveys and nutrition surveys by four subpopulation groups including age group, gender, ethnic group and an area level deprivation index.  Similarly, estimates d</w:t>
            </w:r>
            <w:r w:rsidR="00046833" w:rsidRPr="0091450A">
              <w:rPr>
                <w:rFonts w:eastAsia="Times New Roman" w:cs="Times New Roman"/>
                <w:szCs w:val="20"/>
                <w:lang w:eastAsia="en-NZ"/>
              </w:rPr>
              <w:t>erived from other data types (</w:t>
            </w:r>
            <w:r w:rsidR="00AE20D3" w:rsidRPr="0091450A">
              <w:rPr>
                <w:rFonts w:eastAsia="Times New Roman" w:cs="Times New Roman"/>
                <w:szCs w:val="20"/>
                <w:lang w:eastAsia="en-NZ"/>
              </w:rPr>
              <w:t>e.g.</w:t>
            </w:r>
            <w:r w:rsidRPr="0091450A">
              <w:rPr>
                <w:rFonts w:eastAsia="Times New Roman" w:cs="Times New Roman"/>
                <w:szCs w:val="20"/>
                <w:lang w:eastAsia="en-NZ"/>
              </w:rPr>
              <w:t xml:space="preserve"> mortality) are presented by these subpopulation groups. The contracts between MoH and NGOs or other institutions include a section on M</w:t>
            </w:r>
            <w:r w:rsidR="00EA3AE1">
              <w:rPr>
                <w:rFonts w:eastAsia="Times New Roman" w:cs="Times New Roman"/>
                <w:szCs w:val="20"/>
                <w:lang w:eastAsia="en-NZ"/>
              </w:rPr>
              <w:t>ā</w:t>
            </w:r>
            <w:r w:rsidRPr="0091450A">
              <w:rPr>
                <w:rFonts w:eastAsia="Times New Roman" w:cs="Times New Roman"/>
                <w:szCs w:val="20"/>
                <w:lang w:eastAsia="en-NZ"/>
              </w:rPr>
              <w:t>ori Health and state: “An overarching aim of the health and disability sector is the improvement of M</w:t>
            </w:r>
            <w:r w:rsidR="00EA3AE1">
              <w:rPr>
                <w:rFonts w:eastAsia="Times New Roman" w:cs="Times New Roman"/>
                <w:szCs w:val="20"/>
                <w:lang w:eastAsia="en-NZ"/>
              </w:rPr>
              <w:t>ā</w:t>
            </w:r>
            <w:r w:rsidRPr="0091450A">
              <w:rPr>
                <w:rFonts w:eastAsia="Times New Roman" w:cs="Times New Roman"/>
                <w:szCs w:val="20"/>
                <w:lang w:eastAsia="en-NZ"/>
              </w:rPr>
              <w:t>ori health outcomes and the reduction of M</w:t>
            </w:r>
            <w:r w:rsidR="00EA3AE1">
              <w:rPr>
                <w:rFonts w:eastAsia="Times New Roman" w:cs="Times New Roman"/>
                <w:szCs w:val="20"/>
                <w:lang w:eastAsia="en-NZ"/>
              </w:rPr>
              <w:t>ā</w:t>
            </w:r>
            <w:r w:rsidRPr="0091450A">
              <w:rPr>
                <w:rFonts w:eastAsia="Times New Roman" w:cs="Times New Roman"/>
                <w:szCs w:val="20"/>
                <w:lang w:eastAsia="en-NZ"/>
              </w:rPr>
              <w:t>ori health inequalities. You must comply with any: a) M</w:t>
            </w:r>
            <w:r w:rsidR="00EA3AE1">
              <w:rPr>
                <w:rFonts w:eastAsia="Times New Roman" w:cs="Times New Roman"/>
                <w:szCs w:val="20"/>
                <w:lang w:eastAsia="en-NZ"/>
              </w:rPr>
              <w:t>ā</w:t>
            </w:r>
            <w:r w:rsidRPr="0091450A">
              <w:rPr>
                <w:rFonts w:eastAsia="Times New Roman" w:cs="Times New Roman"/>
                <w:szCs w:val="20"/>
                <w:lang w:eastAsia="en-NZ"/>
              </w:rPr>
              <w:t>ori specific service requirements, b) Maori specific quality requirements and c) M</w:t>
            </w:r>
            <w:r w:rsidR="00EA3AE1">
              <w:rPr>
                <w:rFonts w:eastAsia="Times New Roman" w:cs="Times New Roman"/>
                <w:szCs w:val="20"/>
                <w:lang w:eastAsia="en-NZ"/>
              </w:rPr>
              <w:t>ā</w:t>
            </w:r>
            <w:r w:rsidRPr="0091450A">
              <w:rPr>
                <w:rFonts w:eastAsia="Times New Roman" w:cs="Times New Roman"/>
                <w:szCs w:val="20"/>
                <w:lang w:eastAsia="en-NZ"/>
              </w:rPr>
              <w:t>ori specific monitoring requirements”. In addition, the provider quality specifications for public health services include specific requirements for M</w:t>
            </w:r>
            <w:r w:rsidR="00EA3AE1">
              <w:rPr>
                <w:rFonts w:eastAsia="Times New Roman" w:cs="Times New Roman"/>
                <w:szCs w:val="20"/>
                <w:lang w:eastAsia="en-NZ"/>
              </w:rPr>
              <w:t>ā</w:t>
            </w:r>
            <w:r w:rsidRPr="0091450A">
              <w:rPr>
                <w:rFonts w:eastAsia="Times New Roman" w:cs="Times New Roman"/>
                <w:szCs w:val="20"/>
                <w:lang w:eastAsia="en-NZ"/>
              </w:rPr>
              <w:t>ori:” C1 Services meet needs of M</w:t>
            </w:r>
            <w:r w:rsidR="00EA3AE1">
              <w:rPr>
                <w:rFonts w:eastAsia="Times New Roman" w:cs="Times New Roman"/>
                <w:szCs w:val="20"/>
                <w:lang w:eastAsia="en-NZ"/>
              </w:rPr>
              <w:t>ā</w:t>
            </w:r>
            <w:r w:rsidRPr="0091450A">
              <w:rPr>
                <w:rFonts w:eastAsia="Times New Roman" w:cs="Times New Roman"/>
                <w:szCs w:val="20"/>
                <w:lang w:eastAsia="en-NZ"/>
              </w:rPr>
              <w:t>ori, C2 M</w:t>
            </w:r>
            <w:r w:rsidR="00EA3AE1">
              <w:rPr>
                <w:rFonts w:eastAsia="Times New Roman" w:cs="Times New Roman"/>
                <w:szCs w:val="20"/>
                <w:lang w:eastAsia="en-NZ"/>
              </w:rPr>
              <w:t>ā</w:t>
            </w:r>
            <w:r w:rsidRPr="0091450A">
              <w:rPr>
                <w:rFonts w:eastAsia="Times New Roman" w:cs="Times New Roman"/>
                <w:szCs w:val="20"/>
                <w:lang w:eastAsia="en-NZ"/>
              </w:rPr>
              <w:t xml:space="preserve">ori participation at all levels of strategic and service planning, development and implementation within </w:t>
            </w:r>
            <w:r w:rsidR="00DB557F">
              <w:rPr>
                <w:rFonts w:eastAsia="Times New Roman" w:cs="Times New Roman"/>
                <w:szCs w:val="20"/>
                <w:lang w:eastAsia="en-NZ"/>
              </w:rPr>
              <w:t xml:space="preserve">the </w:t>
            </w:r>
            <w:r w:rsidRPr="0091450A">
              <w:rPr>
                <w:rFonts w:eastAsia="Times New Roman" w:cs="Times New Roman"/>
                <w:szCs w:val="20"/>
                <w:lang w:eastAsia="en-NZ"/>
              </w:rPr>
              <w:t>organisation at governance, management and service delivery levels, C3: support for M</w:t>
            </w:r>
            <w:r w:rsidR="00EA3AE1">
              <w:rPr>
                <w:rFonts w:eastAsia="Times New Roman" w:cs="Times New Roman"/>
                <w:szCs w:val="20"/>
                <w:lang w:eastAsia="en-NZ"/>
              </w:rPr>
              <w:t>ā</w:t>
            </w:r>
            <w:r w:rsidRPr="0091450A">
              <w:rPr>
                <w:rFonts w:eastAsia="Times New Roman" w:cs="Times New Roman"/>
                <w:szCs w:val="20"/>
                <w:lang w:eastAsia="en-NZ"/>
              </w:rPr>
              <w:t xml:space="preserve">ori accessing services”. </w:t>
            </w:r>
          </w:p>
          <w:p w14:paraId="380D0663" w14:textId="2BA3EBC3" w:rsidR="00C5347E" w:rsidRPr="0091450A" w:rsidRDefault="00C5347E" w:rsidP="002D613F">
            <w:pPr>
              <w:pStyle w:val="ListParagraph"/>
              <w:numPr>
                <w:ilvl w:val="0"/>
                <w:numId w:val="13"/>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The National Indigenous Reform Agreement (Closing the Gap) is an agreement between the Commonwealth of Australia and the States and Territories. The objective of this agreement is to work together with Indigenous Australians to Close the Gap in Indigenous disadvantage. The targets agreed to by C</w:t>
            </w:r>
            <w:r w:rsidR="00DD30C1">
              <w:rPr>
                <w:rFonts w:eastAsia="Times New Roman" w:cs="Times New Roman"/>
                <w:szCs w:val="20"/>
                <w:lang w:eastAsia="en-NZ"/>
              </w:rPr>
              <w:t>ouncil of Australian Governments</w:t>
            </w:r>
            <w:r w:rsidRPr="0091450A">
              <w:rPr>
                <w:rFonts w:eastAsia="Times New Roman" w:cs="Times New Roman"/>
                <w:szCs w:val="20"/>
                <w:lang w:eastAsia="en-NZ"/>
              </w:rPr>
              <w:t xml:space="preserve"> relate to health or social determinants of health. For the target ‘Closing the life expectancy gap within a generation (by 2031)’, one of the performance indicators is the prevalence of overweight and obesity.</w:t>
            </w:r>
          </w:p>
        </w:tc>
      </w:tr>
    </w:tbl>
    <w:p w14:paraId="0EC5A26C" w14:textId="68C20B5C" w:rsidR="004304C1" w:rsidRPr="0091450A" w:rsidRDefault="004304C1" w:rsidP="002D613F">
      <w:pPr>
        <w:spacing w:line="240" w:lineRule="auto"/>
        <w:rPr>
          <w:rFonts w:eastAsiaTheme="majorEastAsia" w:cstheme="majorBidi"/>
          <w:b/>
          <w:bCs/>
          <w:color w:val="365F91" w:themeColor="accent1" w:themeShade="BF"/>
          <w:sz w:val="28"/>
          <w:szCs w:val="28"/>
        </w:rPr>
      </w:pPr>
    </w:p>
    <w:tbl>
      <w:tblPr>
        <w:tblStyle w:val="TableGrid2"/>
        <w:tblW w:w="9209" w:type="dxa"/>
        <w:tblLook w:val="04A0" w:firstRow="1" w:lastRow="0" w:firstColumn="1" w:lastColumn="0" w:noHBand="0" w:noVBand="1"/>
      </w:tblPr>
      <w:tblGrid>
        <w:gridCol w:w="9209"/>
      </w:tblGrid>
      <w:tr w:rsidR="007A5E04" w:rsidRPr="0091450A" w14:paraId="7A44059C" w14:textId="77777777" w:rsidTr="00CA16E1">
        <w:tc>
          <w:tcPr>
            <w:tcW w:w="9209" w:type="dxa"/>
          </w:tcPr>
          <w:p w14:paraId="400AD2C1" w14:textId="77788FC4" w:rsidR="007A5E04" w:rsidRPr="0091450A" w:rsidRDefault="007A5E04" w:rsidP="002D613F">
            <w:pPr>
              <w:shd w:val="clear" w:color="auto" w:fill="FFFFFF" w:themeFill="background1"/>
              <w:spacing w:before="40" w:after="40"/>
              <w:contextualSpacing/>
              <w:rPr>
                <w:rFonts w:cs="Times New Roman"/>
                <w:bCs/>
                <w:szCs w:val="20"/>
              </w:rPr>
            </w:pPr>
            <w:bookmarkStart w:id="52" w:name="_Toc31623750"/>
            <w:r w:rsidRPr="0091450A">
              <w:rPr>
                <w:rStyle w:val="Heading2Char"/>
              </w:rPr>
              <w:t>9 GOVERNANCE</w:t>
            </w:r>
            <w:bookmarkEnd w:id="52"/>
            <w:r w:rsidRPr="0091450A">
              <w:rPr>
                <w:rFonts w:cs="Times New Roman"/>
                <w:b/>
                <w:color w:val="1F497D" w:themeColor="text2"/>
                <w:sz w:val="28"/>
                <w:szCs w:val="28"/>
              </w:rPr>
              <w:t xml:space="preserve">: </w:t>
            </w:r>
            <w:r w:rsidRPr="0091450A">
              <w:rPr>
                <w:rFonts w:cs="Times New Roman"/>
                <w:szCs w:val="20"/>
              </w:rPr>
              <w:t xml:space="preserve">Governments have structures in place to ensure transparency and </w:t>
            </w:r>
            <w:r w:rsidR="00C76DA0" w:rsidRPr="0091450A">
              <w:rPr>
                <w:rFonts w:cs="Times New Roman"/>
                <w:szCs w:val="20"/>
              </w:rPr>
              <w:t>accountability and</w:t>
            </w:r>
            <w:r w:rsidRPr="0091450A">
              <w:rPr>
                <w:rFonts w:cs="Times New Roman"/>
                <w:szCs w:val="20"/>
              </w:rPr>
              <w:t xml:space="preserve"> encourage broad community participation and inclusion when formulating and implementing policies and actions to create healthy food environments, improve population nutrition, and reduce diet-related inequalities</w:t>
            </w:r>
            <w:r w:rsidR="00B84E85" w:rsidRPr="0091450A">
              <w:rPr>
                <w:rFonts w:cs="Times New Roman"/>
                <w:szCs w:val="20"/>
              </w:rPr>
              <w:t>.</w:t>
            </w:r>
          </w:p>
        </w:tc>
      </w:tr>
      <w:tr w:rsidR="007A5E04" w:rsidRPr="0091450A" w14:paraId="4E23228A" w14:textId="77777777" w:rsidTr="00CA16E1">
        <w:tc>
          <w:tcPr>
            <w:tcW w:w="9209" w:type="dxa"/>
          </w:tcPr>
          <w:p w14:paraId="1E982729" w14:textId="0733F3C6" w:rsidR="007A5E04" w:rsidRPr="0091450A" w:rsidRDefault="007A5E04" w:rsidP="002D613F">
            <w:pPr>
              <w:shd w:val="clear" w:color="auto" w:fill="FFFFFF" w:themeFill="background1"/>
              <w:spacing w:before="40" w:after="40"/>
              <w:rPr>
                <w:rFonts w:cs="Times New Roman"/>
                <w:szCs w:val="20"/>
              </w:rPr>
            </w:pPr>
            <w:bookmarkStart w:id="53" w:name="_Toc31623751"/>
            <w:r w:rsidRPr="0091450A">
              <w:rPr>
                <w:rStyle w:val="Heading3Char"/>
              </w:rPr>
              <w:t>GOVER1</w:t>
            </w:r>
            <w:bookmarkEnd w:id="53"/>
            <w:r w:rsidRPr="0091450A">
              <w:rPr>
                <w:rFonts w:cs="Times New Roman"/>
                <w:b/>
                <w:color w:val="1F497D" w:themeColor="text2"/>
                <w:sz w:val="28"/>
                <w:szCs w:val="28"/>
              </w:rPr>
              <w:t xml:space="preserve">: </w:t>
            </w:r>
            <w:r w:rsidRPr="0091450A">
              <w:rPr>
                <w:rFonts w:cs="Times New Roman"/>
                <w:b/>
                <w:szCs w:val="20"/>
              </w:rPr>
              <w:t>There are robust procedures to restrict commercial influences on the development of policies related to food environments where they have conflicts of interest with improving population nutrition</w:t>
            </w:r>
            <w:r w:rsidR="00B84E85" w:rsidRPr="0091450A">
              <w:rPr>
                <w:rFonts w:cs="Times New Roman"/>
                <w:b/>
                <w:szCs w:val="20"/>
              </w:rPr>
              <w:t>.</w:t>
            </w:r>
          </w:p>
        </w:tc>
      </w:tr>
      <w:tr w:rsidR="007A5E04" w:rsidRPr="0091450A" w14:paraId="544F686F" w14:textId="77777777" w:rsidTr="00CA16E1">
        <w:tc>
          <w:tcPr>
            <w:tcW w:w="9209" w:type="dxa"/>
          </w:tcPr>
          <w:p w14:paraId="35D9FDFB" w14:textId="5743D454"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ECDD8CE" w14:textId="0534708F" w:rsidR="007A5E04" w:rsidRPr="0091450A" w:rsidRDefault="007A5E04" w:rsidP="002D613F">
            <w:pPr>
              <w:numPr>
                <w:ilvl w:val="0"/>
                <w:numId w:val="74"/>
              </w:numPr>
              <w:shd w:val="clear" w:color="auto" w:fill="FFFFFF" w:themeFill="background1"/>
              <w:spacing w:before="40" w:after="40"/>
              <w:contextualSpacing/>
              <w:rPr>
                <w:rFonts w:cs="Times New Roman"/>
                <w:szCs w:val="20"/>
              </w:rPr>
            </w:pPr>
            <w:r w:rsidRPr="0091450A">
              <w:rPr>
                <w:rFonts w:cs="Times New Roman"/>
                <w:szCs w:val="20"/>
              </w:rPr>
              <w:t>There are legal expectations with regard to lobbying and commercial influences, contained in legislation including the Crimes Act</w:t>
            </w:r>
            <w:r w:rsidR="00ED7C36" w:rsidRPr="0091450A">
              <w:rPr>
                <w:rFonts w:cs="Times New Roman"/>
                <w:szCs w:val="20"/>
              </w:rPr>
              <w:t xml:space="preserve"> </w:t>
            </w:r>
            <w:r w:rsidR="00ED7C36" w:rsidRPr="0091450A">
              <w:rPr>
                <w:rFonts w:cs="Times New Roman"/>
                <w:szCs w:val="20"/>
              </w:rPr>
              <w:fldChar w:fldCharType="begin" w:fldLock="1"/>
            </w:r>
            <w:r w:rsidR="00EC12A7">
              <w:rPr>
                <w:rFonts w:cs="Times New Roman"/>
                <w:szCs w:val="20"/>
              </w:rPr>
              <w:instrText>ADDIN CSL_CITATION {"citationItems":[{"id":"ITEM-1","itemData":{"URL":"http://www.legislation.govt.nz/act/public/1961/0043/latest/DLM327382.html","author":[{"dropping-particle":"","family":"New Zealand Government","given":"","non-dropping-particle":"","parse-names":false,"suffix":""}],"id":"ITEM-1","issue":"31/07/2013","issued":{"date-parts":[["2013"]]},"title":"Crimes Act 1961","type":"webpage"},"uris":["http://www.mendeley.com/documents/?uuid=fa098c28-a6c4-3902-82d6-2098bbbce8de","http://www.mendeley.com/documents/?uuid=49190209-8768-4a84-8b77-2dc3ade25bb4"]}],"mendeley":{"formattedCitation":"(194)","plainTextFormattedCitation":"(194)","previouslyFormattedCitation":"(194)"},"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(194)</w:t>
            </w:r>
            <w:r w:rsidR="00ED7C36" w:rsidRPr="0091450A">
              <w:rPr>
                <w:rFonts w:cs="Times New Roman"/>
                <w:szCs w:val="20"/>
              </w:rPr>
              <w:fldChar w:fldCharType="end"/>
            </w:r>
            <w:r w:rsidRPr="0091450A">
              <w:rPr>
                <w:rFonts w:cs="Times New Roman"/>
                <w:szCs w:val="20"/>
              </w:rPr>
              <w:t>, Electoral Act</w:t>
            </w:r>
            <w:r w:rsidR="00ED7C36" w:rsidRPr="0091450A">
              <w:rPr>
                <w:rFonts w:cs="Times New Roman"/>
                <w:szCs w:val="20"/>
              </w:rPr>
              <w:t xml:space="preserve"> </w:t>
            </w:r>
            <w:r w:rsidR="00ED7C36" w:rsidRPr="0091450A">
              <w:rPr>
                <w:rFonts w:cs="Times New Roman"/>
                <w:szCs w:val="20"/>
              </w:rPr>
              <w:fldChar w:fldCharType="begin" w:fldLock="1"/>
            </w:r>
            <w:r w:rsidR="00EC12A7">
              <w:rPr>
                <w:rFonts w:cs="Times New Roman"/>
                <w:szCs w:val="20"/>
              </w:rPr>
              <w:instrText>ADDIN CSL_CITATION {"citationItems":[{"id":"ITEM-1","itemData":{"URL":"http://www.legislation.govt.nz/act/public/1993/0087/latest/DLM307519.html","author":[{"dropping-particle":"","family":"New Zealand Government","given":"","non-dropping-particle":"","parse-names":false,"suffix":""}],"id":"ITEM-1","issue":"31/07/2013","issued":{"date-parts":[["2013"]]},"title":"Electoral Act 1993","type":"webpage"},"uris":["http://www.mendeley.com/documents/?uuid=3155b9d0-e7b2-3d18-b410-09d3f58a54a3","http://www.mendeley.com/documents/?uuid=d355a047-1f33-4177-9cff-5c52e1f8e467"]}],"mendeley":{"formattedCitation":"(195)","plainTextFormattedCitation":"(195)","previouslyFormattedCitation":"(195)"},"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(195)</w:t>
            </w:r>
            <w:r w:rsidR="00ED7C36" w:rsidRPr="0091450A">
              <w:rPr>
                <w:rFonts w:cs="Times New Roman"/>
                <w:szCs w:val="20"/>
              </w:rPr>
              <w:fldChar w:fldCharType="end"/>
            </w:r>
            <w:r w:rsidRPr="0091450A">
              <w:rPr>
                <w:rFonts w:cs="Times New Roman"/>
                <w:szCs w:val="20"/>
              </w:rPr>
              <w:t>, Secret Commissions Act</w:t>
            </w:r>
            <w:r w:rsidR="00ED7C36" w:rsidRPr="0091450A">
              <w:rPr>
                <w:rFonts w:cs="Times New Roman"/>
                <w:szCs w:val="20"/>
              </w:rPr>
              <w:t xml:space="preserve"> </w:t>
            </w:r>
            <w:r w:rsidR="00ED7C36" w:rsidRPr="0091450A">
              <w:rPr>
                <w:rFonts w:cs="Times New Roman"/>
                <w:szCs w:val="20"/>
              </w:rPr>
              <w:fldChar w:fldCharType="begin" w:fldLock="1"/>
            </w:r>
            <w:r w:rsidR="00EC12A7">
              <w:rPr>
                <w:rFonts w:cs="Times New Roman"/>
                <w:szCs w:val="20"/>
              </w:rPr>
              <w:instrText>ADDIN CSL_CITATION {"citationItems":[{"id":"ITEM-1","itemData":{"URL":"http://www.legislation.govt.nz/act/public/1910/0040/latest/DLM177643.html","author":[{"dropping-particle":"","family":"New Zealand Government","given":"","non-dropping-particle":"","parse-names":false,"suffix":""}],"id":"ITEM-1","issue":"31/07/2013","issued":{"date-parts":[["2013"]]},"title":"Secret Commissions Act 1910","type":"webpage"},"uris":["http://www.mendeley.com/documents/?uuid=ad1c0773-db9a-363e-9dd2-5bf458b5b2c8","http://www.mendeley.com/documents/?uuid=e277bd85-5074-4ce8-bdfa-edef4ecf0993"]}],"mendeley":{"formattedCitation":"(196)","plainTextFormattedCitation":"(196)","previouslyFormattedCitation":"(196)"},"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(196)</w:t>
            </w:r>
            <w:r w:rsidR="00ED7C36" w:rsidRPr="0091450A">
              <w:rPr>
                <w:rFonts w:cs="Times New Roman"/>
                <w:szCs w:val="20"/>
              </w:rPr>
              <w:fldChar w:fldCharType="end"/>
            </w:r>
            <w:r w:rsidR="00ED7C36" w:rsidRPr="0091450A">
              <w:rPr>
                <w:rFonts w:cs="Times New Roman"/>
                <w:szCs w:val="20"/>
              </w:rPr>
              <w:t xml:space="preserve"> </w:t>
            </w:r>
            <w:r w:rsidRPr="0091450A">
              <w:rPr>
                <w:rFonts w:cs="Times New Roman"/>
                <w:szCs w:val="20"/>
              </w:rPr>
              <w:t>and others (communication</w:t>
            </w:r>
            <w:r w:rsidR="00D856DA" w:rsidRPr="0091450A">
              <w:rPr>
                <w:rFonts w:cs="Times New Roman"/>
                <w:szCs w:val="20"/>
              </w:rPr>
              <w:t xml:space="preserve">, </w:t>
            </w:r>
            <w:r w:rsidRPr="0091450A">
              <w:rPr>
                <w:rFonts w:cs="Times New Roman"/>
                <w:szCs w:val="20"/>
              </w:rPr>
              <w:t xml:space="preserve">State Services Commission </w:t>
            </w:r>
            <w:r w:rsidR="006E5A52" w:rsidRPr="0091450A">
              <w:rPr>
                <w:rFonts w:cs="Times New Roman"/>
                <w:szCs w:val="20"/>
              </w:rPr>
              <w:t>2014</w:t>
            </w:r>
            <w:r w:rsidRPr="0091450A">
              <w:rPr>
                <w:rFonts w:cs="Times New Roman"/>
                <w:szCs w:val="20"/>
              </w:rPr>
              <w:t>). New Zealand does not have a legislated lobbying regime. There are no lobbying registers available in New Zealand. Before Parliament was the Lobbying Disclosure Bill which seeks to regulate lobbying in New Zealand. The following link contains information on the Bill including submissions made to Select Committee</w:t>
            </w:r>
            <w:r w:rsidR="00ED7C36" w:rsidRPr="0091450A">
              <w:rPr>
                <w:rFonts w:cs="Times New Roman"/>
                <w:szCs w:val="20"/>
              </w:rPr>
              <w:t xml:space="preserve"> </w:t>
            </w:r>
            <w:r w:rsidR="00ED7C36" w:rsidRPr="0091450A">
              <w:rPr>
                <w:rFonts w:cs="Times New Roman"/>
                <w:szCs w:val="20"/>
              </w:rPr>
              <w:fldChar w:fldCharType="begin" w:fldLock="1"/>
            </w:r>
            <w:r w:rsidR="00EC12A7">
              <w:rPr>
                <w:rFonts w:cs="Times New Roman"/>
                <w:szCs w:val="20"/>
              </w:rPr>
              <w:instrText>ADDIN CSL_CITATION {"citationItems":[{"id":"ITEM-1","itemData":{"URL":"http://www.parliament.nz/en-nz/pb/legislation/bills/00DBHOH_BILL11278_1/lobbying-disclosure-bill","author":[{"dropping-particle":"","family":"New Zealand Parliament","given":"","non-dropping-particle":"","parse-names":false,"suffix":""}],"id":"ITEM-1","issue":"31/07/2013","issued":{"date-parts":[["2013"]]},"title":"Lobbying Disclosure Bill","type":"webpage"},"uris":["http://www.mendeley.com/documents/?uuid=1e3ac70c-559e-3934-86de-7b611bb61e6a","http://www.mendeley.com/documents/?uuid=f2465e10-2b5f-40ed-8419-3d4fb9679929"]}],"mendeley":{"formattedCitation":"(197)","plainTextFormattedCitation":"(197)","previouslyFormattedCitation":"(197)"},"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(197)</w:t>
            </w:r>
            <w:r w:rsidR="00ED7C36" w:rsidRPr="0091450A">
              <w:rPr>
                <w:rFonts w:cs="Times New Roman"/>
                <w:szCs w:val="20"/>
              </w:rPr>
              <w:fldChar w:fldCharType="end"/>
            </w:r>
            <w:r w:rsidR="00ED7C36" w:rsidRPr="0091450A">
              <w:rPr>
                <w:rFonts w:cs="Times New Roman"/>
                <w:szCs w:val="20"/>
              </w:rPr>
              <w:t>.</w:t>
            </w:r>
            <w:r w:rsidRPr="0091450A">
              <w:rPr>
                <w:rFonts w:cs="Times New Roman"/>
                <w:szCs w:val="20"/>
              </w:rPr>
              <w:t xml:space="preserve"> This has been rejected. </w:t>
            </w:r>
          </w:p>
          <w:p w14:paraId="4A0341C2" w14:textId="178ED92D" w:rsidR="007A5E04" w:rsidRPr="0091450A" w:rsidRDefault="007A5E04" w:rsidP="002D613F">
            <w:pPr>
              <w:numPr>
                <w:ilvl w:val="0"/>
                <w:numId w:val="74"/>
              </w:numPr>
              <w:shd w:val="clear" w:color="auto" w:fill="FFFFFF" w:themeFill="background1"/>
              <w:spacing w:before="40" w:after="40"/>
              <w:contextualSpacing/>
              <w:rPr>
                <w:rFonts w:cs="Times New Roman"/>
                <w:szCs w:val="20"/>
              </w:rPr>
            </w:pPr>
            <w:r w:rsidRPr="0091450A">
              <w:rPr>
                <w:rFonts w:cs="Times New Roman"/>
                <w:szCs w:val="20"/>
              </w:rPr>
              <w:t xml:space="preserve">Submissions from stakeholders to policy documents are generally </w:t>
            </w:r>
            <w:r w:rsidR="00E1300D" w:rsidRPr="0091450A">
              <w:rPr>
                <w:rFonts w:cs="Times New Roman"/>
                <w:szCs w:val="20"/>
              </w:rPr>
              <w:t>publicly</w:t>
            </w:r>
            <w:r w:rsidRPr="0091450A">
              <w:rPr>
                <w:rFonts w:cs="Times New Roman"/>
                <w:szCs w:val="20"/>
              </w:rPr>
              <w:t xml:space="preserve"> disclosed in New Zealand.</w:t>
            </w:r>
          </w:p>
          <w:p w14:paraId="79FE9108" w14:textId="1A1291DC" w:rsidR="006543FC" w:rsidRPr="0091450A" w:rsidRDefault="007A5E04" w:rsidP="002D613F">
            <w:pPr>
              <w:numPr>
                <w:ilvl w:val="0"/>
                <w:numId w:val="74"/>
              </w:numPr>
              <w:shd w:val="clear" w:color="auto" w:fill="FFFFFF" w:themeFill="background1"/>
              <w:spacing w:before="40" w:after="40"/>
              <w:contextualSpacing/>
              <w:rPr>
                <w:rFonts w:cs="Times New Roman"/>
                <w:szCs w:val="20"/>
              </w:rPr>
            </w:pPr>
            <w:r w:rsidRPr="0091450A">
              <w:rPr>
                <w:rFonts w:cs="Times New Roman"/>
                <w:szCs w:val="20"/>
              </w:rPr>
              <w:t xml:space="preserve">The State Services Commission (SSC) in New Zealand has published Best Practice Guidelines for Departments Responsible for Regulatory Processes with Significant Commercial Implications </w:t>
            </w:r>
            <w:r w:rsidR="00ED7C36" w:rsidRPr="0091450A">
              <w:rPr>
                <w:rFonts w:cs="Times New Roman"/>
                <w:szCs w:val="20"/>
              </w:rPr>
              <w:fldChar w:fldCharType="begin" w:fldLock="1"/>
            </w:r>
            <w:r w:rsidR="00EC12A7">
              <w:rPr>
                <w:rFonts w:cs="Times New Roman"/>
                <w:szCs w:val="20"/>
              </w:rPr>
              <w:instrText>ADDIN CSL_CITATION {"citationItems":[{"id":"ITEM-1","itemData":{"URL":"http://www.ssc.govt.nz/resources/2814/all-pages","author":[{"dropping-particle":"","family":"State Services Commission","given":"","non-dropping-particle":"","parse-names":false,"suffix":""}],"id":"ITEM-1","issue":"18/06/2013","issued":{"date-parts":[["0"]]},"title":"Best Practice Guidelines for Departments Responsible for Regulatory Processes with Significant Commercial Implications","type":"webpage"},"uris":["http://www.mendeley.com/documents/?uuid=06543fd3-d6e8-3e3d-b575-4eb3cfe53f42","http://www.mendeley.com/documents/?uuid=f4c3f8c1-dbae-434d-85a3-1a3d2f5a3973"]}],"mendeley":{"formattedCitation":"(198)","plainTextFormattedCitation":"(198)","previouslyFormattedCitation":"(198)"},"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(198)</w:t>
            </w:r>
            <w:r w:rsidR="00ED7C36" w:rsidRPr="0091450A">
              <w:rPr>
                <w:rFonts w:cs="Times New Roman"/>
                <w:szCs w:val="20"/>
              </w:rPr>
              <w:fldChar w:fldCharType="end"/>
            </w:r>
            <w:r w:rsidRPr="0091450A">
              <w:rPr>
                <w:rFonts w:cs="Times New Roman"/>
                <w:szCs w:val="20"/>
              </w:rPr>
              <w:t xml:space="preserve">. They cover the development and operation of a regulatory process. They also include specific references to principles around stakeholder relationship management and departmental dealings with former staff who may be employed by, or from, stakeholders. </w:t>
            </w:r>
            <w:r w:rsidR="006E5A52" w:rsidRPr="0091450A">
              <w:rPr>
                <w:rFonts w:cs="Times New Roman"/>
                <w:szCs w:val="20"/>
              </w:rPr>
              <w:t>SSC</w:t>
            </w:r>
            <w:r w:rsidRPr="0091450A">
              <w:rPr>
                <w:rFonts w:cs="Times New Roman"/>
                <w:szCs w:val="20"/>
              </w:rPr>
              <w:t xml:space="preserve"> has the power to set minimum standards of conduct for many of the agencies which make up the State Services and to apply those standards by way of a code or codes of conduct. </w:t>
            </w:r>
          </w:p>
          <w:p w14:paraId="70D2C548" w14:textId="551BC1D9" w:rsidR="007A5E04" w:rsidRPr="0091450A" w:rsidRDefault="001F57DC" w:rsidP="008D1899">
            <w:pPr>
              <w:numPr>
                <w:ilvl w:val="0"/>
                <w:numId w:val="74"/>
              </w:numPr>
              <w:shd w:val="clear" w:color="auto" w:fill="FFFFFF" w:themeFill="background1"/>
              <w:spacing w:before="40" w:after="40"/>
              <w:contextualSpacing/>
              <w:rPr>
                <w:rFonts w:cs="Times New Roman"/>
                <w:szCs w:val="20"/>
              </w:rPr>
            </w:pPr>
            <w:r w:rsidRPr="0091450A">
              <w:rPr>
                <w:rFonts w:cs="Times New Roman"/>
                <w:szCs w:val="20"/>
              </w:rPr>
              <w:t xml:space="preserve">The current Health Star Rating Group is a mix of industry, academics and public health nutritionists </w:t>
            </w:r>
            <w:r w:rsidR="00ED7C36" w:rsidRPr="0091450A">
              <w:rPr>
                <w:rFonts w:cs="Times New Roman"/>
                <w:szCs w:val="20"/>
              </w:rPr>
              <w:fldChar w:fldCharType="begin" w:fldLock="1"/>
            </w:r>
            <w:r w:rsidR="002B6CB8">
              <w:rPr>
                <w:rFonts w:cs="Times New Roman"/>
                <w:szCs w:val="20"/>
              </w:rPr>
              <w:instrText>ADDIN CSL_CITATION {"citationItems":[{"id":"ITEM-1","itemData":{"URL":"http://www.foodsafety.govt.nz/industry/general/labelling-composition/health-star-rating/governance.htm","author":[{"dropping-particle":"","family":"Ministry for Primary Industries","given":"","non-dropping-particle":"","parse-names":false,"suffix":""}],"id":"ITEM-1","issue":"1/12/2016","issued":{"date-parts":[["2016"]]},"title":"Health Star Rating system: Governance","type":"webpage"},"uris":["http://www.mendeley.com/documents/?uuid=e2a58e09-6e95-42ed-9529-0a6d84ad5f4a","http://www.mendeley.com/documents/?uuid=738b430f-d7c5-384e-9449-ba7e8ff00aac"]}],"mendeley":{"formattedCitation":"(45)","plainTextFormattedCitation":"(45)","previouslyFormattedCitation":"(45)"},"properties":{"noteIndex":0},"schema":"https://github.com/citation-style-language/schema/raw/master/csl-citation.json"}</w:instrText>
            </w:r>
            <w:r w:rsidR="00ED7C36" w:rsidRPr="0091450A">
              <w:rPr>
                <w:rFonts w:cs="Times New Roman"/>
                <w:szCs w:val="20"/>
              </w:rPr>
              <w:fldChar w:fldCharType="separate"/>
            </w:r>
            <w:r w:rsidR="00A90C92" w:rsidRPr="00A90C92">
              <w:rPr>
                <w:rFonts w:cs="Times New Roman"/>
                <w:noProof/>
                <w:szCs w:val="20"/>
              </w:rPr>
              <w:t>(45)</w:t>
            </w:r>
            <w:r w:rsidR="00ED7C36" w:rsidRPr="0091450A">
              <w:rPr>
                <w:rFonts w:cs="Times New Roman"/>
                <w:szCs w:val="20"/>
              </w:rPr>
              <w:fldChar w:fldCharType="end"/>
            </w:r>
            <w:r w:rsidRPr="0091450A">
              <w:rPr>
                <w:rFonts w:cs="Times New Roman"/>
                <w:szCs w:val="20"/>
              </w:rPr>
              <w:t>.</w:t>
            </w:r>
            <w:r w:rsidR="007A5E04" w:rsidRPr="0091450A">
              <w:rPr>
                <w:rFonts w:cs="Times New Roman"/>
                <w:szCs w:val="20"/>
              </w:rPr>
              <w:t xml:space="preserve"> Appointments of members to sit on working groups, committees, advisory groups and standing committees are made in accordance with any relevant legislation, the body’s terms of reference and the State Services Commission’s Board Appointment and Induction Guidelines. </w:t>
            </w:r>
          </w:p>
          <w:p w14:paraId="417E9700" w14:textId="4D5C0F70" w:rsidR="002D6489" w:rsidRPr="0091450A" w:rsidRDefault="002D6489" w:rsidP="002D613F">
            <w:pPr>
              <w:numPr>
                <w:ilvl w:val="0"/>
                <w:numId w:val="74"/>
              </w:numPr>
              <w:shd w:val="clear" w:color="auto" w:fill="FFFFFF" w:themeFill="background1"/>
              <w:spacing w:before="40" w:after="40"/>
              <w:contextualSpacing/>
              <w:rPr>
                <w:rFonts w:cs="Times New Roman"/>
                <w:szCs w:val="20"/>
              </w:rPr>
            </w:pPr>
            <w:r w:rsidRPr="0091450A">
              <w:rPr>
                <w:rFonts w:cs="Times New Roman"/>
                <w:szCs w:val="20"/>
              </w:rPr>
              <w:t xml:space="preserve">The State Services Commission have codes of conduct for State Services (standards of integrity and conduct) </w:t>
            </w:r>
            <w:r w:rsidR="00ED7C36" w:rsidRPr="0091450A">
              <w:rPr>
                <w:rFonts w:cs="Times New Roman"/>
                <w:szCs w:val="20"/>
              </w:rPr>
              <w:fldChar w:fldCharType="begin" w:fldLock="1"/>
            </w:r>
            <w:r w:rsidR="00EC12A7">
              <w:rPr>
                <w:rFonts w:cs="Times New Roman"/>
                <w:szCs w:val="20"/>
              </w:rPr>
              <w:instrText>ADDIN CSL_CITATION {"citationItems":[{"id":"ITEM-1","itemData":{"URL":"http://www.ssc.govt.nz/integrityandconduct","author":[{"dropping-particle":"","family":"State Services Commission","given":"","non-dropping-particle":"","parse-names":false,"suffix":""}],"id":"ITEM-1","issue":"22/2/2017","issued":{"date-parts":[["2017"]]},"publisher":"State Services Commission","title":"Integrity and conduct","type":"webpage"},"uris":["http://www.mendeley.com/documents/?uuid=db54adf3-08ff-36c4-b188-f6b691af4b8c","http://www.mendeley.com/documents/?uuid=eb9dfe82-a522-443c-8703-39f8cc03a813"]}],"mendeley":{"formattedCitation":"(199)","plainTextFormattedCitation":"(199)","previouslyFormattedCitation":"(199)"},"properties":{"noteIndex":0},"schema":"https://github.com/citation-style-language/schema/raw/master/csl-citation.json"}</w:instrText>
            </w:r>
            <w:r w:rsidR="00ED7C36" w:rsidRPr="0091450A">
              <w:rPr>
                <w:rFonts w:cs="Times New Roman"/>
                <w:szCs w:val="20"/>
              </w:rPr>
              <w:fldChar w:fldCharType="separate"/>
            </w:r>
            <w:r w:rsidR="009C4029" w:rsidRPr="009C4029">
              <w:rPr>
                <w:rFonts w:cs="Times New Roman"/>
                <w:noProof/>
                <w:szCs w:val="20"/>
              </w:rPr>
              <w:t>(199)</w:t>
            </w:r>
            <w:r w:rsidR="00ED7C36" w:rsidRPr="0091450A">
              <w:rPr>
                <w:rFonts w:cs="Times New Roman"/>
                <w:szCs w:val="20"/>
              </w:rPr>
              <w:fldChar w:fldCharType="end"/>
            </w:r>
            <w:r w:rsidRPr="0091450A">
              <w:rPr>
                <w:rFonts w:cs="Times New Roman"/>
                <w:szCs w:val="20"/>
              </w:rPr>
              <w:t xml:space="preserve"> Advice and guidance is provided on understanding and implementing the guide. There are guidelines for board appointments and induction guidelines </w:t>
            </w:r>
            <w:r w:rsidR="007F4B29" w:rsidRPr="0091450A">
              <w:rPr>
                <w:rFonts w:cs="Times New Roman"/>
                <w:szCs w:val="20"/>
              </w:rPr>
              <w:fldChar w:fldCharType="begin" w:fldLock="1"/>
            </w:r>
            <w:r w:rsidR="00EC12A7">
              <w:rPr>
                <w:rFonts w:cs="Times New Roman"/>
                <w:szCs w:val="20"/>
              </w:rPr>
              <w:instrText>ADDIN CSL_CITATION {"citationItems":[{"id":"ITEM-1","itemData":{"URL":"http://www.ssc.govt.nz/board-appointment-guidelines","author":[{"dropping-particle":"","family":"State Services Commission","given":"","non-dropping-particle":"","parse-names":false,"suffix":""}],"id":"ITEM-1","issue":"22/2/2017","issued":{"date-parts":[["2015"]]},"title":"Board appointment and induction guidelines","type":"webpage"},"uris":["http://www.mendeley.com/documents/?uuid=9ca57b8e-b10b-3aef-823a-118b3e481d85","http://www.mendeley.com/documents/?uuid=28f32865-4b9e-4181-b029-594797b274d2"]}],"mendeley":{"formattedCitation":"(200)","plainTextFormattedCitation":"(200)","previouslyFormattedCitation":"(200)"},"properties":{"noteIndex":0},"schema":"https://github.com/citation-style-language/schema/raw/master/csl-citation.json"}</w:instrText>
            </w:r>
            <w:r w:rsidR="007F4B29" w:rsidRPr="0091450A">
              <w:rPr>
                <w:rFonts w:cs="Times New Roman"/>
                <w:szCs w:val="20"/>
              </w:rPr>
              <w:fldChar w:fldCharType="separate"/>
            </w:r>
            <w:r w:rsidR="009C4029" w:rsidRPr="009C4029">
              <w:rPr>
                <w:rFonts w:cs="Times New Roman"/>
                <w:noProof/>
                <w:szCs w:val="20"/>
              </w:rPr>
              <w:t>(200)</w:t>
            </w:r>
            <w:r w:rsidR="007F4B29" w:rsidRPr="0091450A">
              <w:rPr>
                <w:rFonts w:cs="Times New Roman"/>
                <w:szCs w:val="20"/>
              </w:rPr>
              <w:fldChar w:fldCharType="end"/>
            </w:r>
            <w:r w:rsidRPr="0091450A">
              <w:rPr>
                <w:rFonts w:cs="Times New Roman"/>
                <w:szCs w:val="20"/>
              </w:rPr>
              <w:t xml:space="preserve"> and for managing conflicts of interest for public entities </w:t>
            </w:r>
            <w:r w:rsidR="001A2423" w:rsidRPr="0091450A">
              <w:rPr>
                <w:rFonts w:cs="Times New Roman"/>
                <w:szCs w:val="20"/>
              </w:rPr>
              <w:fldChar w:fldCharType="begin" w:fldLock="1"/>
            </w:r>
            <w:r w:rsidR="00EC12A7">
              <w:rPr>
                <w:rFonts w:cs="Times New Roman"/>
                <w:szCs w:val="20"/>
              </w:rPr>
              <w:instrText>ADDIN CSL_CITATION {"citationItems":[{"id":"ITEM-1","itemData":{"URL":"http://www.oag.govt.nz/2007/conflicts-public-entities","author":[{"dropping-particle":"","family":"State Services Commission","given":"","non-dropping-particle":"","parse-names":false,"suffix":""}],"id":"ITEM-1","issue":"31/07/2013","issued":{"date-parts":[["2007"]]},"title":"Managing conflicts of interest: Guidance for public entities","type":"webpage"},"uris":["http://www.mendeley.com/documents/?uuid=7522493e-e1cf-38b7-8d10-b949e8b426e4","http://www.mendeley.com/documents/?uuid=ec860ea7-37e3-4b32-a89d-5c7199667dc4"]}],"mendeley":{"formattedCitation":"(201)","plainTextFormattedCitation":"(201)","previouslyFormattedCitation":"(201)"},"properties":{"noteIndex":0},"schema":"https://github.com/citation-style-language/schema/raw/master/csl-citation.json"}</w:instrText>
            </w:r>
            <w:r w:rsidR="001A2423" w:rsidRPr="0091450A">
              <w:rPr>
                <w:rFonts w:cs="Times New Roman"/>
                <w:szCs w:val="20"/>
              </w:rPr>
              <w:fldChar w:fldCharType="separate"/>
            </w:r>
            <w:r w:rsidR="009C4029" w:rsidRPr="009C4029">
              <w:rPr>
                <w:rFonts w:cs="Times New Roman"/>
                <w:noProof/>
                <w:szCs w:val="20"/>
              </w:rPr>
              <w:t>(201)</w:t>
            </w:r>
            <w:r w:rsidR="001A2423" w:rsidRPr="0091450A">
              <w:rPr>
                <w:rFonts w:cs="Times New Roman"/>
                <w:szCs w:val="20"/>
              </w:rPr>
              <w:fldChar w:fldCharType="end"/>
            </w:r>
            <w:r w:rsidR="001A2423" w:rsidRPr="0091450A">
              <w:rPr>
                <w:rFonts w:cs="Times New Roman"/>
                <w:szCs w:val="20"/>
              </w:rPr>
              <w:t>.</w:t>
            </w:r>
            <w:r w:rsidRPr="0091450A">
              <w:rPr>
                <w:rFonts w:cs="Times New Roman"/>
                <w:szCs w:val="20"/>
              </w:rPr>
              <w:t xml:space="preserve"> The SSC conducts regular integrity and conduct surveys. </w:t>
            </w:r>
          </w:p>
          <w:p w14:paraId="51B013DF" w14:textId="77777777" w:rsidR="00A778A6" w:rsidRPr="0091450A" w:rsidRDefault="00A778A6" w:rsidP="002D613F">
            <w:pPr>
              <w:shd w:val="clear" w:color="auto" w:fill="FFFFFF" w:themeFill="background1"/>
              <w:spacing w:before="40" w:after="40"/>
              <w:contextualSpacing/>
              <w:rPr>
                <w:rFonts w:cs="Times New Roman"/>
                <w:szCs w:val="20"/>
              </w:rPr>
            </w:pPr>
          </w:p>
          <w:p w14:paraId="3C3A1D20" w14:textId="52085117"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5FA066CF" w14:textId="15ACB908" w:rsidR="00012F98" w:rsidRPr="0091450A" w:rsidRDefault="00012F98" w:rsidP="002D613F">
            <w:pPr>
              <w:pStyle w:val="ListParagraph"/>
              <w:keepNext/>
              <w:numPr>
                <w:ilvl w:val="0"/>
                <w:numId w:val="74"/>
              </w:numPr>
              <w:spacing w:before="40" w:after="40"/>
              <w:rPr>
                <w:rFonts w:eastAsia="Times New Roman" w:cs="Times New Roman"/>
                <w:szCs w:val="20"/>
                <w:lang w:eastAsia="en-NZ"/>
              </w:rPr>
            </w:pPr>
            <w:r w:rsidRPr="0091450A">
              <w:rPr>
                <w:rFonts w:eastAsia="Times New Roman" w:cs="Times New Roman"/>
                <w:b/>
                <w:szCs w:val="20"/>
                <w:lang w:eastAsia="en-NZ"/>
              </w:rPr>
              <w:lastRenderedPageBreak/>
              <w:t>Australia</w:t>
            </w:r>
            <w:r w:rsidRPr="0091450A">
              <w:rPr>
                <w:rFonts w:eastAsia="Times New Roman" w:cs="Times New Roman"/>
                <w:szCs w:val="20"/>
                <w:lang w:eastAsia="en-NZ"/>
              </w:rPr>
              <w:t xml:space="preserve">: The Australian Public Service Commission’s Values and Code of Conduct includes </w:t>
            </w:r>
            <w:r w:rsidR="00373D47" w:rsidRPr="0091450A">
              <w:rPr>
                <w:rFonts w:eastAsia="Times New Roman" w:cs="Times New Roman"/>
                <w:szCs w:val="20"/>
                <w:lang w:eastAsia="en-NZ"/>
              </w:rPr>
              <w:t>several</w:t>
            </w:r>
            <w:r w:rsidRPr="0091450A">
              <w:rPr>
                <w:rFonts w:eastAsia="Times New Roman" w:cs="Times New Roman"/>
                <w:szCs w:val="20"/>
                <w:lang w:eastAsia="en-NZ"/>
              </w:rPr>
              <w:t xml:space="preserve"> relevant sections such as the Conflict of Interest, Working with the Private Sector and other Stakeholders and the Lobbying Code of Conduct.</w:t>
            </w:r>
          </w:p>
          <w:p w14:paraId="4557CC8F" w14:textId="082C985B" w:rsidR="007A5E04" w:rsidRPr="0091450A" w:rsidRDefault="00EE4521" w:rsidP="002D613F">
            <w:pPr>
              <w:pStyle w:val="ListParagraph"/>
              <w:keepNext/>
              <w:numPr>
                <w:ilvl w:val="0"/>
                <w:numId w:val="74"/>
              </w:numPr>
              <w:spacing w:before="40" w:after="40"/>
              <w:rPr>
                <w:rFonts w:eastAsia="Times New Roman" w:cs="Times New Roman"/>
                <w:szCs w:val="20"/>
                <w:lang w:eastAsia="en-NZ"/>
              </w:rPr>
            </w:pPr>
            <w:r w:rsidRPr="0091450A">
              <w:rPr>
                <w:rFonts w:eastAsia="Times New Roman" w:cs="Times New Roman"/>
                <w:b/>
                <w:szCs w:val="20"/>
                <w:lang w:eastAsia="en-NZ"/>
              </w:rPr>
              <w:t>US:</w:t>
            </w:r>
            <w:r w:rsidRPr="0091450A">
              <w:rPr>
                <w:rFonts w:eastAsia="Times New Roman" w:cs="Times New Roman"/>
                <w:szCs w:val="20"/>
                <w:lang w:eastAsia="en-NZ"/>
              </w:rPr>
              <w:t xml:space="preserve"> Mandatory and publicly accessible lobby registers exist at the federal level, as well as in nearly every state. Financial information must be disclosed, and the register is enforced through significant sanctions. </w:t>
            </w:r>
            <w:r w:rsidR="0091450A" w:rsidRPr="0091450A">
              <w:rPr>
                <w:rFonts w:eastAsia="Times New Roman" w:cs="Times New Roman"/>
                <w:szCs w:val="20"/>
                <w:lang w:eastAsia="en-NZ"/>
              </w:rPr>
              <w:t>Several</w:t>
            </w:r>
            <w:r w:rsidRPr="0091450A">
              <w:rPr>
                <w:rFonts w:eastAsia="Times New Roman" w:cs="Times New Roman"/>
                <w:szCs w:val="20"/>
                <w:lang w:eastAsia="en-NZ"/>
              </w:rPr>
              <w:t xml:space="preserve"> pieces of legislation uphold compliance with the register including Lobbying Disclosure Act of 1995 and the Honest Leadership and Open Government Act 2007.</w:t>
            </w:r>
          </w:p>
        </w:tc>
      </w:tr>
    </w:tbl>
    <w:p w14:paraId="0566460A" w14:textId="744FBDA0" w:rsidR="007A5E04" w:rsidRPr="0091450A" w:rsidRDefault="007A5E04"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05A96B1F" w14:textId="77777777" w:rsidTr="00CA16E1">
        <w:tc>
          <w:tcPr>
            <w:tcW w:w="9209" w:type="dxa"/>
          </w:tcPr>
          <w:p w14:paraId="3F99ADB2" w14:textId="1E433682" w:rsidR="00AE3D68"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9 </w:t>
            </w:r>
            <w:r w:rsidR="00AE3D68" w:rsidRPr="0091450A">
              <w:rPr>
                <w:rFonts w:cs="Times New Roman"/>
                <w:b/>
                <w:color w:val="1F497D" w:themeColor="text2"/>
                <w:sz w:val="28"/>
                <w:szCs w:val="28"/>
              </w:rPr>
              <w:t xml:space="preserve">GOVERNANCE: </w:t>
            </w:r>
            <w:r w:rsidR="005F7C9E" w:rsidRPr="0091450A">
              <w:rPr>
                <w:rFonts w:cs="Times New Roman"/>
                <w:szCs w:val="20"/>
              </w:rPr>
              <w:t xml:space="preserve">Governments have structures in place to ensure transparency and </w:t>
            </w:r>
            <w:r w:rsidR="00C76DA0" w:rsidRPr="0091450A">
              <w:rPr>
                <w:rFonts w:cs="Times New Roman"/>
                <w:szCs w:val="20"/>
              </w:rPr>
              <w:t>accountability and</w:t>
            </w:r>
            <w:r w:rsidR="005F7C9E" w:rsidRPr="0091450A">
              <w:rPr>
                <w:rFonts w:cs="Times New Roman"/>
                <w:szCs w:val="20"/>
              </w:rPr>
              <w:t xml:space="preserve"> encourage broad community participation and inclusion when formulating and implementing policies and actions to create healthy food environments, improve population nutrition, and reduce diet-related inequalities</w:t>
            </w:r>
            <w:r w:rsidR="00B84E85" w:rsidRPr="0091450A">
              <w:rPr>
                <w:rFonts w:cs="Times New Roman"/>
                <w:szCs w:val="20"/>
              </w:rPr>
              <w:t>.</w:t>
            </w:r>
          </w:p>
        </w:tc>
      </w:tr>
      <w:tr w:rsidR="00AE3D68" w:rsidRPr="0091450A" w14:paraId="5E33E336" w14:textId="77777777" w:rsidTr="00CA16E1">
        <w:tc>
          <w:tcPr>
            <w:tcW w:w="9209" w:type="dxa"/>
          </w:tcPr>
          <w:p w14:paraId="4F7F357D" w14:textId="055E3E3E" w:rsidR="00AE3D68" w:rsidRPr="0091450A" w:rsidRDefault="005E2947" w:rsidP="002D613F">
            <w:pPr>
              <w:shd w:val="clear" w:color="auto" w:fill="FFFFFF" w:themeFill="background1"/>
              <w:spacing w:before="40" w:after="40"/>
              <w:rPr>
                <w:rFonts w:cs="Times New Roman"/>
                <w:szCs w:val="20"/>
              </w:rPr>
            </w:pPr>
            <w:bookmarkStart w:id="54" w:name="_Toc31623752"/>
            <w:r w:rsidRPr="0091450A">
              <w:rPr>
                <w:rStyle w:val="Heading3Char"/>
              </w:rPr>
              <w:t>GOVER2</w:t>
            </w:r>
            <w:bookmarkEnd w:id="54"/>
            <w:r w:rsidR="00AE3D68" w:rsidRPr="0091450A">
              <w:rPr>
                <w:rFonts w:cs="Times New Roman"/>
                <w:b/>
                <w:color w:val="1F497D" w:themeColor="text2"/>
                <w:sz w:val="28"/>
                <w:szCs w:val="28"/>
              </w:rPr>
              <w:t xml:space="preserve">: </w:t>
            </w:r>
            <w:r w:rsidR="00B84363" w:rsidRPr="0091450A">
              <w:rPr>
                <w:rFonts w:cs="Times New Roman"/>
                <w:b/>
                <w:szCs w:val="20"/>
              </w:rPr>
              <w:t>Policies and procedures are implemented for using evidence in the development of food policies</w:t>
            </w:r>
            <w:r w:rsidR="00B84E85" w:rsidRPr="0091450A">
              <w:rPr>
                <w:rFonts w:cs="Times New Roman"/>
                <w:b/>
                <w:szCs w:val="20"/>
              </w:rPr>
              <w:t>.</w:t>
            </w:r>
          </w:p>
        </w:tc>
      </w:tr>
      <w:tr w:rsidR="00AE3D68" w:rsidRPr="0091450A" w14:paraId="1C778D84" w14:textId="77777777" w:rsidTr="00CA16E1">
        <w:tc>
          <w:tcPr>
            <w:tcW w:w="9209" w:type="dxa"/>
          </w:tcPr>
          <w:p w14:paraId="06F15BAE" w14:textId="7B19641E"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083A1A4" w14:textId="0BF54B7F" w:rsidR="00732F13" w:rsidRPr="008A7CD5" w:rsidRDefault="00AE3D68" w:rsidP="002D613F">
            <w:pPr>
              <w:pStyle w:val="ListParagraph"/>
              <w:numPr>
                <w:ilvl w:val="0"/>
                <w:numId w:val="14"/>
              </w:numPr>
              <w:spacing w:before="40" w:after="40"/>
              <w:ind w:left="284" w:hanging="284"/>
              <w:contextualSpacing w:val="0"/>
              <w:rPr>
                <w:rFonts w:cs="Times New Roman"/>
                <w:szCs w:val="20"/>
              </w:rPr>
            </w:pPr>
            <w:r w:rsidRPr="0091450A">
              <w:rPr>
                <w:rFonts w:cs="Times New Roman"/>
                <w:szCs w:val="20"/>
              </w:rPr>
              <w:t xml:space="preserve">A </w:t>
            </w:r>
            <w:r w:rsidR="000778F0" w:rsidRPr="006123F8">
              <w:rPr>
                <w:rFonts w:cs="Times New Roman"/>
                <w:szCs w:val="20"/>
              </w:rPr>
              <w:t>2013</w:t>
            </w:r>
            <w:r w:rsidRPr="006123F8">
              <w:rPr>
                <w:rFonts w:cs="Times New Roman"/>
                <w:szCs w:val="20"/>
              </w:rPr>
              <w:t xml:space="preserve"> report by Sir</w:t>
            </w:r>
            <w:r w:rsidRPr="0091450A">
              <w:rPr>
                <w:rFonts w:cs="Times New Roman"/>
                <w:szCs w:val="20"/>
              </w:rPr>
              <w:t xml:space="preserve"> Peter </w:t>
            </w:r>
            <w:proofErr w:type="spellStart"/>
            <w:r w:rsidRPr="0091450A">
              <w:rPr>
                <w:rFonts w:cs="Times New Roman"/>
                <w:szCs w:val="20"/>
              </w:rPr>
              <w:t>Gluckman</w:t>
            </w:r>
            <w:proofErr w:type="spellEnd"/>
            <w:r w:rsidR="0025398B" w:rsidRPr="0091450A">
              <w:rPr>
                <w:rFonts w:cs="Times New Roman"/>
                <w:szCs w:val="20"/>
              </w:rPr>
              <w:t>, Chief Science Advisor</w:t>
            </w:r>
            <w:r w:rsidR="0060515A" w:rsidRPr="0091450A">
              <w:rPr>
                <w:rFonts w:cs="Times New Roman"/>
                <w:szCs w:val="20"/>
              </w:rPr>
              <w:t xml:space="preserve"> </w:t>
            </w:r>
            <w:r w:rsidR="001E0F4C" w:rsidRPr="0091450A">
              <w:rPr>
                <w:rFonts w:cs="Times New Roman"/>
                <w:szCs w:val="20"/>
              </w:rPr>
              <w:fldChar w:fldCharType="begin" w:fldLock="1"/>
            </w:r>
            <w:r w:rsidR="00EC12A7">
              <w:rPr>
                <w:rFonts w:cs="Times New Roman"/>
                <w:szCs w:val="20"/>
              </w:rPr>
              <w:instrText>ADDIN CSL_CITATION {"citationItems":[{"id":"ITEM-1","itemData":{"author":[{"dropping-particle":"","family":"Gluckman","given":"P","non-dropping-particle":"","parse-names":false,"suffix":""}],"id":"ITEM-1","issued":{"date-parts":[["2013"]]},"publisher":"Office of the Prime Minister's Science Advisory Committee","publisher-place":"Wellington","title":"The role of evidence in policy formation and implementation. A report from the Prime Minister's Chief Science Advisor","type":"report"},"uris":["http://www.mendeley.com/documents/?uuid=ffe963fd-2e24-3f50-a63f-9de0111cd62b","http://www.mendeley.com/documents/?uuid=a66365f0-20e0-40f5-8d65-b124333c00c2"]}],"mendeley":{"formattedCitation":"(202)","plainTextFormattedCitation":"(202)","previouslyFormattedCitation":"(202)"},"properties":{"noteIndex":0},"schema":"https://github.com/citation-style-language/schema/raw/master/csl-citation.json"}</w:instrText>
            </w:r>
            <w:r w:rsidR="001E0F4C" w:rsidRPr="0091450A">
              <w:rPr>
                <w:rFonts w:cs="Times New Roman"/>
                <w:szCs w:val="20"/>
              </w:rPr>
              <w:fldChar w:fldCharType="separate"/>
            </w:r>
            <w:r w:rsidR="009C4029" w:rsidRPr="009C4029">
              <w:rPr>
                <w:rFonts w:cs="Times New Roman"/>
                <w:noProof/>
                <w:szCs w:val="20"/>
              </w:rPr>
              <w:t>(202)</w:t>
            </w:r>
            <w:r w:rsidR="001E0F4C" w:rsidRPr="0091450A">
              <w:rPr>
                <w:rFonts w:cs="Times New Roman"/>
                <w:szCs w:val="20"/>
              </w:rPr>
              <w:fldChar w:fldCharType="end"/>
            </w:r>
            <w:r w:rsidR="004E04F5" w:rsidRPr="0091450A">
              <w:rPr>
                <w:rFonts w:cs="Times New Roman"/>
                <w:szCs w:val="20"/>
              </w:rPr>
              <w:t xml:space="preserve">, requested by </w:t>
            </w:r>
            <w:r w:rsidR="0046533C">
              <w:rPr>
                <w:rFonts w:cs="Times New Roman"/>
                <w:szCs w:val="20"/>
              </w:rPr>
              <w:t xml:space="preserve">the </w:t>
            </w:r>
            <w:r w:rsidR="004E04F5" w:rsidRPr="0091450A">
              <w:rPr>
                <w:rFonts w:cs="Times New Roman"/>
                <w:szCs w:val="20"/>
              </w:rPr>
              <w:t>government to improve decision-making,</w:t>
            </w:r>
            <w:r w:rsidRPr="0091450A">
              <w:rPr>
                <w:rFonts w:cs="Times New Roman"/>
                <w:szCs w:val="20"/>
              </w:rPr>
              <w:t xml:space="preserve"> found that there is a wide and rather inconsistent range of practices and attitudes with respect to understanding and application of robust evidence for policy formation and the evaluation of policy implementation across government agencies. </w:t>
            </w:r>
            <w:r w:rsidR="00D856DA" w:rsidRPr="0091450A">
              <w:rPr>
                <w:rFonts w:cs="Times New Roman"/>
                <w:szCs w:val="20"/>
              </w:rPr>
              <w:t>To</w:t>
            </w:r>
            <w:r w:rsidR="00657040" w:rsidRPr="0091450A">
              <w:rPr>
                <w:rFonts w:cs="Times New Roman"/>
                <w:szCs w:val="20"/>
              </w:rPr>
              <w:t xml:space="preserve"> </w:t>
            </w:r>
            <w:r w:rsidR="00032603" w:rsidRPr="0091450A">
              <w:rPr>
                <w:rFonts w:cs="Times New Roman"/>
                <w:szCs w:val="20"/>
              </w:rPr>
              <w:t>encourag</w:t>
            </w:r>
            <w:r w:rsidR="00D856DA" w:rsidRPr="0091450A">
              <w:rPr>
                <w:rFonts w:cs="Times New Roman"/>
                <w:szCs w:val="20"/>
              </w:rPr>
              <w:t>e</w:t>
            </w:r>
            <w:r w:rsidR="00032603" w:rsidRPr="0091450A">
              <w:rPr>
                <w:rFonts w:cs="Times New Roman"/>
                <w:szCs w:val="20"/>
              </w:rPr>
              <w:t xml:space="preserve"> development improvement at the interface of science and New Zealand public policy</w:t>
            </w:r>
            <w:r w:rsidR="00D856DA" w:rsidRPr="0091450A">
              <w:rPr>
                <w:rFonts w:cs="Times New Roman"/>
                <w:szCs w:val="20"/>
              </w:rPr>
              <w:t xml:space="preserve">, </w:t>
            </w:r>
            <w:r w:rsidR="00C75F66" w:rsidRPr="0091450A">
              <w:rPr>
                <w:rFonts w:cs="Times New Roman"/>
                <w:szCs w:val="20"/>
              </w:rPr>
              <w:t xml:space="preserve">ten new departmental science advisors </w:t>
            </w:r>
            <w:r w:rsidR="00D856DA" w:rsidRPr="0091450A">
              <w:rPr>
                <w:rFonts w:cs="Times New Roman"/>
                <w:szCs w:val="20"/>
              </w:rPr>
              <w:t xml:space="preserve">were </w:t>
            </w:r>
            <w:r w:rsidR="00C75F66" w:rsidRPr="0091450A">
              <w:rPr>
                <w:rFonts w:cs="Times New Roman"/>
                <w:szCs w:val="20"/>
              </w:rPr>
              <w:t>appointed</w:t>
            </w:r>
            <w:r w:rsidR="00B7670D" w:rsidRPr="0091450A">
              <w:rPr>
                <w:rFonts w:cs="Times New Roman"/>
                <w:szCs w:val="20"/>
              </w:rPr>
              <w:t xml:space="preserve">, </w:t>
            </w:r>
            <w:r w:rsidR="00D856DA" w:rsidRPr="0091450A">
              <w:rPr>
                <w:rFonts w:cs="Times New Roman"/>
                <w:szCs w:val="20"/>
              </w:rPr>
              <w:t xml:space="preserve">and </w:t>
            </w:r>
            <w:r w:rsidR="00B7670D" w:rsidRPr="0091450A">
              <w:rPr>
                <w:rFonts w:cs="Times New Roman"/>
                <w:szCs w:val="20"/>
              </w:rPr>
              <w:t>a Committee of Science Advisors (</w:t>
            </w:r>
            <w:proofErr w:type="spellStart"/>
            <w:r w:rsidR="00B7670D" w:rsidRPr="0091450A">
              <w:rPr>
                <w:rFonts w:cs="Times New Roman"/>
                <w:szCs w:val="20"/>
              </w:rPr>
              <w:t>CoSA</w:t>
            </w:r>
            <w:proofErr w:type="spellEnd"/>
            <w:r w:rsidR="00B7670D" w:rsidRPr="0091450A">
              <w:rPr>
                <w:rFonts w:cs="Times New Roman"/>
                <w:szCs w:val="20"/>
              </w:rPr>
              <w:t>)</w:t>
            </w:r>
            <w:r w:rsidR="00D856DA" w:rsidRPr="0091450A">
              <w:rPr>
                <w:rFonts w:cs="Times New Roman"/>
                <w:szCs w:val="20"/>
              </w:rPr>
              <w:t xml:space="preserve"> </w:t>
            </w:r>
            <w:r w:rsidR="008A7CD5">
              <w:rPr>
                <w:rFonts w:cs="Times New Roman"/>
                <w:szCs w:val="20"/>
              </w:rPr>
              <w:t xml:space="preserve">from across government </w:t>
            </w:r>
            <w:r w:rsidR="00D856DA" w:rsidRPr="0091450A">
              <w:rPr>
                <w:rFonts w:cs="Times New Roman"/>
                <w:szCs w:val="20"/>
              </w:rPr>
              <w:t xml:space="preserve">established </w:t>
            </w:r>
            <w:r w:rsidR="005E4B57" w:rsidRPr="008A7CD5">
              <w:rPr>
                <w:rFonts w:cs="Times New Roman"/>
                <w:szCs w:val="20"/>
              </w:rPr>
              <w:fldChar w:fldCharType="begin" w:fldLock="1"/>
            </w:r>
            <w:r w:rsidR="00EC12A7" w:rsidRPr="008A7CD5">
              <w:rPr>
                <w:rFonts w:cs="Times New Roman"/>
                <w:szCs w:val="20"/>
              </w:rPr>
              <w:instrText>ADDIN CSL_CITATION {"citationItems":[{"id":"ITEM-1","itemData":{"author":[{"dropping-particle":"","family":"Professor Sir Peter Gluckman","given":"","non-dropping-particle":"","parse-names":false,"suffix":""}],"id":"ITEM-1","issued":{"date-parts":[["2017"]]},"title":"Enhancing evidence-informed policy making: A report by the Prime Minister’s Chief Science Advisor","type":"report"},"uris":["http://www.mendeley.com/documents/?uuid=8d74e49f-c2e3-361d-aaa0-eb6e60b930ac","http://www.mendeley.com/documents/?uuid=4544745b-81db-4700-98f7-2fee97ba9a73"]}],"mendeley":{"formattedCitation":"(203)","plainTextFormattedCitation":"(203)","previouslyFormattedCitation":"(203)"},"properties":{"noteIndex":0},"schema":"https://github.com/citation-style-language/schema/raw/master/csl-citation.json"}</w:instrText>
            </w:r>
            <w:r w:rsidR="005E4B57" w:rsidRPr="008A7CD5">
              <w:rPr>
                <w:rFonts w:cs="Times New Roman"/>
                <w:szCs w:val="20"/>
              </w:rPr>
              <w:fldChar w:fldCharType="separate"/>
            </w:r>
            <w:r w:rsidR="009C4029" w:rsidRPr="008A7CD5">
              <w:rPr>
                <w:rFonts w:cs="Times New Roman"/>
                <w:noProof/>
                <w:szCs w:val="20"/>
              </w:rPr>
              <w:t>(203)</w:t>
            </w:r>
            <w:r w:rsidR="005E4B57" w:rsidRPr="008A7CD5">
              <w:rPr>
                <w:rFonts w:cs="Times New Roman"/>
                <w:szCs w:val="20"/>
              </w:rPr>
              <w:fldChar w:fldCharType="end"/>
            </w:r>
            <w:r w:rsidR="008A7CD5" w:rsidRPr="008A7CD5">
              <w:rPr>
                <w:rFonts w:cs="Times New Roman"/>
                <w:szCs w:val="20"/>
              </w:rPr>
              <w:t xml:space="preserve"> </w:t>
            </w:r>
            <w:r w:rsidR="008A7CD5" w:rsidRPr="008A7CD5">
              <w:rPr>
                <w:shd w:val="clear" w:color="auto" w:fill="FFFFFF"/>
              </w:rPr>
              <w:t>convened by the Chief Science Advisor. There is additional support from co-opted members to ensure that the forum can provide a full range of advice, and an extensive range of contacts as needed. There are currently 18 members including the Chief Science Advisor</w:t>
            </w:r>
            <w:r w:rsidR="00A221ED" w:rsidRPr="008A7CD5">
              <w:rPr>
                <w:rFonts w:cs="Times New Roman"/>
                <w:szCs w:val="20"/>
              </w:rPr>
              <w:t xml:space="preserve"> </w:t>
            </w:r>
            <w:r w:rsidR="006123F8" w:rsidRPr="008A7CD5">
              <w:rPr>
                <w:rFonts w:cs="Times New Roman"/>
                <w:szCs w:val="20"/>
              </w:rPr>
              <w:fldChar w:fldCharType="begin" w:fldLock="1"/>
            </w:r>
            <w:r w:rsidR="00EC12A7" w:rsidRPr="008A7CD5">
              <w:rPr>
                <w:rFonts w:cs="Times New Roman"/>
                <w:szCs w:val="20"/>
              </w:rPr>
              <w:instrText>ADDIN CSL_CITATION {"citationItems":[{"id":"ITEM-1","itemData":{"URL":"https://www.pmcsa.ac.nz/our-community/departmental-science-advisors/","accessed":{"date-parts":[["2020","2","5"]]},"author":[{"dropping-particle":"","family":"Prime Minister's Chief Science Advisor","given":"","non-dropping-particle":"","parse-names":false,"suffix":""}],"id":"ITEM-1","issued":{"date-parts":[["2019"]]},"title":"Departmental Science Advisors - He Rauhinga Tohu Putaiao","type":"webpage"},"uris":["http://www.mendeley.com/documents/?uuid=e3dc1082-65c1-3846-ae1a-5319c019b7b2"]}],"mendeley":{"formattedCitation":"(204)","plainTextFormattedCitation":"(204)","previouslyFormattedCitation":"(204)"},"properties":{"noteIndex":0},"schema":"https://github.com/citation-style-language/schema/raw/master/csl-citation.json"}</w:instrText>
            </w:r>
            <w:r w:rsidR="006123F8" w:rsidRPr="008A7CD5">
              <w:rPr>
                <w:rFonts w:cs="Times New Roman"/>
                <w:szCs w:val="20"/>
              </w:rPr>
              <w:fldChar w:fldCharType="separate"/>
            </w:r>
            <w:r w:rsidR="009C4029" w:rsidRPr="008A7CD5">
              <w:rPr>
                <w:rFonts w:cs="Times New Roman"/>
                <w:noProof/>
                <w:szCs w:val="20"/>
              </w:rPr>
              <w:t>(204)</w:t>
            </w:r>
            <w:r w:rsidR="006123F8" w:rsidRPr="008A7CD5">
              <w:rPr>
                <w:rFonts w:cs="Times New Roman"/>
                <w:szCs w:val="20"/>
              </w:rPr>
              <w:fldChar w:fldCharType="end"/>
            </w:r>
            <w:r w:rsidR="00A221ED" w:rsidRPr="008A7CD5">
              <w:rPr>
                <w:rFonts w:cs="Times New Roman"/>
                <w:szCs w:val="20"/>
              </w:rPr>
              <w:t xml:space="preserve">. </w:t>
            </w:r>
            <w:r w:rsidR="001A1B37" w:rsidRPr="008A7CD5">
              <w:rPr>
                <w:rFonts w:cs="Times New Roman"/>
                <w:szCs w:val="20"/>
              </w:rPr>
              <w:t>National Science Challenges have</w:t>
            </w:r>
            <w:r w:rsidR="0046533C" w:rsidRPr="008A7CD5">
              <w:rPr>
                <w:rFonts w:cs="Times New Roman"/>
                <w:szCs w:val="20"/>
              </w:rPr>
              <w:t xml:space="preserve"> a </w:t>
            </w:r>
            <w:r w:rsidR="001A1B37" w:rsidRPr="008A7CD5">
              <w:rPr>
                <w:rFonts w:cs="Times New Roman"/>
                <w:szCs w:val="20"/>
              </w:rPr>
              <w:t xml:space="preserve">societal or environmental impact as a fundamental pillar in their framing and a focus of the Health Research </w:t>
            </w:r>
            <w:r w:rsidR="00651244" w:rsidRPr="008A7CD5">
              <w:rPr>
                <w:rFonts w:cs="Times New Roman"/>
                <w:szCs w:val="20"/>
              </w:rPr>
              <w:t>Council</w:t>
            </w:r>
            <w:r w:rsidR="001A1B37" w:rsidRPr="008A7CD5">
              <w:rPr>
                <w:rFonts w:cs="Times New Roman"/>
                <w:szCs w:val="20"/>
              </w:rPr>
              <w:t xml:space="preserve"> </w:t>
            </w:r>
            <w:r w:rsidR="00651244" w:rsidRPr="008A7CD5">
              <w:rPr>
                <w:rFonts w:cs="Times New Roman"/>
                <w:szCs w:val="20"/>
              </w:rPr>
              <w:t>is</w:t>
            </w:r>
            <w:r w:rsidR="001A1B37" w:rsidRPr="008A7CD5">
              <w:rPr>
                <w:rFonts w:cs="Times New Roman"/>
                <w:szCs w:val="20"/>
              </w:rPr>
              <w:t xml:space="preserve"> to support policy</w:t>
            </w:r>
            <w:r w:rsidR="0046533C" w:rsidRPr="008A7CD5">
              <w:rPr>
                <w:rFonts w:cs="Times New Roman"/>
                <w:szCs w:val="20"/>
              </w:rPr>
              <w:t>-</w:t>
            </w:r>
            <w:r w:rsidR="001A1B37" w:rsidRPr="008A7CD5">
              <w:rPr>
                <w:rFonts w:cs="Times New Roman"/>
                <w:szCs w:val="20"/>
              </w:rPr>
              <w:t>relevant research. There is more microdata available to researchers.  To support novel data science, catalyst projects are underway to encourage more use by the academic community. In 2016 the Department of the Prime Minister and Cabinet and the State Services Commission launched the Policy Project (</w:t>
            </w:r>
            <w:hyperlink r:id="rId26" w:history="1">
              <w:r w:rsidR="001A1B37" w:rsidRPr="008A7CD5">
                <w:rPr>
                  <w:rStyle w:val="Hyperlink"/>
                  <w:rFonts w:cs="Times New Roman"/>
                  <w:color w:val="auto"/>
                  <w:szCs w:val="20"/>
                </w:rPr>
                <w:t>http://www.dpmc.govt.nz/policyproject</w:t>
              </w:r>
            </w:hyperlink>
            <w:r w:rsidR="001A1B37" w:rsidRPr="008A7CD5">
              <w:rPr>
                <w:rFonts w:cs="Times New Roman"/>
                <w:szCs w:val="20"/>
              </w:rPr>
              <w:t xml:space="preserve">) to advance the training and culture within the civil service to support a more evidence focused policy practice. </w:t>
            </w:r>
            <w:r w:rsidR="00D856DA" w:rsidRPr="008A7CD5">
              <w:rPr>
                <w:rFonts w:cs="Times New Roman"/>
                <w:szCs w:val="20"/>
              </w:rPr>
              <w:t xml:space="preserve">The Crown entity, </w:t>
            </w:r>
            <w:r w:rsidR="001A1B37" w:rsidRPr="008A7CD5">
              <w:rPr>
                <w:rFonts w:cs="Times New Roman"/>
                <w:szCs w:val="20"/>
              </w:rPr>
              <w:t xml:space="preserve">SUPERU </w:t>
            </w:r>
            <w:r w:rsidR="00D856DA" w:rsidRPr="008A7CD5">
              <w:rPr>
                <w:rFonts w:cs="Times New Roman"/>
                <w:szCs w:val="20"/>
              </w:rPr>
              <w:t xml:space="preserve">(Social Policy Research and Evaluation Unit) </w:t>
            </w:r>
            <w:r w:rsidR="001A1B37" w:rsidRPr="008A7CD5">
              <w:rPr>
                <w:rFonts w:cs="Times New Roman"/>
                <w:szCs w:val="20"/>
              </w:rPr>
              <w:t>provide</w:t>
            </w:r>
            <w:r w:rsidR="00D856DA" w:rsidRPr="008A7CD5">
              <w:rPr>
                <w:rFonts w:cs="Times New Roman"/>
                <w:szCs w:val="20"/>
              </w:rPr>
              <w:t>d</w:t>
            </w:r>
            <w:r w:rsidR="001A1B37" w:rsidRPr="008A7CD5">
              <w:rPr>
                <w:rFonts w:cs="Times New Roman"/>
                <w:szCs w:val="20"/>
              </w:rPr>
              <w:t xml:space="preserve"> </w:t>
            </w:r>
            <w:r w:rsidR="00D856DA" w:rsidRPr="008A7CD5">
              <w:rPr>
                <w:rFonts w:cs="Times New Roman"/>
                <w:szCs w:val="20"/>
              </w:rPr>
              <w:t>a</w:t>
            </w:r>
            <w:r w:rsidR="001A1B37" w:rsidRPr="008A7CD5">
              <w:rPr>
                <w:rFonts w:cs="Times New Roman"/>
                <w:szCs w:val="20"/>
              </w:rPr>
              <w:t xml:space="preserve"> component of promoting evidence</w:t>
            </w:r>
            <w:r w:rsidR="0046533C" w:rsidRPr="008A7CD5">
              <w:rPr>
                <w:rFonts w:cs="Times New Roman"/>
                <w:szCs w:val="20"/>
              </w:rPr>
              <w:t>-</w:t>
            </w:r>
            <w:r w:rsidR="001A1B37" w:rsidRPr="008A7CD5">
              <w:rPr>
                <w:rFonts w:cs="Times New Roman"/>
                <w:szCs w:val="20"/>
              </w:rPr>
              <w:t>informed policy</w:t>
            </w:r>
            <w:r w:rsidR="00D856DA" w:rsidRPr="008A7CD5">
              <w:rPr>
                <w:rFonts w:cs="Times New Roman"/>
                <w:szCs w:val="20"/>
              </w:rPr>
              <w:t xml:space="preserve"> but closed in 2018</w:t>
            </w:r>
            <w:r w:rsidR="000A759D" w:rsidRPr="008A7CD5">
              <w:rPr>
                <w:rFonts w:cs="Times New Roman"/>
                <w:szCs w:val="20"/>
              </w:rPr>
              <w:t xml:space="preserve"> </w:t>
            </w:r>
            <w:r w:rsidR="000A759D" w:rsidRPr="008A7CD5">
              <w:rPr>
                <w:rFonts w:cs="Times New Roman"/>
                <w:szCs w:val="20"/>
              </w:rPr>
              <w:fldChar w:fldCharType="begin" w:fldLock="1"/>
            </w:r>
            <w:r w:rsidR="00EC12A7" w:rsidRPr="008A7CD5">
              <w:rPr>
                <w:rFonts w:cs="Times New Roman"/>
                <w:szCs w:val="20"/>
              </w:rPr>
              <w:instrText>ADDIN CSL_CITATION {"citationItems":[{"id":"ITEM-1","itemData":{"abstract":"Superu was disestablished in June 2018. The Families Commission Act Repeal Act 2018, which disestablished Superu, requires the Chief Executive of the Ministry of Social Development to do anything the Chair of the Superu Board would otherwise have been required to do after 30 June 2018. This includes publishing Superu’s Annual Report.","author":[{"dropping-particle":"","family":"MSD","given":"","non-dropping-particle":"","parse-names":false,"suffix":""}],"id":"ITEM-1","issued":{"date-parts":[["2018"]]},"publisher":"MSD","title":"Families Commission / Superu Annual Report 2017-2018 - Ministry of Social Development","type":"article-journal"},"uris":["http://www.mendeley.com/documents/?uuid=5fc530a0-b592-3277-a12b-22e9e782191e"]}],"mendeley":{"formattedCitation":"(205)","plainTextFormattedCitation":"(205)","previouslyFormattedCitation":"(205)"},"properties":{"noteIndex":0},"schema":"https://github.com/citation-style-language/schema/raw/master/csl-citation.json"}</w:instrText>
            </w:r>
            <w:r w:rsidR="000A759D" w:rsidRPr="008A7CD5">
              <w:rPr>
                <w:rFonts w:cs="Times New Roman"/>
                <w:szCs w:val="20"/>
              </w:rPr>
              <w:fldChar w:fldCharType="separate"/>
            </w:r>
            <w:r w:rsidR="009C4029" w:rsidRPr="008A7CD5">
              <w:rPr>
                <w:rFonts w:cs="Times New Roman"/>
                <w:noProof/>
                <w:szCs w:val="20"/>
              </w:rPr>
              <w:t>(205)</w:t>
            </w:r>
            <w:r w:rsidR="000A759D" w:rsidRPr="008A7CD5">
              <w:rPr>
                <w:rFonts w:cs="Times New Roman"/>
                <w:szCs w:val="20"/>
              </w:rPr>
              <w:fldChar w:fldCharType="end"/>
            </w:r>
            <w:r w:rsidR="001A1B37" w:rsidRPr="008A7CD5">
              <w:rPr>
                <w:rFonts w:cs="Times New Roman"/>
                <w:szCs w:val="20"/>
              </w:rPr>
              <w:t>.</w:t>
            </w:r>
          </w:p>
          <w:p w14:paraId="6C24D5C9" w14:textId="11011BF9" w:rsidR="00D60191" w:rsidRPr="008A7CD5" w:rsidRDefault="00D60191" w:rsidP="002D613F">
            <w:pPr>
              <w:pStyle w:val="ListParagraph"/>
              <w:numPr>
                <w:ilvl w:val="0"/>
                <w:numId w:val="14"/>
              </w:numPr>
              <w:ind w:left="284"/>
              <w:rPr>
                <w:szCs w:val="20"/>
              </w:rPr>
            </w:pPr>
            <w:r w:rsidRPr="008A7CD5">
              <w:rPr>
                <w:szCs w:val="20"/>
              </w:rPr>
              <w:t xml:space="preserve">The first Chief Education Health and Nutrition Advisor in April 2017 </w:t>
            </w:r>
            <w:r w:rsidR="00FF1F3F" w:rsidRPr="008A7CD5">
              <w:rPr>
                <w:szCs w:val="20"/>
              </w:rPr>
              <w:t>was</w:t>
            </w:r>
            <w:r w:rsidRPr="008A7CD5">
              <w:rPr>
                <w:szCs w:val="20"/>
              </w:rPr>
              <w:t xml:space="preserve"> appointed to work across Government agencies to help NZ learners achieve their potential through the use of international and national health and nutrition research </w:t>
            </w:r>
            <w:r w:rsidR="001E0F4C" w:rsidRPr="008A7CD5">
              <w:rPr>
                <w:szCs w:val="20"/>
              </w:rPr>
              <w:fldChar w:fldCharType="begin" w:fldLock="1"/>
            </w:r>
            <w:r w:rsidR="00EC12A7" w:rsidRPr="008A7CD5">
              <w:rPr>
                <w:szCs w:val="20"/>
              </w:rPr>
              <w:instrText>ADDIN CSL_CITATION {"citationItems":[{"id":"ITEM-1","itemData":{"author":[{"dropping-particle":"","family":"Ministry of Education","given":"","non-dropping-particle":"","parse-names":false,"suffix":""}],"id":"ITEM-1","issued":{"date-parts":[["2017"]]},"title":"Anti-obesity and wellbeing expert takes up new role with the Ministry of Education ","type":"article"},"uris":["http://www.mendeley.com/documents/?uuid=8190bb5d-3aca-349a-9ce8-8f7a670d575e","http://www.mendeley.com/documents/?uuid=02555ca8-3647-4169-8bea-a94a18217a4c"]},{"id":"ITEM-2","itemData":{"author":[{"dropping-particle":"","family":"Coleman  H.","given":"J Perata","non-dropping-particle":"","parse-names":false,"suffix":""}],"id":"ITEM-2","issued":{"date-parts":[["2017"]]},"title":"New appointment to support physical activity and nutrition in schools","type":"article"},"uris":["http://www.mendeley.com/documents/?uuid=7db2d489-5ddd-39d2-a328-2525f611715f","http://www.mendeley.com/documents/?uuid=b3019be0-fd72-441a-b013-8a6b5cdaba9a"]}],"mendeley":{"formattedCitation":"(206,207)","plainTextFormattedCitation":"(206,207)","previouslyFormattedCitation":"(206,207)"},"properties":{"noteIndex":0},"schema":"https://github.com/citation-style-language/schema/raw/master/csl-citation.json"}</w:instrText>
            </w:r>
            <w:r w:rsidR="001E0F4C" w:rsidRPr="008A7CD5">
              <w:rPr>
                <w:szCs w:val="20"/>
              </w:rPr>
              <w:fldChar w:fldCharType="separate"/>
            </w:r>
            <w:r w:rsidR="009C4029" w:rsidRPr="008A7CD5">
              <w:rPr>
                <w:noProof/>
                <w:szCs w:val="20"/>
              </w:rPr>
              <w:t>(206,207)</w:t>
            </w:r>
            <w:r w:rsidR="001E0F4C" w:rsidRPr="008A7CD5">
              <w:rPr>
                <w:szCs w:val="20"/>
              </w:rPr>
              <w:fldChar w:fldCharType="end"/>
            </w:r>
            <w:r w:rsidR="00E51ADE" w:rsidRPr="008A7CD5">
              <w:rPr>
                <w:szCs w:val="20"/>
              </w:rPr>
              <w:t>.</w:t>
            </w:r>
            <w:r w:rsidRPr="008A7CD5">
              <w:rPr>
                <w:szCs w:val="20"/>
              </w:rPr>
              <w:t xml:space="preserve"> The</w:t>
            </w:r>
            <w:r w:rsidR="002A010F" w:rsidRPr="008A7CD5">
              <w:rPr>
                <w:szCs w:val="20"/>
              </w:rPr>
              <w:t xml:space="preserve"> role was to</w:t>
            </w:r>
            <w:r w:rsidRPr="008A7CD5">
              <w:rPr>
                <w:szCs w:val="20"/>
              </w:rPr>
              <w:t xml:space="preserve"> lift the quality of public debate around health and nutrition education and bring together analytical, research and policy experts to assist the Ministry of Education. The role provide</w:t>
            </w:r>
            <w:r w:rsidR="002A010F" w:rsidRPr="008A7CD5">
              <w:rPr>
                <w:szCs w:val="20"/>
              </w:rPr>
              <w:t>d</w:t>
            </w:r>
            <w:r w:rsidRPr="008A7CD5">
              <w:rPr>
                <w:szCs w:val="20"/>
              </w:rPr>
              <w:t xml:space="preserve"> advice around the design, integration and implementation of the curriculum to strengthen the Food and Nutrition and Physical activity learning areas</w:t>
            </w:r>
            <w:r w:rsidR="002A010F" w:rsidRPr="008A7CD5">
              <w:rPr>
                <w:szCs w:val="20"/>
              </w:rPr>
              <w:t xml:space="preserve"> aimed to</w:t>
            </w:r>
            <w:r w:rsidRPr="008A7CD5">
              <w:rPr>
                <w:szCs w:val="20"/>
              </w:rPr>
              <w:t xml:space="preserve"> foster good practice within the </w:t>
            </w:r>
            <w:r w:rsidR="00C76DA0" w:rsidRPr="008A7CD5">
              <w:rPr>
                <w:szCs w:val="20"/>
              </w:rPr>
              <w:t>Ministry and</w:t>
            </w:r>
            <w:r w:rsidRPr="008A7CD5">
              <w:rPr>
                <w:szCs w:val="20"/>
              </w:rPr>
              <w:t xml:space="preserve"> build bridges to academia and the profession.</w:t>
            </w:r>
            <w:r w:rsidR="005D010F" w:rsidRPr="008A7CD5">
              <w:rPr>
                <w:szCs w:val="20"/>
              </w:rPr>
              <w:t xml:space="preserve"> At the end of 2018</w:t>
            </w:r>
            <w:r w:rsidR="00204C46" w:rsidRPr="008A7CD5">
              <w:rPr>
                <w:szCs w:val="20"/>
              </w:rPr>
              <w:t>,</w:t>
            </w:r>
            <w:r w:rsidR="005D010F" w:rsidRPr="008A7CD5">
              <w:rPr>
                <w:szCs w:val="20"/>
              </w:rPr>
              <w:t xml:space="preserve"> </w:t>
            </w:r>
            <w:r w:rsidR="002A010F" w:rsidRPr="008A7CD5">
              <w:rPr>
                <w:szCs w:val="20"/>
              </w:rPr>
              <w:t>the Advisor</w:t>
            </w:r>
            <w:r w:rsidR="00BB351F" w:rsidRPr="008A7CD5">
              <w:rPr>
                <w:szCs w:val="20"/>
              </w:rPr>
              <w:t xml:space="preserve"> resigned from the role</w:t>
            </w:r>
            <w:r w:rsidR="0047196B" w:rsidRPr="008A7CD5">
              <w:rPr>
                <w:szCs w:val="20"/>
              </w:rPr>
              <w:t xml:space="preserve"> and has not been replaced</w:t>
            </w:r>
            <w:r w:rsidR="00463083" w:rsidRPr="008A7CD5">
              <w:rPr>
                <w:szCs w:val="20"/>
              </w:rPr>
              <w:t>.</w:t>
            </w:r>
          </w:p>
          <w:p w14:paraId="02E88077" w14:textId="583431F6" w:rsidR="00D91E89" w:rsidRPr="008A7CD5" w:rsidRDefault="008A7CD5" w:rsidP="002D613F">
            <w:pPr>
              <w:pStyle w:val="ListParagraph"/>
              <w:numPr>
                <w:ilvl w:val="0"/>
                <w:numId w:val="14"/>
              </w:numPr>
              <w:ind w:left="284"/>
              <w:rPr>
                <w:szCs w:val="20"/>
              </w:rPr>
            </w:pPr>
            <w:r w:rsidRPr="008A7CD5">
              <w:rPr>
                <w:shd w:val="clear" w:color="auto" w:fill="FFFFFF"/>
              </w:rPr>
              <w:t xml:space="preserve">There is a Chief Science Advisor </w:t>
            </w:r>
            <w:r w:rsidR="00D91E89" w:rsidRPr="008A7CD5">
              <w:rPr>
                <w:shd w:val="clear" w:color="auto" w:fill="FFFFFF"/>
              </w:rPr>
              <w:t>to the Ministry of Health</w:t>
            </w:r>
            <w:r w:rsidR="00D91E89" w:rsidRPr="008A7CD5">
              <w:rPr>
                <w:szCs w:val="20"/>
              </w:rPr>
              <w:t xml:space="preserve"> </w:t>
            </w:r>
            <w:r w:rsidR="00D91E89" w:rsidRPr="008A7CD5">
              <w:rPr>
                <w:szCs w:val="20"/>
              </w:rPr>
              <w:fldChar w:fldCharType="begin" w:fldLock="1"/>
            </w:r>
            <w:r w:rsidR="00EC12A7" w:rsidRPr="008A7CD5">
              <w:rPr>
                <w:szCs w:val="20"/>
              </w:rPr>
              <w:instrText>ADDIN CSL_CITATION {"citationItems":[{"id":"ITEM-1","itemData":{"URL":"https://www.health.govt.nz/about-ministry/leadership-ministry/chief-science-advisor","accessed":{"date-parts":[["2020","1","17"]]},"author":[{"dropping-particle":"","family":"Ministry of Health","given":"","non-dropping-particle":"","parse-names":false,"suffix":""}],"id":"ITEM-1","issued":{"date-parts":[["2019"]]},"title":"Chief Science Advisor | Ministry of Health NZ","type":"webpage"},"uris":["http://www.mendeley.com/documents/?uuid=63de29e5-abc2-3329-af1f-c6f53b88a14d","http://www.mendeley.com/documents/?uuid=b1f44347-3088-4c72-8403-58afb897bd5f"]}],"mendeley":{"formattedCitation":"(208)","plainTextFormattedCitation":"(208)","previouslyFormattedCitation":"(208)"},"properties":{"noteIndex":0},"schema":"https://github.com/citation-style-language/schema/raw/master/csl-citation.json"}</w:instrText>
            </w:r>
            <w:r w:rsidR="00D91E89" w:rsidRPr="008A7CD5">
              <w:rPr>
                <w:szCs w:val="20"/>
              </w:rPr>
              <w:fldChar w:fldCharType="separate"/>
            </w:r>
            <w:r w:rsidR="009C4029" w:rsidRPr="008A7CD5">
              <w:rPr>
                <w:noProof/>
                <w:szCs w:val="20"/>
              </w:rPr>
              <w:t>(208)</w:t>
            </w:r>
            <w:r w:rsidR="00D91E89" w:rsidRPr="008A7CD5">
              <w:rPr>
                <w:szCs w:val="20"/>
              </w:rPr>
              <w:fldChar w:fldCharType="end"/>
            </w:r>
            <w:r w:rsidRPr="008A7CD5">
              <w:rPr>
                <w:szCs w:val="20"/>
              </w:rPr>
              <w:t xml:space="preserve">, </w:t>
            </w:r>
            <w:r w:rsidR="002A010F" w:rsidRPr="008A7CD5">
              <w:rPr>
                <w:szCs w:val="20"/>
              </w:rPr>
              <w:t xml:space="preserve"> the </w:t>
            </w:r>
            <w:r w:rsidR="009A7026" w:rsidRPr="008A7CD5">
              <w:rPr>
                <w:szCs w:val="20"/>
              </w:rPr>
              <w:t>Ministry for Primary Industries</w:t>
            </w:r>
            <w:r w:rsidR="002A010F" w:rsidRPr="008A7CD5">
              <w:rPr>
                <w:szCs w:val="20"/>
              </w:rPr>
              <w:t xml:space="preserve"> and the Ministry of Education.</w:t>
            </w:r>
          </w:p>
          <w:p w14:paraId="3B244FE2" w14:textId="6603CD6E" w:rsidR="00CC0C48" w:rsidRPr="0091450A" w:rsidRDefault="004A1D43" w:rsidP="002D613F">
            <w:pPr>
              <w:pStyle w:val="ListParagraph"/>
              <w:numPr>
                <w:ilvl w:val="0"/>
                <w:numId w:val="14"/>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The SSC produced advice for central government agencies on the basis of this review which included advice about the use of accurate information/evidence and steps to ensure its availability when needed </w:t>
            </w:r>
            <w:r w:rsidR="00E51ADE" w:rsidRPr="0091450A">
              <w:rPr>
                <w:rFonts w:cs="Times New Roman"/>
                <w:szCs w:val="20"/>
              </w:rPr>
              <w:fldChar w:fldCharType="begin" w:fldLock="1"/>
            </w:r>
            <w:r w:rsidR="00EC12A7">
              <w:rPr>
                <w:rFonts w:cs="Times New Roman"/>
                <w:szCs w:val="20"/>
              </w:rPr>
              <w:instrText>ADDIN CSL_CITATION {"citationItems":[{"id":"ITEM-1","itemData":{"URL":"https://www.ssc.govt.nz/resources/2698/all-pages","author":[{"dropping-particle":"","family":"State Services Commission","given":"","non-dropping-particle":"","parse-names":false,"suffix":""}],"id":"ITEM-1","issue":"02/04/2014","issued":{"date-parts":[["1995"]]},"title":"The Policy Advice Initiative: Opportunities for Management","type":"webpage"},"uris":["http://www.mendeley.com/documents/?uuid=00925948-e74a-39be-8262-5bc108dc91a0","http://www.mendeley.com/documents/?uuid=32edcda3-b54b-4906-8361-aa2661adaa21"]}],"mendeley":{"formattedCitation":"(209)","plainTextFormattedCitation":"(209)","previouslyFormattedCitation":"(209)"},"properties":{"noteIndex":0},"schema":"https://github.com/citation-style-language/schema/raw/master/csl-citation.json"}</w:instrText>
            </w:r>
            <w:r w:rsidR="00E51ADE" w:rsidRPr="0091450A">
              <w:rPr>
                <w:rFonts w:cs="Times New Roman"/>
                <w:szCs w:val="20"/>
              </w:rPr>
              <w:fldChar w:fldCharType="separate"/>
            </w:r>
            <w:r w:rsidR="009C4029" w:rsidRPr="009C4029">
              <w:rPr>
                <w:rFonts w:cs="Times New Roman"/>
                <w:noProof/>
                <w:szCs w:val="20"/>
              </w:rPr>
              <w:t>(209)</w:t>
            </w:r>
            <w:r w:rsidR="00E51ADE" w:rsidRPr="0091450A">
              <w:rPr>
                <w:rFonts w:cs="Times New Roman"/>
                <w:szCs w:val="20"/>
              </w:rPr>
              <w:fldChar w:fldCharType="end"/>
            </w:r>
            <w:r w:rsidR="00DC3E3B" w:rsidRPr="0091450A">
              <w:rPr>
                <w:rFonts w:cs="Times New Roman"/>
                <w:szCs w:val="20"/>
              </w:rPr>
              <w:t>.</w:t>
            </w:r>
            <w:r w:rsidR="00725AD3" w:rsidRPr="0091450A">
              <w:rPr>
                <w:rFonts w:cs="Times New Roman"/>
                <w:szCs w:val="20"/>
              </w:rPr>
              <w:t xml:space="preserve"> A</w:t>
            </w:r>
            <w:r w:rsidR="0013775B" w:rsidRPr="0091450A">
              <w:rPr>
                <w:rFonts w:cs="Times New Roman"/>
                <w:szCs w:val="20"/>
              </w:rPr>
              <w:t>n updated</w:t>
            </w:r>
            <w:r w:rsidR="00725AD3" w:rsidRPr="0091450A">
              <w:rPr>
                <w:rFonts w:cs="Times New Roman"/>
                <w:szCs w:val="20"/>
              </w:rPr>
              <w:t xml:space="preserve"> guidance series was released on </w:t>
            </w:r>
            <w:r w:rsidR="0013272B" w:rsidRPr="0091450A">
              <w:rPr>
                <w:rFonts w:cs="Times New Roman"/>
                <w:szCs w:val="20"/>
              </w:rPr>
              <w:t>the 30</w:t>
            </w:r>
            <w:r w:rsidR="0013272B" w:rsidRPr="007159FF">
              <w:rPr>
                <w:rFonts w:cs="Times New Roman"/>
                <w:szCs w:val="20"/>
                <w:vertAlign w:val="superscript"/>
              </w:rPr>
              <w:t>th</w:t>
            </w:r>
            <w:r w:rsidR="0013272B" w:rsidRPr="0091450A">
              <w:rPr>
                <w:rFonts w:cs="Times New Roman"/>
                <w:szCs w:val="20"/>
              </w:rPr>
              <w:t xml:space="preserve"> August</w:t>
            </w:r>
            <w:r w:rsidR="00502EDA" w:rsidRPr="0091450A">
              <w:rPr>
                <w:rFonts w:cs="Times New Roman"/>
                <w:szCs w:val="20"/>
              </w:rPr>
              <w:t xml:space="preserve"> 2018</w:t>
            </w:r>
            <w:r w:rsidR="00725AD3" w:rsidRPr="0091450A">
              <w:rPr>
                <w:rFonts w:cs="Times New Roman"/>
                <w:szCs w:val="20"/>
              </w:rPr>
              <w:t>. It reflects developments in the suite of Performance Improvement Framework products and services</w:t>
            </w:r>
            <w:r w:rsidR="00E40F4C" w:rsidRPr="0091450A">
              <w:rPr>
                <w:rFonts w:cs="Times New Roman"/>
                <w:szCs w:val="20"/>
              </w:rPr>
              <w:t xml:space="preserve"> </w:t>
            </w:r>
            <w:r w:rsidR="00F503FA" w:rsidRPr="0091450A">
              <w:rPr>
                <w:rFonts w:cs="Times New Roman"/>
                <w:szCs w:val="20"/>
              </w:rPr>
              <w:fldChar w:fldCharType="begin" w:fldLock="1"/>
            </w:r>
            <w:r w:rsidR="00EC12A7">
              <w:rPr>
                <w:rFonts w:cs="Times New Roman"/>
                <w:szCs w:val="20"/>
              </w:rPr>
              <w:instrText>ADDIN CSL_CITATION {"citationItems":[{"id":"ITEM-1","itemData":{"URL":"https://ssc.govt.nz/our-work/performance-improvement-framework/","accessed":{"date-parts":[["2020","2","2"]]},"author":[{"dropping-particle":"","family":"State Services Commission","given":"","non-dropping-particle":"","parse-names":false,"suffix":""}],"id":"ITEM-1","issued":{"date-parts":[["2018"]]},"title":"Performance Improvement Framework ","type":"webpage"},"uris":["http://www.mendeley.com/documents/?uuid=72cb5bcd-b616-3257-9571-31cc59b9fdf0"]}],"mendeley":{"formattedCitation":"(210)","plainTextFormattedCitation":"(210)","previouslyFormattedCitation":"(210)"},"properties":{"noteIndex":0},"schema":"https://github.com/citation-style-language/schema/raw/master/csl-citation.json"}</w:instrText>
            </w:r>
            <w:r w:rsidR="00F503FA" w:rsidRPr="0091450A">
              <w:rPr>
                <w:rFonts w:cs="Times New Roman"/>
                <w:szCs w:val="20"/>
              </w:rPr>
              <w:fldChar w:fldCharType="separate"/>
            </w:r>
            <w:r w:rsidR="009C4029" w:rsidRPr="009C4029">
              <w:rPr>
                <w:rFonts w:cs="Times New Roman"/>
                <w:noProof/>
                <w:szCs w:val="20"/>
              </w:rPr>
              <w:t>(210)</w:t>
            </w:r>
            <w:r w:rsidR="00F503FA" w:rsidRPr="0091450A">
              <w:rPr>
                <w:rFonts w:cs="Times New Roman"/>
                <w:szCs w:val="20"/>
              </w:rPr>
              <w:fldChar w:fldCharType="end"/>
            </w:r>
            <w:r w:rsidR="00F02377" w:rsidRPr="0091450A">
              <w:rPr>
                <w:rFonts w:cs="Times New Roman"/>
                <w:szCs w:val="20"/>
              </w:rPr>
              <w:t>.</w:t>
            </w:r>
          </w:p>
          <w:p w14:paraId="468B83C9" w14:textId="0093FE58" w:rsidR="00C702CE" w:rsidRPr="0091450A" w:rsidRDefault="005C6B8C" w:rsidP="002D613F">
            <w:pPr>
              <w:pStyle w:val="ListParagraph"/>
              <w:numPr>
                <w:ilvl w:val="0"/>
                <w:numId w:val="14"/>
              </w:numPr>
              <w:shd w:val="clear" w:color="auto" w:fill="FFFFFF" w:themeFill="background1"/>
              <w:spacing w:before="40" w:after="40"/>
              <w:ind w:left="284" w:hanging="284"/>
              <w:contextualSpacing w:val="0"/>
              <w:rPr>
                <w:rFonts w:cs="Times New Roman"/>
                <w:szCs w:val="20"/>
              </w:rPr>
            </w:pPr>
            <w:r w:rsidRPr="0091450A">
              <w:rPr>
                <w:rFonts w:cs="Times New Roman"/>
                <w:szCs w:val="20"/>
              </w:rPr>
              <w:t>The policy advice produced by a number of government agencies including the MoH is regularly reviewed by The NZ Institute of Economic Research</w:t>
            </w:r>
            <w:r w:rsidR="00B42934" w:rsidRPr="0091450A">
              <w:rPr>
                <w:rFonts w:cs="Times New Roman"/>
                <w:szCs w:val="20"/>
              </w:rPr>
              <w:t xml:space="preserve"> </w:t>
            </w:r>
            <w:r w:rsidR="00F02377" w:rsidRPr="0091450A">
              <w:rPr>
                <w:rFonts w:cs="Times New Roman"/>
                <w:szCs w:val="20"/>
              </w:rPr>
              <w:fldChar w:fldCharType="begin" w:fldLock="1"/>
            </w:r>
            <w:r w:rsidR="00EC12A7">
              <w:rPr>
                <w:rFonts w:cs="Times New Roman"/>
                <w:szCs w:val="20"/>
              </w:rPr>
              <w:instrText>ADDIN CSL_CITATION {"citationItems":[{"id":"ITEM-1","itemData":{"URL":"http://www.treasury.govt.nz/statesector/policyexpenditurereview/report-repa-dec10.pdf","author":[{"dropping-particle":"","family":"Treasury NZ","given":"","non-dropping-particle":"","parse-names":false,"suffix":""}],"id":"ITEM-1","issued":{"date-parts":[["2010"]]},"title":"Review of expenditure on policy advice. Improving the quality and value of policy advice","type":"webpage"},"uris":["http://www.mendeley.com/documents/?uuid=771f3481-86df-3efe-b75d-54854e4d72ea","http://www.mendeley.com/documents/?uuid=6fedef68-09ed-4ec4-82ad-798ea99a2b90"]}],"mendeley":{"formattedCitation":"(211)","plainTextFormattedCitation":"(211)","previouslyFormattedCitation":"(211)"},"properties":{"noteIndex":0},"schema":"https://github.com/citation-style-language/schema/raw/master/csl-citation.json"}</w:instrText>
            </w:r>
            <w:r w:rsidR="00F02377" w:rsidRPr="0091450A">
              <w:rPr>
                <w:rFonts w:cs="Times New Roman"/>
                <w:szCs w:val="20"/>
              </w:rPr>
              <w:fldChar w:fldCharType="separate"/>
            </w:r>
            <w:r w:rsidR="009C4029" w:rsidRPr="009C4029">
              <w:rPr>
                <w:rFonts w:cs="Times New Roman"/>
                <w:noProof/>
                <w:szCs w:val="20"/>
              </w:rPr>
              <w:t>(211)</w:t>
            </w:r>
            <w:r w:rsidR="00F02377" w:rsidRPr="0091450A">
              <w:rPr>
                <w:rFonts w:cs="Times New Roman"/>
                <w:szCs w:val="20"/>
              </w:rPr>
              <w:fldChar w:fldCharType="end"/>
            </w:r>
            <w:r w:rsidR="00F02377" w:rsidRPr="0091450A">
              <w:rPr>
                <w:rFonts w:cs="Times New Roman"/>
                <w:szCs w:val="20"/>
              </w:rPr>
              <w:t>.</w:t>
            </w:r>
            <w:r w:rsidR="00777610" w:rsidRPr="0091450A">
              <w:rPr>
                <w:rFonts w:cs="Times New Roman"/>
                <w:szCs w:val="20"/>
              </w:rPr>
              <w:t xml:space="preserve"> </w:t>
            </w:r>
          </w:p>
          <w:p w14:paraId="5CD5132A" w14:textId="266806B2" w:rsidR="00725AD3" w:rsidRPr="0091450A" w:rsidRDefault="006E5A52" w:rsidP="002D613F">
            <w:pPr>
              <w:pStyle w:val="ListParagraph"/>
              <w:numPr>
                <w:ilvl w:val="0"/>
                <w:numId w:val="35"/>
              </w:numPr>
              <w:shd w:val="clear" w:color="auto" w:fill="FFFFFF" w:themeFill="background1"/>
              <w:spacing w:before="40" w:after="40"/>
              <w:ind w:left="284" w:hanging="284"/>
              <w:contextualSpacing w:val="0"/>
              <w:rPr>
                <w:rFonts w:cs="Times New Roman"/>
                <w:szCs w:val="20"/>
              </w:rPr>
            </w:pPr>
            <w:r w:rsidRPr="0091450A">
              <w:rPr>
                <w:rFonts w:cs="Times New Roman"/>
                <w:szCs w:val="20"/>
              </w:rPr>
              <w:t>The l</w:t>
            </w:r>
            <w:r w:rsidR="00725AD3" w:rsidRPr="0091450A">
              <w:rPr>
                <w:rFonts w:cs="Times New Roman"/>
                <w:szCs w:val="20"/>
              </w:rPr>
              <w:t>atest report on per</w:t>
            </w:r>
            <w:r w:rsidR="006B3E8A" w:rsidRPr="0091450A">
              <w:rPr>
                <w:rFonts w:cs="Times New Roman"/>
                <w:szCs w:val="20"/>
              </w:rPr>
              <w:t>formance improvement framework website</w:t>
            </w:r>
            <w:r w:rsidR="00E40F4C" w:rsidRPr="0091450A">
              <w:rPr>
                <w:rFonts w:cs="Times New Roman"/>
                <w:szCs w:val="20"/>
              </w:rPr>
              <w:t xml:space="preserve"> for MoH</w:t>
            </w:r>
            <w:r w:rsidR="006B3E8A" w:rsidRPr="0091450A">
              <w:rPr>
                <w:rFonts w:cs="Times New Roman"/>
                <w:szCs w:val="20"/>
              </w:rPr>
              <w:t xml:space="preserve"> </w:t>
            </w:r>
            <w:r w:rsidR="00725AD3" w:rsidRPr="0091450A">
              <w:rPr>
                <w:rFonts w:cs="Times New Roman"/>
                <w:szCs w:val="20"/>
              </w:rPr>
              <w:t xml:space="preserve">was </w:t>
            </w:r>
            <w:r w:rsidR="008839DA" w:rsidRPr="0091450A">
              <w:rPr>
                <w:rFonts w:cs="Times New Roman"/>
                <w:szCs w:val="20"/>
              </w:rPr>
              <w:t>2017</w:t>
            </w:r>
            <w:r w:rsidR="00725AD3" w:rsidRPr="0091450A">
              <w:rPr>
                <w:rFonts w:cs="Times New Roman"/>
                <w:szCs w:val="20"/>
              </w:rPr>
              <w:t xml:space="preserve"> report: </w:t>
            </w:r>
            <w:r w:rsidR="00D958D1" w:rsidRPr="0091450A">
              <w:rPr>
                <w:rFonts w:cs="Times New Roman"/>
                <w:szCs w:val="20"/>
              </w:rPr>
              <w:t xml:space="preserve">State Services </w:t>
            </w:r>
            <w:r w:rsidR="00D958D1" w:rsidRPr="000A759D">
              <w:rPr>
                <w:rFonts w:cs="Times New Roman"/>
                <w:szCs w:val="20"/>
              </w:rPr>
              <w:t>Commission (SSC)</w:t>
            </w:r>
            <w:r w:rsidR="003838EF" w:rsidRPr="000A759D">
              <w:rPr>
                <w:rFonts w:cs="Times New Roman"/>
                <w:szCs w:val="20"/>
              </w:rPr>
              <w:t xml:space="preserve"> Performance Improvement Framework (PIF) Review </w:t>
            </w:r>
            <w:r w:rsidR="000273D5" w:rsidRPr="000A759D">
              <w:rPr>
                <w:rFonts w:cs="Times New Roman"/>
                <w:szCs w:val="20"/>
              </w:rPr>
              <w:t xml:space="preserve">for </w:t>
            </w:r>
            <w:proofErr w:type="spellStart"/>
            <w:r w:rsidR="0033300E" w:rsidRPr="000A759D">
              <w:t>Manatū</w:t>
            </w:r>
            <w:proofErr w:type="spellEnd"/>
            <w:r w:rsidR="0033300E" w:rsidRPr="000A759D">
              <w:rPr>
                <w:rFonts w:cs="Times New Roman"/>
                <w:szCs w:val="20"/>
              </w:rPr>
              <w:t xml:space="preserve"> </w:t>
            </w:r>
            <w:r w:rsidR="000273D5" w:rsidRPr="000A759D">
              <w:rPr>
                <w:rFonts w:cs="Times New Roman"/>
                <w:szCs w:val="20"/>
              </w:rPr>
              <w:t>Hauora</w:t>
            </w:r>
            <w:r w:rsidR="0033300E" w:rsidRPr="000A759D">
              <w:rPr>
                <w:rFonts w:cs="Times New Roman"/>
                <w:szCs w:val="20"/>
              </w:rPr>
              <w:t xml:space="preserve">, the </w:t>
            </w:r>
            <w:r w:rsidR="003838EF" w:rsidRPr="000A759D">
              <w:rPr>
                <w:rFonts w:cs="Times New Roman"/>
                <w:szCs w:val="20"/>
              </w:rPr>
              <w:t>Ministry of Health</w:t>
            </w:r>
            <w:r w:rsidR="008A6AAE" w:rsidRPr="000A759D">
              <w:rPr>
                <w:rFonts w:cs="Times New Roman"/>
                <w:szCs w:val="20"/>
              </w:rPr>
              <w:t xml:space="preserve"> </w:t>
            </w:r>
            <w:r w:rsidR="008A6AAE" w:rsidRPr="000A759D">
              <w:rPr>
                <w:rFonts w:cs="Times New Roman"/>
                <w:szCs w:val="20"/>
              </w:rPr>
              <w:fldChar w:fldCharType="begin" w:fldLock="1"/>
            </w:r>
            <w:r w:rsidR="00EC12A7">
              <w:rPr>
                <w:rFonts w:cs="Times New Roman"/>
                <w:szCs w:val="20"/>
              </w:rPr>
              <w:instrText>ADDIN CSL_CITATION {"citationItems":[{"id":"ITEM-1","itemData":{"ISBN":"978-0-478-43485-9","abstract":"We undertook this PIF Review for the Ministry of Health in two phases. In 2016 we developed a draft Four-year Excellence Horizon for use by the new Executive Leadership Team at the Ministry as it embarked on significant organisational change and implementation of the New Zealand Health Strategy. We conducted the full PIF Review in 2017 when we also updated and confirmed the Four-year Excellence Horizon. For both phases we interviewed Ministers, many Ministry staff, central agency officials, officials from other social sector agencies, stakeholders and representatives of health professionals and of customers of the New Zealand Health and Disability System. We thank them for sharing their insights about good work that is occurring, challenges facing the health system and the Ministry, and opportunities for the Ministry to improve its performance. We were impressed with the passion and commitment of staff and stakeholders to ensure all New Zealanders achieve excellent health and wellbeing. We acknowledge the support of Helen Moody from State Services Commission and thank Ministry staff who provided logistical support for the many interviews and meetings. Potential conflicts of interest were managed appropriately.","author":[{"dropping-particle":"","family":"Services Commission","given":"State","non-dropping-particle":"","parse-names":false,"suffix":""}],"id":"ITEM-1","issued":{"date-parts":[["2017"]]},"title":"PERFORMANCE IMPROVEMENT FRAMEWORK Review for Manatū Hauora, the Ministry of Health Lead Reviewers' Acknowledgement","type":"book"},"uris":["http://www.mendeley.com/documents/?uuid=fd4a35a6-1026-3ce2-bf03-fa7cbdeb6bb7","http://www.mendeley.com/documents/?uuid=8f13842d-992f-4d56-8eeb-b9adb7a07819"]}],"mendeley":{"formattedCitation":"(212)","plainTextFormattedCitation":"(212)","previouslyFormattedCitation":"(212)"},"properties":{"noteIndex":0},"schema":"https://github.com/citation-style-language/schema/raw/master/csl-citation.json"}</w:instrText>
            </w:r>
            <w:r w:rsidR="008A6AAE" w:rsidRPr="000A759D">
              <w:rPr>
                <w:rFonts w:cs="Times New Roman"/>
                <w:szCs w:val="20"/>
              </w:rPr>
              <w:fldChar w:fldCharType="separate"/>
            </w:r>
            <w:r w:rsidR="009C4029" w:rsidRPr="009C4029">
              <w:rPr>
                <w:rFonts w:cs="Times New Roman"/>
                <w:noProof/>
                <w:szCs w:val="20"/>
              </w:rPr>
              <w:t>(212)</w:t>
            </w:r>
            <w:r w:rsidR="008A6AAE" w:rsidRPr="000A759D">
              <w:rPr>
                <w:rFonts w:cs="Times New Roman"/>
                <w:szCs w:val="20"/>
              </w:rPr>
              <w:fldChar w:fldCharType="end"/>
            </w:r>
            <w:r w:rsidR="003838EF" w:rsidRPr="000A759D">
              <w:rPr>
                <w:rFonts w:cs="Times New Roman"/>
                <w:szCs w:val="20"/>
              </w:rPr>
              <w:t>.</w:t>
            </w:r>
            <w:r w:rsidR="008A6AAE" w:rsidRPr="0091450A">
              <w:rPr>
                <w:rFonts w:cs="Times New Roman"/>
                <w:szCs w:val="20"/>
              </w:rPr>
              <w:t xml:space="preserve"> </w:t>
            </w:r>
          </w:p>
          <w:p w14:paraId="03433421" w14:textId="03EEB7E6" w:rsidR="00725AD3" w:rsidRPr="0091450A" w:rsidRDefault="00123F60" w:rsidP="002D613F">
            <w:pPr>
              <w:pStyle w:val="ListParagraph"/>
              <w:numPr>
                <w:ilvl w:val="0"/>
                <w:numId w:val="35"/>
              </w:numPr>
              <w:shd w:val="clear" w:color="auto" w:fill="FFFFFF" w:themeFill="background1"/>
              <w:spacing w:before="40" w:after="40"/>
              <w:ind w:left="284" w:hanging="284"/>
              <w:contextualSpacing w:val="0"/>
              <w:rPr>
                <w:rFonts w:cs="Times New Roman"/>
                <w:szCs w:val="20"/>
              </w:rPr>
            </w:pPr>
            <w:r w:rsidRPr="0091450A">
              <w:rPr>
                <w:rFonts w:cs="Times New Roman"/>
                <w:szCs w:val="20"/>
              </w:rPr>
              <w:t>FSANZ includes evidence in their regulatory impact assessments</w:t>
            </w:r>
            <w:r w:rsidR="00FD6A1F">
              <w:rPr>
                <w:rFonts w:cs="Times New Roman"/>
                <w:szCs w:val="20"/>
              </w:rPr>
              <w:t xml:space="preserve"> (personal communication, FS</w:t>
            </w:r>
            <w:r w:rsidR="00FD6A1F" w:rsidRPr="008A7CD5">
              <w:rPr>
                <w:rFonts w:cs="Times New Roman"/>
                <w:szCs w:val="20"/>
              </w:rPr>
              <w:t>ANZ, 2020)</w:t>
            </w:r>
            <w:r w:rsidR="00B42934" w:rsidRPr="008A7CD5">
              <w:rPr>
                <w:rFonts w:cs="Times New Roman"/>
                <w:szCs w:val="20"/>
              </w:rPr>
              <w:t>.</w:t>
            </w:r>
            <w:r w:rsidR="00777610" w:rsidRPr="0091450A">
              <w:rPr>
                <w:rFonts w:cs="Times New Roman"/>
                <w:szCs w:val="20"/>
              </w:rPr>
              <w:t xml:space="preserve"> </w:t>
            </w:r>
          </w:p>
          <w:p w14:paraId="008B9722" w14:textId="77777777" w:rsidR="00D25895" w:rsidRPr="0091450A" w:rsidRDefault="00D25895" w:rsidP="002D613F">
            <w:pPr>
              <w:shd w:val="clear" w:color="auto" w:fill="FFFFFF" w:themeFill="background1"/>
              <w:spacing w:before="40" w:after="40"/>
              <w:rPr>
                <w:rFonts w:cs="Times New Roman"/>
                <w:szCs w:val="20"/>
                <w:highlight w:val="yellow"/>
              </w:rPr>
            </w:pPr>
          </w:p>
          <w:p w14:paraId="1C7C1896" w14:textId="567A0663" w:rsidR="00C04080" w:rsidRPr="0091450A" w:rsidRDefault="00C04080" w:rsidP="002D613F">
            <w:pPr>
              <w:spacing w:before="40" w:after="40"/>
              <w:rPr>
                <w:b/>
                <w:color w:val="1F497D"/>
                <w:sz w:val="28"/>
                <w:szCs w:val="28"/>
              </w:rPr>
            </w:pPr>
            <w:r w:rsidRPr="0091450A">
              <w:rPr>
                <w:b/>
                <w:color w:val="1F497D"/>
                <w:sz w:val="28"/>
                <w:szCs w:val="28"/>
              </w:rPr>
              <w:lastRenderedPageBreak/>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2CE65C81" w14:textId="2602184A" w:rsidR="00D25895" w:rsidRPr="0091450A" w:rsidRDefault="00D25895" w:rsidP="002D613F">
            <w:pPr>
              <w:pStyle w:val="ListParagraph"/>
              <w:numPr>
                <w:ilvl w:val="0"/>
                <w:numId w:val="75"/>
              </w:numPr>
              <w:shd w:val="clear" w:color="auto" w:fill="FFFFFF" w:themeFill="background1"/>
              <w:spacing w:before="40" w:after="40"/>
              <w:ind w:left="284" w:hanging="284"/>
              <w:contextualSpacing w:val="0"/>
              <w:rPr>
                <w:rFonts w:cs="Times New Roman"/>
                <w:szCs w:val="20"/>
              </w:rPr>
            </w:pPr>
            <w:r w:rsidRPr="0091450A">
              <w:rPr>
                <w:rFonts w:eastAsia="Times New Roman" w:cs="Times New Roman"/>
                <w:b/>
                <w:szCs w:val="20"/>
                <w:lang w:eastAsia="en-NZ"/>
              </w:rPr>
              <w:t>Australia:</w:t>
            </w:r>
            <w:r w:rsidRPr="0091450A">
              <w:rPr>
                <w:rFonts w:eastAsia="Times New Roman" w:cs="Times New Roman"/>
                <w:szCs w:val="20"/>
                <w:lang w:eastAsia="en-NZ"/>
              </w:rPr>
              <w:t xml:space="preserve"> The National Health and Medical Research Council Act 1992 (NHMRC Act) requires NHMRC to develop evidence-based guidelines. These national guidelines are developed by teams of specialists following a rigorous nine-step development process </w:t>
            </w:r>
            <w:r w:rsidR="008952A8"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{"citationItems":[{"id":"ITEM-1","itemData":{"URL":"https://www.legislation.gov.au/Details/C2006C00354","author":[{"dropping-particle":"","family":"Australian Government Federal Register of Legislation","given":"","non-dropping-particle":"","parse-names":false,"suffix":""}],"id":"ITEM-1","issued":{"date-parts":[["0"]]},"title":"National Health and Medical Research Council Act 1992","type":"webpage","volume":"16/06/2016"},"uris":["http://www.mendeley.com/documents/?uuid=50c98e31-6c0b-38d9-a2ad-22eba63de533","http://www.mendeley.com/documents/?uuid=e580cd19-b34d-4424-ba25-a148f3d517f9"]}],"mendeley":{"formattedCitation":"(213)","plainTextFormattedCitation":"(213)","previouslyFormattedCitation":"(213)"},"properties":{"noteIndex":0},"schema":"https://github.com/citation-style-language/schema/raw/master/csl-citation.json"}</w:instrText>
            </w:r>
            <w:r w:rsidR="008952A8"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(213)</w:t>
            </w:r>
            <w:r w:rsidR="008952A8" w:rsidRPr="0091450A">
              <w:rPr>
                <w:rFonts w:eastAsia="Times New Roman" w:cs="Times New Roman"/>
                <w:szCs w:val="20"/>
                <w:lang w:eastAsia="en-NZ"/>
              </w:rPr>
              <w:fldChar w:fldCharType="end"/>
            </w:r>
            <w:r w:rsidR="008952A8" w:rsidRPr="0091450A">
              <w:rPr>
                <w:rFonts w:eastAsia="Times New Roman" w:cs="Times New Roman"/>
                <w:szCs w:val="20"/>
                <w:lang w:eastAsia="en-NZ"/>
              </w:rPr>
              <w:t>.</w:t>
            </w:r>
          </w:p>
        </w:tc>
      </w:tr>
    </w:tbl>
    <w:p w14:paraId="317CD3D3" w14:textId="0C51B95B" w:rsidR="00D323FF" w:rsidRPr="0091450A" w:rsidRDefault="00D323FF" w:rsidP="002D613F">
      <w:pPr>
        <w:spacing w:after="0" w:line="240" w:lineRule="auto"/>
      </w:pPr>
    </w:p>
    <w:tbl>
      <w:tblPr>
        <w:tblStyle w:val="TableGrid"/>
        <w:tblW w:w="9209" w:type="dxa"/>
        <w:tblLook w:val="04A0" w:firstRow="1" w:lastRow="0" w:firstColumn="1" w:lastColumn="0" w:noHBand="0" w:noVBand="1"/>
      </w:tblPr>
      <w:tblGrid>
        <w:gridCol w:w="9209"/>
      </w:tblGrid>
      <w:tr w:rsidR="00B84363" w:rsidRPr="0091450A" w14:paraId="0344BD6F" w14:textId="77777777" w:rsidTr="005551B6">
        <w:tc>
          <w:tcPr>
            <w:tcW w:w="9209" w:type="dxa"/>
          </w:tcPr>
          <w:p w14:paraId="1CD71B73" w14:textId="582F3BE0" w:rsidR="00B84363" w:rsidRPr="0091450A" w:rsidRDefault="00B84363" w:rsidP="002D613F">
            <w:pPr>
              <w:shd w:val="clear" w:color="auto" w:fill="FFFFFF" w:themeFill="background1"/>
              <w:spacing w:before="30" w:after="30"/>
              <w:rPr>
                <w:rFonts w:cs="Times New Roman"/>
                <w:bCs/>
                <w:szCs w:val="20"/>
              </w:rPr>
            </w:pPr>
            <w:r w:rsidRPr="0091450A">
              <w:rPr>
                <w:rFonts w:cs="Times New Roman"/>
                <w:b/>
                <w:color w:val="1F497D" w:themeColor="text2"/>
                <w:sz w:val="28"/>
                <w:szCs w:val="28"/>
              </w:rPr>
              <w:t xml:space="preserve">9 GOVERNANCE: </w:t>
            </w:r>
            <w:r w:rsidRPr="0091450A">
              <w:rPr>
                <w:rFonts w:cs="Times New Roman"/>
                <w:szCs w:val="20"/>
              </w:rPr>
              <w:t xml:space="preserve">Governments have structures in place to ensure transparency and </w:t>
            </w:r>
            <w:r w:rsidR="00C76DA0" w:rsidRPr="0091450A">
              <w:rPr>
                <w:rFonts w:cs="Times New Roman"/>
                <w:szCs w:val="20"/>
              </w:rPr>
              <w:t>accountability and</w:t>
            </w:r>
            <w:r w:rsidRPr="0091450A">
              <w:rPr>
                <w:rFonts w:cs="Times New Roman"/>
                <w:szCs w:val="20"/>
              </w:rPr>
              <w:t xml:space="preserve"> encourage broad community participation and inclusion when formulating and implementing policies and actions to create healthy food environments, improve population nutrition, and reduce diet-related inequalities</w:t>
            </w:r>
            <w:r w:rsidR="00B84E85" w:rsidRPr="0091450A">
              <w:rPr>
                <w:rFonts w:cs="Times New Roman"/>
                <w:szCs w:val="20"/>
              </w:rPr>
              <w:t>.</w:t>
            </w:r>
          </w:p>
        </w:tc>
      </w:tr>
      <w:tr w:rsidR="00B84363" w:rsidRPr="0091450A" w14:paraId="21BC5E1E" w14:textId="77777777" w:rsidTr="005551B6">
        <w:tc>
          <w:tcPr>
            <w:tcW w:w="9209" w:type="dxa"/>
          </w:tcPr>
          <w:p w14:paraId="7F23F6B4" w14:textId="1908AC86" w:rsidR="00B84363" w:rsidRPr="0091450A" w:rsidRDefault="005E2947" w:rsidP="002D613F">
            <w:pPr>
              <w:shd w:val="clear" w:color="auto" w:fill="FFFFFF" w:themeFill="background1"/>
              <w:spacing w:before="30" w:after="30"/>
              <w:rPr>
                <w:rFonts w:cs="Times New Roman"/>
                <w:szCs w:val="20"/>
              </w:rPr>
            </w:pPr>
            <w:bookmarkStart w:id="55" w:name="_Toc31623753"/>
            <w:r w:rsidRPr="0091450A">
              <w:rPr>
                <w:rStyle w:val="Heading3Char"/>
              </w:rPr>
              <w:t>GOVER3</w:t>
            </w:r>
            <w:bookmarkEnd w:id="55"/>
            <w:r w:rsidR="00B84363" w:rsidRPr="0091450A">
              <w:rPr>
                <w:rFonts w:cs="Times New Roman"/>
                <w:b/>
                <w:color w:val="1F497D" w:themeColor="text2"/>
                <w:sz w:val="28"/>
                <w:szCs w:val="28"/>
              </w:rPr>
              <w:t xml:space="preserve">: </w:t>
            </w:r>
            <w:r w:rsidR="00B84363" w:rsidRPr="0091450A">
              <w:rPr>
                <w:rFonts w:cs="Times New Roman"/>
                <w:b/>
                <w:szCs w:val="20"/>
              </w:rPr>
              <w:t>Policies and procedures are implemented for ensuring transparency in the development of food policies</w:t>
            </w:r>
          </w:p>
        </w:tc>
      </w:tr>
      <w:tr w:rsidR="00B84363" w:rsidRPr="0091450A" w14:paraId="0F70E2B7" w14:textId="77777777" w:rsidTr="005551B6">
        <w:tc>
          <w:tcPr>
            <w:tcW w:w="9209" w:type="dxa"/>
          </w:tcPr>
          <w:p w14:paraId="43C361ED" w14:textId="7B52771A" w:rsidR="0020485F" w:rsidRPr="0091450A" w:rsidRDefault="0020485F" w:rsidP="002D613F">
            <w:pPr>
              <w:spacing w:before="30" w:after="3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E0205D0" w14:textId="450808AF" w:rsidR="009436F5" w:rsidRPr="0091450A" w:rsidRDefault="006D253E" w:rsidP="002D613F">
            <w:pPr>
              <w:pStyle w:val="ListParagraph"/>
              <w:numPr>
                <w:ilvl w:val="0"/>
                <w:numId w:val="15"/>
              </w:numPr>
              <w:shd w:val="clear" w:color="auto" w:fill="FFFFFF" w:themeFill="background1"/>
              <w:spacing w:before="30" w:after="30"/>
              <w:ind w:left="284" w:hanging="284"/>
              <w:contextualSpacing w:val="0"/>
              <w:rPr>
                <w:rFonts w:cs="Times New Roman"/>
                <w:szCs w:val="20"/>
              </w:rPr>
            </w:pPr>
            <w:r w:rsidRPr="0091450A">
              <w:rPr>
                <w:rFonts w:cs="Times New Roman"/>
                <w:szCs w:val="20"/>
              </w:rPr>
              <w:t>The State Services Commission (SSC) reviews each government department each year on performance and these reports are available online through the SSC website. The latest review report for the MoH and for MPI can be found online</w:t>
            </w:r>
            <w:r w:rsidR="008C7D43" w:rsidRPr="0091450A">
              <w:rPr>
                <w:rFonts w:cs="Times New Roman"/>
                <w:szCs w:val="20"/>
              </w:rPr>
              <w:t xml:space="preserve"> </w:t>
            </w:r>
            <w:r w:rsidR="008C7D43" w:rsidRPr="0091450A">
              <w:rPr>
                <w:rFonts w:cs="Times New Roman"/>
                <w:szCs w:val="20"/>
              </w:rPr>
              <w:fldChar w:fldCharType="begin" w:fldLock="1"/>
            </w:r>
            <w:r w:rsidR="00EC12A7">
              <w:rPr>
                <w:rFonts w:cs="Times New Roman"/>
                <w:szCs w:val="20"/>
              </w:rPr>
              <w:instrText>ADDIN CSL_CITATION {"citationItems":[{"id":"ITEM-1","itemData":{"URL":"http://www.ssc.govt.nz/pif-reports-announcements","author":[{"dropping-particle":"","family":"State Services Commission","given":"","non-dropping-particle":"","parse-names":false,"suffix":""}],"id":"ITEM-1","issue":"22/2/2017","issued":{"date-parts":[["2016"]]},"title":"Performance Improvement Framework Reports and Related Announcements","type":"webpage"},"uris":["http://www.mendeley.com/documents/?uuid=696252cd-ccc8-3e7b-8691-d3f4fa353e69","http://www.mendeley.com/documents/?uuid=41e0c429-36c7-421c-87bb-d10526e8c854"]}],"mendeley":{"formattedCitation":"(214)","plainTextFormattedCitation":"(214)","previouslyFormattedCitation":"(214)"},"properties":{"noteIndex":0},"schema":"https://github.com/citation-style-language/schema/raw/master/csl-citation.json"}</w:instrText>
            </w:r>
            <w:r w:rsidR="008C7D43" w:rsidRPr="0091450A">
              <w:rPr>
                <w:rFonts w:cs="Times New Roman"/>
                <w:szCs w:val="20"/>
              </w:rPr>
              <w:fldChar w:fldCharType="separate"/>
            </w:r>
            <w:r w:rsidR="009C4029" w:rsidRPr="009C4029">
              <w:rPr>
                <w:rFonts w:cs="Times New Roman"/>
                <w:noProof/>
                <w:szCs w:val="20"/>
              </w:rPr>
              <w:t>(214)</w:t>
            </w:r>
            <w:r w:rsidR="008C7D43" w:rsidRPr="0091450A">
              <w:rPr>
                <w:rFonts w:cs="Times New Roman"/>
                <w:szCs w:val="20"/>
              </w:rPr>
              <w:fldChar w:fldCharType="end"/>
            </w:r>
            <w:r w:rsidRPr="0091450A">
              <w:rPr>
                <w:rFonts w:cs="Times New Roman"/>
                <w:szCs w:val="20"/>
              </w:rPr>
              <w:t xml:space="preserve">. FSANZ publishes all material related to processes and outcomes online. Public consultation on standards is possible </w:t>
            </w:r>
            <w:r w:rsidR="00204C46">
              <w:rPr>
                <w:rFonts w:cs="Times New Roman"/>
                <w:szCs w:val="20"/>
              </w:rPr>
              <w:t>on</w:t>
            </w:r>
            <w:r w:rsidRPr="0091450A">
              <w:rPr>
                <w:rFonts w:cs="Times New Roman"/>
                <w:szCs w:val="20"/>
              </w:rPr>
              <w:t xml:space="preserve"> several occasions. Submissions from stakeholders are </w:t>
            </w:r>
            <w:r w:rsidR="00BE7356" w:rsidRPr="0091450A">
              <w:rPr>
                <w:rFonts w:cs="Times New Roman"/>
                <w:szCs w:val="20"/>
              </w:rPr>
              <w:t>publicly</w:t>
            </w:r>
            <w:r w:rsidRPr="0091450A">
              <w:rPr>
                <w:rFonts w:cs="Times New Roman"/>
                <w:szCs w:val="20"/>
              </w:rPr>
              <w:t xml:space="preserve"> disclosed.</w:t>
            </w:r>
            <w:r w:rsidR="000778F0" w:rsidRPr="0091450A">
              <w:rPr>
                <w:rFonts w:cs="Times New Roman"/>
                <w:szCs w:val="20"/>
              </w:rPr>
              <w:t xml:space="preserve"> NZ was ranked first in the Open Budget Index rankings in 20</w:t>
            </w:r>
            <w:r w:rsidR="006533B7" w:rsidRPr="0091450A">
              <w:rPr>
                <w:rFonts w:cs="Times New Roman"/>
                <w:szCs w:val="20"/>
              </w:rPr>
              <w:t>17</w:t>
            </w:r>
            <w:r w:rsidR="004D27A4" w:rsidRPr="0091450A">
              <w:rPr>
                <w:rFonts w:cs="Times New Roman"/>
                <w:szCs w:val="20"/>
              </w:rPr>
              <w:t xml:space="preserve"> scoring 89/100</w:t>
            </w:r>
            <w:r w:rsidR="000778F0" w:rsidRPr="0091450A">
              <w:rPr>
                <w:rFonts w:cs="Times New Roman"/>
                <w:szCs w:val="20"/>
              </w:rPr>
              <w:t xml:space="preserve"> </w:t>
            </w:r>
            <w:r w:rsidR="00C756CC" w:rsidRPr="0091450A">
              <w:rPr>
                <w:rFonts w:cs="Times New Roman"/>
                <w:szCs w:val="20"/>
              </w:rPr>
              <w:fldChar w:fldCharType="begin" w:fldLock="1"/>
            </w:r>
            <w:r w:rsidR="00EC12A7">
              <w:rPr>
                <w:rFonts w:cs="Times New Roman"/>
                <w:szCs w:val="20"/>
              </w:rPr>
              <w:instrText>ADDIN CSL_CITATION {"citationItems":[{"id":"ITEM-1","itemData":{"URL":"http://www.internationalbudget.org/opening-budgets/open-budget-initiative/open-budget-survey/publications-2/rankings-key-findings/rankings/","author":[{"dropping-particle":"","family":"International Budget Partnership","given":"","non-dropping-particle":"","parse-names":false,"suffix":""}],"id":"ITEM-1","issue":"22/2/2017","issued":{"date-parts":[["2017"]]},"title":"Open Budget Index Rankings","type":"webpage"},"uris":["http://www.mendeley.com/documents/?uuid=4ad02a64-29cf-38c1-94db-6413b0fcb64b","http://www.mendeley.com/documents/?uuid=82320efb-353a-4556-8465-4d2b12a04c49"]}],"mendeley":{"formattedCitation":"(215)","plainTextFormattedCitation":"(215)","previouslyFormattedCitation":"(215)"},"properties":{"noteIndex":0},"schema":"https://github.com/citation-style-language/schema/raw/master/csl-citation.json"}</w:instrText>
            </w:r>
            <w:r w:rsidR="00C756CC" w:rsidRPr="0091450A">
              <w:rPr>
                <w:rFonts w:cs="Times New Roman"/>
                <w:szCs w:val="20"/>
              </w:rPr>
              <w:fldChar w:fldCharType="separate"/>
            </w:r>
            <w:r w:rsidR="009C4029" w:rsidRPr="009C4029">
              <w:rPr>
                <w:rFonts w:cs="Times New Roman"/>
                <w:noProof/>
                <w:szCs w:val="20"/>
              </w:rPr>
              <w:t>(215)</w:t>
            </w:r>
            <w:r w:rsidR="00C756CC" w:rsidRPr="0091450A">
              <w:rPr>
                <w:rFonts w:cs="Times New Roman"/>
                <w:szCs w:val="20"/>
              </w:rPr>
              <w:fldChar w:fldCharType="end"/>
            </w:r>
            <w:r w:rsidR="003453A3" w:rsidRPr="0091450A">
              <w:rPr>
                <w:rFonts w:cs="Times New Roman"/>
                <w:szCs w:val="20"/>
              </w:rPr>
              <w:t xml:space="preserve"> indicating a high level of fiscal transparency</w:t>
            </w:r>
            <w:r w:rsidR="007A053B" w:rsidRPr="0091450A">
              <w:rPr>
                <w:rFonts w:cs="Times New Roman"/>
                <w:szCs w:val="20"/>
              </w:rPr>
              <w:t xml:space="preserve"> with extensive information available</w:t>
            </w:r>
            <w:r w:rsidR="0060515A" w:rsidRPr="0091450A">
              <w:rPr>
                <w:rFonts w:cs="Times New Roman"/>
                <w:szCs w:val="20"/>
              </w:rPr>
              <w:t>.</w:t>
            </w:r>
          </w:p>
          <w:p w14:paraId="57F37945" w14:textId="441A1653" w:rsidR="008004F4" w:rsidRPr="0091450A" w:rsidRDefault="00FE0C25" w:rsidP="002D613F">
            <w:pPr>
              <w:pStyle w:val="ListParagraph"/>
              <w:numPr>
                <w:ilvl w:val="0"/>
                <w:numId w:val="15"/>
              </w:numPr>
              <w:shd w:val="clear" w:color="auto" w:fill="FFFFFF" w:themeFill="background1"/>
              <w:spacing w:before="30" w:after="30"/>
              <w:ind w:left="284" w:hanging="284"/>
              <w:contextualSpacing w:val="0"/>
            </w:pPr>
            <w:r w:rsidRPr="0091450A">
              <w:rPr>
                <w:rFonts w:cs="Times New Roman"/>
                <w:szCs w:val="20"/>
              </w:rPr>
              <w:t xml:space="preserve">New Zealand </w:t>
            </w:r>
            <w:r w:rsidR="003453A3" w:rsidRPr="0091450A">
              <w:rPr>
                <w:rFonts w:cs="Times New Roman"/>
                <w:szCs w:val="20"/>
              </w:rPr>
              <w:t>was</w:t>
            </w:r>
            <w:r w:rsidRPr="0091450A">
              <w:rPr>
                <w:rFonts w:cs="Times New Roman"/>
                <w:szCs w:val="20"/>
              </w:rPr>
              <w:t xml:space="preserve"> </w:t>
            </w:r>
            <w:r w:rsidR="003453A3" w:rsidRPr="0091450A">
              <w:rPr>
                <w:rFonts w:cs="Times New Roman"/>
                <w:szCs w:val="20"/>
              </w:rPr>
              <w:t>ranked</w:t>
            </w:r>
            <w:r w:rsidRPr="0091450A">
              <w:rPr>
                <w:rFonts w:cs="Times New Roman"/>
                <w:szCs w:val="20"/>
              </w:rPr>
              <w:t xml:space="preserve"> </w:t>
            </w:r>
            <w:r w:rsidR="003C42C8" w:rsidRPr="000A759D">
              <w:rPr>
                <w:rFonts w:cs="Times New Roman"/>
                <w:szCs w:val="20"/>
              </w:rPr>
              <w:t xml:space="preserve">second </w:t>
            </w:r>
            <w:r w:rsidRPr="000A759D">
              <w:rPr>
                <w:rFonts w:cs="Times New Roman"/>
                <w:szCs w:val="20"/>
              </w:rPr>
              <w:t>in Transparency International’s Corruption Perceptions Index 201</w:t>
            </w:r>
            <w:r w:rsidR="007A538D" w:rsidRPr="000A759D">
              <w:rPr>
                <w:rFonts w:cs="Times New Roman"/>
                <w:szCs w:val="20"/>
              </w:rPr>
              <w:t>8</w:t>
            </w:r>
            <w:r w:rsidRPr="0091450A">
              <w:rPr>
                <w:rFonts w:cs="Times New Roman"/>
                <w:szCs w:val="20"/>
              </w:rPr>
              <w:t xml:space="preserve">, </w:t>
            </w:r>
            <w:r w:rsidR="007A538D" w:rsidRPr="0091450A">
              <w:rPr>
                <w:rFonts w:cs="Times New Roman"/>
                <w:szCs w:val="20"/>
              </w:rPr>
              <w:t>behind</w:t>
            </w:r>
            <w:r w:rsidRPr="0091450A">
              <w:rPr>
                <w:rFonts w:cs="Times New Roman"/>
                <w:szCs w:val="20"/>
              </w:rPr>
              <w:t xml:space="preserve"> Denmark, obtaining a score of </w:t>
            </w:r>
            <w:r w:rsidR="007A538D" w:rsidRPr="0091450A">
              <w:rPr>
                <w:rFonts w:cs="Times New Roman"/>
                <w:szCs w:val="20"/>
              </w:rPr>
              <w:t>88</w:t>
            </w:r>
            <w:r w:rsidRPr="0091450A">
              <w:rPr>
                <w:rFonts w:cs="Times New Roman"/>
                <w:szCs w:val="20"/>
              </w:rPr>
              <w:t>% on a total of 17</w:t>
            </w:r>
            <w:r w:rsidR="007A538D" w:rsidRPr="0091450A">
              <w:rPr>
                <w:rFonts w:cs="Times New Roman"/>
                <w:szCs w:val="20"/>
              </w:rPr>
              <w:t>80</w:t>
            </w:r>
            <w:r w:rsidRPr="0091450A">
              <w:rPr>
                <w:rFonts w:cs="Times New Roman"/>
                <w:szCs w:val="20"/>
              </w:rPr>
              <w:t xml:space="preserve"> countries </w:t>
            </w:r>
            <w:r w:rsidR="00310130" w:rsidRPr="0091450A">
              <w:rPr>
                <w:rFonts w:cs="Times New Roman"/>
                <w:szCs w:val="20"/>
              </w:rPr>
              <w:fldChar w:fldCharType="begin" w:fldLock="1"/>
            </w:r>
            <w:r w:rsidR="00EC12A7">
              <w:rPr>
                <w:rFonts w:cs="Times New Roman"/>
                <w:szCs w:val="20"/>
              </w:rPr>
              <w:instrText>ADDIN CSL_CITATION {"citationItems":[{"id":"ITEM-1","itemData":{"author":[{"dropping-particle":"","family":"Transparency International","given":"","non-dropping-particle":"","parse-names":false,"suffix":""}],"id":"ITEM-1","issued":{"date-parts":[["2017"]]},"publisher":"Transparency International","publisher-place":"Wellington","title":"New Zealand public sector ranked number one as the least corrupt on the planet","type":"article"},"uris":["http://www.mendeley.com/documents/?uuid=b6b50b69-68f1-3132-bfe9-1709a9bc5fd7","http://www.mendeley.com/documents/?uuid=36412ef2-33ad-437e-b05d-5ee71df07432"]}],"mendeley":{"formattedCitation":"(216)","plainTextFormattedCitation":"(216)","previouslyFormattedCitation":"(216)"},"properties":{"noteIndex":0},"schema":"https://github.com/citation-style-language/schema/raw/master/csl-citation.json"}</w:instrText>
            </w:r>
            <w:r w:rsidR="00310130" w:rsidRPr="0091450A">
              <w:rPr>
                <w:rFonts w:cs="Times New Roman"/>
                <w:szCs w:val="20"/>
              </w:rPr>
              <w:fldChar w:fldCharType="separate"/>
            </w:r>
            <w:r w:rsidR="009C4029" w:rsidRPr="009C4029">
              <w:rPr>
                <w:rFonts w:cs="Times New Roman"/>
                <w:noProof/>
                <w:szCs w:val="20"/>
              </w:rPr>
              <w:t>(216)</w:t>
            </w:r>
            <w:r w:rsidR="00310130" w:rsidRPr="0091450A">
              <w:rPr>
                <w:rFonts w:cs="Times New Roman"/>
                <w:szCs w:val="20"/>
              </w:rPr>
              <w:fldChar w:fldCharType="end"/>
            </w:r>
            <w:r w:rsidRPr="0091450A">
              <w:rPr>
                <w:rFonts w:cs="Times New Roman"/>
                <w:szCs w:val="20"/>
              </w:rPr>
              <w:t xml:space="preserve"> with high levels of press freedom, access to budget information, high levels of integrity among people in power, </w:t>
            </w:r>
            <w:r w:rsidR="0068711F">
              <w:rPr>
                <w:rFonts w:cs="Times New Roman"/>
                <w:szCs w:val="20"/>
              </w:rPr>
              <w:t xml:space="preserve">and </w:t>
            </w:r>
            <w:r w:rsidRPr="0091450A">
              <w:rPr>
                <w:rFonts w:cs="Times New Roman"/>
                <w:szCs w:val="20"/>
              </w:rPr>
              <w:t>fair access to independent judiciaries. Areas</w:t>
            </w:r>
            <w:r w:rsidR="00204C46">
              <w:rPr>
                <w:rFonts w:cs="Times New Roman"/>
                <w:szCs w:val="20"/>
              </w:rPr>
              <w:t xml:space="preserve"> where NZ can monitor its scores and improve,</w:t>
            </w:r>
            <w:r w:rsidRPr="0091450A">
              <w:rPr>
                <w:rFonts w:cs="Times New Roman"/>
                <w:szCs w:val="20"/>
              </w:rPr>
              <w:t xml:space="preserve"> include: access to information, order and security, fundamental rights and civil justice, lack of constraints on government powers and criminal justice, absence of corruption, regulato</w:t>
            </w:r>
            <w:r w:rsidR="0060515A" w:rsidRPr="0091450A">
              <w:rPr>
                <w:rFonts w:cs="Times New Roman"/>
                <w:szCs w:val="20"/>
              </w:rPr>
              <w:t>ry enforcement, open governmen</w:t>
            </w:r>
            <w:r w:rsidR="009436F5" w:rsidRPr="0091450A">
              <w:rPr>
                <w:rFonts w:cs="Times New Roman"/>
                <w:szCs w:val="20"/>
              </w:rPr>
              <w:t xml:space="preserve">t. </w:t>
            </w:r>
          </w:p>
          <w:p w14:paraId="171B1B3D" w14:textId="08092726" w:rsidR="00C04080" w:rsidRPr="0091450A" w:rsidRDefault="00C04080" w:rsidP="002D613F">
            <w:pPr>
              <w:spacing w:before="30" w:after="3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1EA0873D" w14:textId="1D2C6FB3" w:rsidR="00815B0D" w:rsidRPr="0091450A" w:rsidRDefault="00D25895" w:rsidP="002D613F">
            <w:pPr>
              <w:pStyle w:val="ListParagraph"/>
              <w:numPr>
                <w:ilvl w:val="0"/>
                <w:numId w:val="76"/>
              </w:numPr>
              <w:shd w:val="clear" w:color="auto" w:fill="FFFFFF" w:themeFill="background1"/>
              <w:spacing w:before="30" w:after="30"/>
              <w:ind w:left="284" w:hanging="284"/>
              <w:contextualSpacing w:val="0"/>
              <w:rPr>
                <w:rFonts w:cs="Times New Roman"/>
                <w:szCs w:val="20"/>
              </w:rPr>
            </w:pPr>
            <w:r w:rsidRPr="0091450A">
              <w:rPr>
                <w:rFonts w:eastAsia="Times New Roman" w:cs="Times New Roman"/>
                <w:b/>
                <w:szCs w:val="20"/>
                <w:lang w:eastAsia="en-NZ"/>
              </w:rPr>
              <w:t>Australia/</w:t>
            </w:r>
            <w:r w:rsidR="00860A7B" w:rsidRPr="0091450A">
              <w:rPr>
                <w:rFonts w:eastAsia="Times New Roman" w:cs="Times New Roman"/>
                <w:b/>
                <w:szCs w:val="20"/>
                <w:lang w:eastAsia="en-NZ"/>
              </w:rPr>
              <w:t>NZ</w:t>
            </w:r>
            <w:r w:rsidRPr="0091450A">
              <w:rPr>
                <w:rFonts w:eastAsia="Times New Roman" w:cs="Times New Roman"/>
                <w:szCs w:val="20"/>
                <w:lang w:eastAsia="en-NZ"/>
              </w:rPr>
              <w:t xml:space="preserve">: </w:t>
            </w:r>
            <w:r w:rsidR="00860A7B" w:rsidRPr="0091450A">
              <w:rPr>
                <w:rFonts w:eastAsia="Times New Roman" w:cs="Times New Roman"/>
                <w:szCs w:val="20"/>
                <w:lang w:eastAsia="en-NZ"/>
              </w:rPr>
              <w:t>FSANZ</w:t>
            </w:r>
            <w:r w:rsidRPr="0091450A">
              <w:rPr>
                <w:rFonts w:eastAsia="Times New Roman" w:cs="Times New Roman"/>
                <w:szCs w:val="20"/>
                <w:lang w:eastAsia="en-NZ"/>
              </w:rPr>
              <w:t xml:space="preserve"> is required by the Food Standards Australia </w:t>
            </w:r>
            <w:r w:rsidR="00860A7B" w:rsidRPr="0091450A">
              <w:rPr>
                <w:rFonts w:eastAsia="Times New Roman" w:cs="Times New Roman"/>
                <w:szCs w:val="20"/>
                <w:lang w:eastAsia="en-NZ"/>
              </w:rPr>
              <w:t>NZ</w:t>
            </w:r>
            <w:r w:rsidRPr="0091450A">
              <w:rPr>
                <w:rFonts w:eastAsia="Times New Roman" w:cs="Times New Roman"/>
                <w:szCs w:val="20"/>
                <w:lang w:eastAsia="en-NZ"/>
              </w:rPr>
              <w:t xml:space="preserve"> Act 1991 to engage stakeholders in the development of new standards. This process is open to everyone in the community including consumers, public health professionals, and industry and government representatives. FSANZ has developed a Stakeholder Engagement Strategy 2013-16 that outlines the scope and processes for engagement.</w:t>
            </w:r>
            <w:r w:rsidRPr="0091450A">
              <w:rPr>
                <w:szCs w:val="20"/>
              </w:rPr>
              <w:t xml:space="preserve"> </w:t>
            </w:r>
            <w:r w:rsidR="00860A7B" w:rsidRPr="0091450A">
              <w:rPr>
                <w:rFonts w:eastAsia="Times New Roman" w:cs="Times New Roman"/>
                <w:szCs w:val="20"/>
                <w:lang w:eastAsia="en-NZ"/>
              </w:rPr>
              <w:t>One of the first p</w:t>
            </w:r>
            <w:r w:rsidRPr="0091450A">
              <w:rPr>
                <w:rFonts w:eastAsia="Times New Roman" w:cs="Times New Roman"/>
                <w:szCs w:val="20"/>
                <w:lang w:eastAsia="en-NZ"/>
              </w:rPr>
              <w:t xml:space="preserve">riorities </w:t>
            </w:r>
            <w:r w:rsidR="00860A7B" w:rsidRPr="0091450A">
              <w:rPr>
                <w:rFonts w:eastAsia="Times New Roman" w:cs="Times New Roman"/>
                <w:szCs w:val="20"/>
                <w:lang w:eastAsia="en-NZ"/>
              </w:rPr>
              <w:t>outlined was ‘</w:t>
            </w:r>
            <w:r w:rsidRPr="0091450A">
              <w:rPr>
                <w:rFonts w:eastAsia="Times New Roman" w:cs="Times New Roman"/>
                <w:szCs w:val="20"/>
                <w:lang w:eastAsia="en-NZ"/>
              </w:rPr>
              <w:t>maintain our open and transparent approach</w:t>
            </w:r>
            <w:r w:rsidR="00860A7B" w:rsidRPr="0091450A">
              <w:rPr>
                <w:rFonts w:eastAsia="Times New Roman" w:cs="Times New Roman"/>
                <w:szCs w:val="20"/>
                <w:lang w:eastAsia="en-NZ"/>
              </w:rPr>
              <w:t>’</w:t>
            </w:r>
            <w:r w:rsidRPr="0091450A">
              <w:rPr>
                <w:rFonts w:eastAsia="Times New Roman" w:cs="Times New Roman"/>
                <w:szCs w:val="20"/>
                <w:lang w:eastAsia="en-NZ"/>
              </w:rPr>
              <w:t xml:space="preserve"> </w:t>
            </w:r>
            <w:r w:rsidR="00C756CC"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{"citationItems":[{"id":"ITEM-1","itemData":{"author":[{"dropping-particle":"","family":"Food Standards Australia New Zealand","given":"","non-dropping-particle":"","parse-names":false,"suffix":""}],"id":"ITEM-1","issued":{"date-parts":[["2013"]]},"publisher":"FSANZ New Zealand.","publisher-place":"Wellington","title":"Stakeholder Engagement Strategy 2013-2016. ","type":"report"},"uris":["http://www.mendeley.com/documents/?uuid=b4de4a8c-e65d-3b2c-a5d1-49bb8f7a78d2","http://www.mendeley.com/documents/?uuid=d11d982a-7344-438d-ba1a-a8d9a3abad97"]}],"mendeley":{"formattedCitation":"(217)","plainTextFormattedCitation":"(217)","previouslyFormattedCitation":"(217)"},"properties":{"noteIndex":0},"schema":"https://github.com/citation-style-language/schema/raw/master/csl-citation.json"}</w:instrText>
            </w:r>
            <w:r w:rsidR="00C756CC"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(217)</w:t>
            </w:r>
            <w:r w:rsidR="00C756CC" w:rsidRPr="0091450A">
              <w:rPr>
                <w:rFonts w:eastAsia="Times New Roman" w:cs="Times New Roman"/>
                <w:szCs w:val="20"/>
                <w:lang w:eastAsia="en-NZ"/>
              </w:rPr>
              <w:fldChar w:fldCharType="end"/>
            </w:r>
            <w:r w:rsidR="00C756CC" w:rsidRPr="0091450A">
              <w:rPr>
                <w:rFonts w:eastAsia="Times New Roman" w:cs="Times New Roman"/>
                <w:szCs w:val="20"/>
                <w:lang w:eastAsia="en-NZ"/>
              </w:rPr>
              <w:t>.</w:t>
            </w:r>
          </w:p>
        </w:tc>
      </w:tr>
    </w:tbl>
    <w:p w14:paraId="78B638C1" w14:textId="1B19F8A4" w:rsidR="00906BEF" w:rsidRPr="0091450A" w:rsidRDefault="00906BEF" w:rsidP="002D613F">
      <w:pPr>
        <w:spacing w:after="0" w:line="240" w:lineRule="auto"/>
      </w:pPr>
    </w:p>
    <w:tbl>
      <w:tblPr>
        <w:tblStyle w:val="TableGrid"/>
        <w:tblW w:w="9209" w:type="dxa"/>
        <w:tblLook w:val="04A0" w:firstRow="1" w:lastRow="0" w:firstColumn="1" w:lastColumn="0" w:noHBand="0" w:noVBand="1"/>
      </w:tblPr>
      <w:tblGrid>
        <w:gridCol w:w="9209"/>
      </w:tblGrid>
      <w:tr w:rsidR="00AE3D68" w:rsidRPr="0091450A" w14:paraId="48165123" w14:textId="77777777" w:rsidTr="005551B6">
        <w:tc>
          <w:tcPr>
            <w:tcW w:w="9209" w:type="dxa"/>
          </w:tcPr>
          <w:p w14:paraId="01AC3FC0" w14:textId="65E819A1" w:rsidR="00AE3D68"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9 </w:t>
            </w:r>
            <w:r w:rsidR="00AE3D68" w:rsidRPr="0091450A">
              <w:rPr>
                <w:rFonts w:cs="Times New Roman"/>
                <w:b/>
                <w:color w:val="1F497D" w:themeColor="text2"/>
                <w:sz w:val="28"/>
                <w:szCs w:val="28"/>
              </w:rPr>
              <w:t xml:space="preserve">GOVERNANCE: </w:t>
            </w:r>
            <w:r w:rsidR="005F7C9E" w:rsidRPr="0091450A">
              <w:rPr>
                <w:rFonts w:cs="Times New Roman"/>
                <w:szCs w:val="20"/>
              </w:rPr>
              <w:t xml:space="preserve">Governments have structures in place to ensure transparency and </w:t>
            </w:r>
            <w:r w:rsidR="00C76DA0" w:rsidRPr="0091450A">
              <w:rPr>
                <w:rFonts w:cs="Times New Roman"/>
                <w:szCs w:val="20"/>
              </w:rPr>
              <w:t>accountability and</w:t>
            </w:r>
            <w:r w:rsidR="005F7C9E" w:rsidRPr="0091450A">
              <w:rPr>
                <w:rFonts w:cs="Times New Roman"/>
                <w:szCs w:val="20"/>
              </w:rPr>
              <w:t xml:space="preserve"> encourage broad community participation and inclusion when formulating and implementing policies and actions to create healthy food environments, improve population nutrition, and reduce diet-related inequalities</w:t>
            </w:r>
            <w:r w:rsidR="00B84E85" w:rsidRPr="0091450A">
              <w:rPr>
                <w:rFonts w:cs="Times New Roman"/>
                <w:szCs w:val="20"/>
              </w:rPr>
              <w:t>.</w:t>
            </w:r>
          </w:p>
        </w:tc>
      </w:tr>
      <w:tr w:rsidR="00AE3D68" w:rsidRPr="0091450A" w14:paraId="220AA79A" w14:textId="77777777" w:rsidTr="005551B6">
        <w:tc>
          <w:tcPr>
            <w:tcW w:w="9209" w:type="dxa"/>
          </w:tcPr>
          <w:p w14:paraId="1B3381E3" w14:textId="6D4C15AB" w:rsidR="00AE3D68" w:rsidRPr="0091450A" w:rsidRDefault="005E2947" w:rsidP="002D613F">
            <w:pPr>
              <w:shd w:val="clear" w:color="auto" w:fill="FFFFFF" w:themeFill="background1"/>
              <w:spacing w:before="40" w:after="40"/>
              <w:rPr>
                <w:rFonts w:cs="Times New Roman"/>
                <w:color w:val="000000"/>
                <w:szCs w:val="20"/>
                <w:lang w:eastAsia="en-NZ"/>
              </w:rPr>
            </w:pPr>
            <w:bookmarkStart w:id="56" w:name="_Toc31623754"/>
            <w:r w:rsidRPr="0091450A">
              <w:rPr>
                <w:rStyle w:val="Heading3Char"/>
              </w:rPr>
              <w:t>GOVER4</w:t>
            </w:r>
            <w:bookmarkEnd w:id="56"/>
            <w:r w:rsidR="00AE3D68" w:rsidRPr="0091450A">
              <w:rPr>
                <w:rFonts w:cs="Times New Roman"/>
                <w:b/>
                <w:color w:val="1F497D" w:themeColor="text2"/>
                <w:sz w:val="28"/>
                <w:szCs w:val="28"/>
              </w:rPr>
              <w:t xml:space="preserve">: </w:t>
            </w:r>
            <w:r w:rsidR="00B84363" w:rsidRPr="0091450A">
              <w:rPr>
                <w:rFonts w:cs="Times New Roman"/>
                <w:b/>
                <w:szCs w:val="20"/>
              </w:rPr>
              <w:t>The government ensures access to comprehensive nutrition i</w:t>
            </w:r>
            <w:r w:rsidR="00046833" w:rsidRPr="0091450A">
              <w:rPr>
                <w:rFonts w:cs="Times New Roman"/>
                <w:b/>
                <w:szCs w:val="20"/>
              </w:rPr>
              <w:t>nformation and key documents (</w:t>
            </w:r>
            <w:r w:rsidR="00AE20D3" w:rsidRPr="0091450A">
              <w:rPr>
                <w:rFonts w:cs="Times New Roman"/>
                <w:b/>
                <w:szCs w:val="20"/>
              </w:rPr>
              <w:t>e.g.</w:t>
            </w:r>
            <w:r w:rsidR="00B84363" w:rsidRPr="0091450A">
              <w:rPr>
                <w:rFonts w:cs="Times New Roman"/>
                <w:b/>
                <w:szCs w:val="20"/>
              </w:rPr>
              <w:t xml:space="preserve"> budget documents, annual performance reviews and health indicators) for the public</w:t>
            </w:r>
            <w:r w:rsidR="00B84E85" w:rsidRPr="0091450A">
              <w:rPr>
                <w:rFonts w:cs="Times New Roman"/>
                <w:b/>
                <w:szCs w:val="20"/>
              </w:rPr>
              <w:t>.</w:t>
            </w:r>
          </w:p>
        </w:tc>
      </w:tr>
      <w:tr w:rsidR="00AE3D68" w:rsidRPr="0091450A" w14:paraId="742602E3" w14:textId="77777777" w:rsidTr="005551B6">
        <w:tc>
          <w:tcPr>
            <w:tcW w:w="9209" w:type="dxa"/>
          </w:tcPr>
          <w:p w14:paraId="0DCC7306" w14:textId="42FF71F6" w:rsidR="0061424D" w:rsidRPr="0091450A" w:rsidRDefault="00C04080" w:rsidP="002D613F">
            <w:pPr>
              <w:shd w:val="clear" w:color="auto" w:fill="FFFFFF" w:themeFill="background1"/>
              <w:spacing w:before="40" w:after="40"/>
              <w:jc w:val="both"/>
              <w:rPr>
                <w:rFonts w:cs="Times New Roman"/>
                <w:b/>
                <w:color w:val="1F497D" w:themeColor="text2"/>
                <w:sz w:val="28"/>
                <w:szCs w:val="28"/>
              </w:rPr>
            </w:pPr>
            <w:r w:rsidRPr="0091450A">
              <w:rPr>
                <w:rFonts w:cs="Times New Roman"/>
                <w:b/>
                <w:color w:val="1F497D" w:themeColor="text2"/>
                <w:sz w:val="28"/>
                <w:szCs w:val="28"/>
              </w:rPr>
              <w:t>Evidence of implementation</w:t>
            </w:r>
          </w:p>
          <w:p w14:paraId="776569DE" w14:textId="142C177F" w:rsidR="00AE3D68" w:rsidRPr="0091450A" w:rsidRDefault="00046833" w:rsidP="002D613F">
            <w:pPr>
              <w:pStyle w:val="ListParagraph"/>
              <w:numPr>
                <w:ilvl w:val="0"/>
                <w:numId w:val="15"/>
              </w:numPr>
              <w:shd w:val="clear" w:color="auto" w:fill="FFFFFF" w:themeFill="background1"/>
              <w:spacing w:before="40" w:after="40"/>
              <w:ind w:left="284" w:hanging="284"/>
              <w:contextualSpacing w:val="0"/>
              <w:rPr>
                <w:rFonts w:cs="Times New Roman"/>
                <w:szCs w:val="20"/>
              </w:rPr>
            </w:pPr>
            <w:r w:rsidRPr="0091450A">
              <w:rPr>
                <w:rFonts w:cs="Times New Roman"/>
                <w:szCs w:val="20"/>
              </w:rPr>
              <w:t>Key budget documents (</w:t>
            </w:r>
            <w:r w:rsidR="00AE20D3" w:rsidRPr="0091450A">
              <w:rPr>
                <w:rFonts w:cs="Times New Roman"/>
                <w:szCs w:val="20"/>
              </w:rPr>
              <w:t>e.g.</w:t>
            </w:r>
            <w:r w:rsidR="00AE3D68" w:rsidRPr="0091450A">
              <w:rPr>
                <w:rFonts w:cs="Times New Roman"/>
                <w:szCs w:val="20"/>
              </w:rPr>
              <w:t xml:space="preserve"> Vote Health), annual performance reviews of the different government departments and reports on nutrition guidelines and survey results are available for download online through the library of the MoH. In </w:t>
            </w:r>
            <w:r w:rsidR="00C76DA0" w:rsidRPr="0091450A">
              <w:rPr>
                <w:rFonts w:cs="Times New Roman"/>
                <w:szCs w:val="20"/>
              </w:rPr>
              <w:t>addition,</w:t>
            </w:r>
            <w:r w:rsidR="00AE3D68" w:rsidRPr="0091450A">
              <w:rPr>
                <w:rFonts w:cs="Times New Roman"/>
                <w:szCs w:val="20"/>
              </w:rPr>
              <w:t xml:space="preserve"> in NZ the public can request specific information through the Official Information Act.</w:t>
            </w:r>
            <w:r w:rsidR="00DB55C1" w:rsidRPr="0091450A">
              <w:rPr>
                <w:rFonts w:cs="Times New Roman"/>
                <w:szCs w:val="20"/>
              </w:rPr>
              <w:t xml:space="preserve"> </w:t>
            </w:r>
          </w:p>
          <w:p w14:paraId="089B6ECD" w14:textId="77777777" w:rsidR="00923311" w:rsidRPr="0091450A" w:rsidRDefault="00923311" w:rsidP="002D613F">
            <w:pPr>
              <w:pStyle w:val="ListParagraph"/>
              <w:numPr>
                <w:ilvl w:val="0"/>
                <w:numId w:val="15"/>
              </w:numPr>
              <w:shd w:val="clear" w:color="auto" w:fill="FFFFFF" w:themeFill="background1"/>
              <w:spacing w:before="40" w:after="40"/>
              <w:ind w:left="284" w:hanging="284"/>
              <w:contextualSpacing w:val="0"/>
              <w:rPr>
                <w:rFonts w:cs="Times New Roman"/>
                <w:szCs w:val="20"/>
              </w:rPr>
            </w:pPr>
            <w:r w:rsidRPr="0091450A">
              <w:rPr>
                <w:rFonts w:cs="Times New Roman"/>
                <w:bCs/>
                <w:szCs w:val="20"/>
              </w:rPr>
              <w:t>Through the official information act 1982, information on budgets spent on population nutrition promotion by MoH, MPI, the Health Promotion Agency and DHBs and PHUs were easily obtained.</w:t>
            </w:r>
            <w:r w:rsidRPr="0091450A">
              <w:rPr>
                <w:rFonts w:cs="Times New Roman"/>
                <w:szCs w:val="20"/>
              </w:rPr>
              <w:t xml:space="preserve"> </w:t>
            </w:r>
          </w:p>
          <w:p w14:paraId="4DF65968" w14:textId="7A8E2D16" w:rsidR="005E2947" w:rsidRPr="0091450A" w:rsidRDefault="00E6730C" w:rsidP="002D613F">
            <w:pPr>
              <w:pStyle w:val="ListParagraph"/>
              <w:numPr>
                <w:ilvl w:val="0"/>
                <w:numId w:val="15"/>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The general approach is that information formally generated by the MoH is published on the web. Decisions about work programmes and funded priorities are published through the Ministry’s statement of intent and output plan, both of which are on the web. </w:t>
            </w:r>
            <w:r w:rsidR="00E970A9" w:rsidRPr="0091450A">
              <w:rPr>
                <w:rFonts w:cs="Times New Roman"/>
                <w:szCs w:val="20"/>
              </w:rPr>
              <w:t xml:space="preserve">Decisions about </w:t>
            </w:r>
            <w:r w:rsidR="00DF50FD">
              <w:rPr>
                <w:rFonts w:cs="Times New Roman"/>
                <w:szCs w:val="20"/>
              </w:rPr>
              <w:t xml:space="preserve">the </w:t>
            </w:r>
            <w:r w:rsidR="00E970A9" w:rsidRPr="0091450A">
              <w:rPr>
                <w:rFonts w:cs="Times New Roman"/>
                <w:szCs w:val="20"/>
              </w:rPr>
              <w:t>publication of material on the web or through publications are</w:t>
            </w:r>
            <w:r w:rsidRPr="0091450A">
              <w:rPr>
                <w:rFonts w:cs="Times New Roman"/>
                <w:szCs w:val="20"/>
              </w:rPr>
              <w:t xml:space="preserve"> usually made by business unit producing that information, but there are no formal policies covering what is published (information obtained</w:t>
            </w:r>
            <w:r w:rsidR="005E2947" w:rsidRPr="0091450A">
              <w:rPr>
                <w:rFonts w:cs="Times New Roman"/>
                <w:szCs w:val="20"/>
              </w:rPr>
              <w:t xml:space="preserve"> from MoH</w:t>
            </w:r>
            <w:r w:rsidRPr="0091450A">
              <w:rPr>
                <w:rFonts w:cs="Times New Roman"/>
                <w:szCs w:val="20"/>
              </w:rPr>
              <w:t xml:space="preserve"> through official information </w:t>
            </w:r>
            <w:r w:rsidRPr="0091450A">
              <w:rPr>
                <w:rFonts w:cs="Times New Roman"/>
                <w:szCs w:val="20"/>
              </w:rPr>
              <w:lastRenderedPageBreak/>
              <w:t>request).</w:t>
            </w:r>
            <w:r w:rsidR="006543FC" w:rsidRPr="0091450A">
              <w:rPr>
                <w:rFonts w:cs="Times New Roman"/>
                <w:szCs w:val="20"/>
              </w:rPr>
              <w:t xml:space="preserve"> </w:t>
            </w:r>
            <w:r w:rsidR="005E2947" w:rsidRPr="0091450A">
              <w:rPr>
                <w:rFonts w:cs="Times New Roman"/>
                <w:szCs w:val="20"/>
              </w:rPr>
              <w:t>MPI publishes most reports on its website. In cases where reports are withheld from publication, it is because of commercial or other sensitivities.</w:t>
            </w:r>
          </w:p>
          <w:p w14:paraId="14869668" w14:textId="45897F39" w:rsidR="00DB55C1" w:rsidRPr="0091450A" w:rsidRDefault="006B3E8A" w:rsidP="002D613F">
            <w:pPr>
              <w:pStyle w:val="ListParagraph"/>
              <w:numPr>
                <w:ilvl w:val="0"/>
                <w:numId w:val="15"/>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Background documents for </w:t>
            </w:r>
            <w:r w:rsidR="00EA4AD4" w:rsidRPr="0091450A">
              <w:rPr>
                <w:rFonts w:cs="Times New Roman"/>
                <w:szCs w:val="20"/>
              </w:rPr>
              <w:t xml:space="preserve">Childhood Obesity Plan </w:t>
            </w:r>
            <w:r w:rsidR="00DB55C1" w:rsidRPr="0091450A">
              <w:rPr>
                <w:rFonts w:cs="Times New Roman"/>
                <w:szCs w:val="20"/>
              </w:rPr>
              <w:t>published including Health Reports to the Minister,  minutes of the technical advisory group meetings and a food and beverage industry forum</w:t>
            </w:r>
            <w:r w:rsidR="00695929" w:rsidRPr="0091450A">
              <w:rPr>
                <w:rFonts w:cs="Times New Roman"/>
                <w:szCs w:val="20"/>
              </w:rPr>
              <w:t xml:space="preserve"> </w:t>
            </w:r>
            <w:r w:rsidR="009E3F2E"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{"citationItems":[{"id":"ITEM-1","itemData":{"URL":"https://www.health.govt.nz/our-work/diseases-and-conditions/obesity/childhood-obesity-plan/childhood-obesity-plan-background-information","author":[{"dropping-particle":"","family":"Ministry of Health","given":"","non-dropping-particle":"","parse-names":false,"suffix":""}],"id":"ITEM-1","issue":"4/12/2016","issued":{"date-parts":[["2016"]]},"title":"Childhood obesity plan: background information ","type":"webpage"},"uris":["http://www.mendeley.com/documents/?uuid=4787275d-14e7-4d2a-bc27-eb2d346411ce","http://www.mendeley.com/documents/?uuid=c0d07df9-1f57-37a4-b6e6-9889fc63d527"]}],"mendeley":{"formattedCitation":"(177)","plainTextFormattedCitation":"(177)","previouslyFormattedCitation":"(177)"},"properties":{"noteIndex":0},"schema":"https://github.com/citation-style-language/schema/raw/master/csl-citation.json"}</w:instrText>
            </w:r>
            <w:r w:rsidR="009E3F2E" w:rsidRPr="0091450A">
              <w:rPr>
                <w:rFonts w:cs="Times New Roman"/>
                <w:szCs w:val="20"/>
              </w:rPr>
              <w:fldChar w:fldCharType="separate"/>
            </w:r>
            <w:r w:rsidR="009C4029" w:rsidRPr="009C4029">
              <w:rPr>
                <w:rFonts w:cs="Times New Roman"/>
                <w:noProof/>
                <w:szCs w:val="20"/>
              </w:rPr>
              <w:t>(177)</w:t>
            </w:r>
            <w:r w:rsidR="009E3F2E" w:rsidRPr="0091450A">
              <w:rPr>
                <w:rFonts w:cs="Times New Roman"/>
                <w:szCs w:val="20"/>
              </w:rPr>
              <w:fldChar w:fldCharType="end"/>
            </w:r>
            <w:r w:rsidR="009E3F2E" w:rsidRPr="0091450A">
              <w:rPr>
                <w:rFonts w:cs="Times New Roman"/>
                <w:szCs w:val="20"/>
              </w:rPr>
              <w:t>.</w:t>
            </w:r>
          </w:p>
          <w:p w14:paraId="458311BD" w14:textId="5178743E" w:rsidR="00815B0D" w:rsidRPr="0091450A" w:rsidRDefault="00695929" w:rsidP="002D613F">
            <w:pPr>
              <w:numPr>
                <w:ilvl w:val="0"/>
                <w:numId w:val="15"/>
              </w:numPr>
              <w:shd w:val="clear" w:color="auto" w:fill="FFFFFF" w:themeFill="background1"/>
              <w:spacing w:before="40" w:after="40"/>
              <w:ind w:left="284" w:hanging="284"/>
              <w:rPr>
                <w:rFonts w:cs="Times New Roman"/>
                <w:b/>
                <w:color w:val="17365D" w:themeColor="text2" w:themeShade="BF"/>
                <w:szCs w:val="20"/>
              </w:rPr>
            </w:pPr>
            <w:r w:rsidRPr="0091450A">
              <w:rPr>
                <w:rFonts w:cs="Times New Roman"/>
                <w:szCs w:val="20"/>
              </w:rPr>
              <w:t xml:space="preserve">NZ was ranked </w:t>
            </w:r>
            <w:r w:rsidR="00E1357B" w:rsidRPr="0091450A">
              <w:rPr>
                <w:rFonts w:cs="Times New Roman"/>
                <w:szCs w:val="20"/>
              </w:rPr>
              <w:t>7</w:t>
            </w:r>
            <w:r w:rsidR="00480978" w:rsidRPr="0091450A">
              <w:rPr>
                <w:rFonts w:cs="Times New Roman"/>
                <w:szCs w:val="20"/>
              </w:rPr>
              <w:t>th</w:t>
            </w:r>
            <w:r w:rsidR="00D11B65" w:rsidRPr="0091450A">
              <w:rPr>
                <w:rFonts w:cs="Times New Roman"/>
                <w:szCs w:val="20"/>
              </w:rPr>
              <w:t xml:space="preserve"> </w:t>
            </w:r>
            <w:r w:rsidRPr="0091450A">
              <w:rPr>
                <w:rFonts w:cs="Times New Roman"/>
                <w:szCs w:val="20"/>
              </w:rPr>
              <w:t>in the Open Data barometer in 20</w:t>
            </w:r>
            <w:r w:rsidR="00D11B65" w:rsidRPr="0091450A">
              <w:rPr>
                <w:rFonts w:cs="Times New Roman"/>
                <w:szCs w:val="20"/>
              </w:rPr>
              <w:t>17</w:t>
            </w:r>
            <w:r w:rsidR="00E1357B" w:rsidRPr="0091450A">
              <w:rPr>
                <w:rFonts w:cs="Times New Roman"/>
                <w:szCs w:val="20"/>
              </w:rPr>
              <w:t xml:space="preserve"> scoring </w:t>
            </w:r>
            <w:r w:rsidR="005623CB" w:rsidRPr="0091450A">
              <w:rPr>
                <w:rFonts w:cs="Times New Roman"/>
                <w:szCs w:val="20"/>
              </w:rPr>
              <w:t>79/100</w:t>
            </w:r>
            <w:r w:rsidR="00073911">
              <w:rPr>
                <w:rFonts w:cs="Times New Roman"/>
                <w:szCs w:val="20"/>
              </w:rPr>
              <w:t xml:space="preserve"> </w:t>
            </w:r>
            <w:r w:rsidR="00073911">
              <w:rPr>
                <w:rFonts w:cs="Times New Roman"/>
                <w:szCs w:val="20"/>
              </w:rPr>
              <w:fldChar w:fldCharType="begin" w:fldLock="1"/>
            </w:r>
            <w:r w:rsidR="00EC12A7">
              <w:rPr>
                <w:rFonts w:cs="Times New Roman"/>
                <w:szCs w:val="20"/>
              </w:rPr>
              <w:instrText>ADDIN CSL_CITATION {"citationItems":[{"id":"ITEM-1","itemData":{"author":[{"dropping-particle":"","family":"The World Wide Web Foundation","given":"","non-dropping-particle":"","parse-names":false,"suffix":""}],"id":"ITEM-1","issued":{"date-parts":[["2017"]]},"title":"Open Data Barometer Global Report - Fourth Edition","type":"report"},"uris":["http://www.mendeley.com/documents/?uuid=f89be621-b46b-3e49-828d-cd737e93d970"]}],"mendeley":{"formattedCitation":"(218)","plainTextFormattedCitation":"(218)","previouslyFormattedCitation":"(218)"},"properties":{"noteIndex":0},"schema":"https://github.com/citation-style-language/schema/raw/master/csl-citation.json"}</w:instrText>
            </w:r>
            <w:r w:rsidR="00073911">
              <w:rPr>
                <w:rFonts w:cs="Times New Roman"/>
                <w:szCs w:val="20"/>
              </w:rPr>
              <w:fldChar w:fldCharType="separate"/>
            </w:r>
            <w:r w:rsidR="009C4029" w:rsidRPr="009C4029">
              <w:rPr>
                <w:rFonts w:cs="Times New Roman"/>
                <w:noProof/>
                <w:szCs w:val="20"/>
              </w:rPr>
              <w:t>(218)</w:t>
            </w:r>
            <w:r w:rsidR="00073911">
              <w:rPr>
                <w:rFonts w:cs="Times New Roman"/>
                <w:szCs w:val="20"/>
              </w:rPr>
              <w:fldChar w:fldCharType="end"/>
            </w:r>
            <w:r w:rsidR="00956C49" w:rsidRPr="0091450A">
              <w:rPr>
                <w:rFonts w:cs="Times New Roman"/>
                <w:szCs w:val="20"/>
              </w:rPr>
              <w:t>.</w:t>
            </w:r>
            <w:r w:rsidR="00930D3E">
              <w:rPr>
                <w:rFonts w:cs="Times New Roman"/>
                <w:szCs w:val="20"/>
              </w:rPr>
              <w:t xml:space="preserve"> NZ was ranked 6</w:t>
            </w:r>
            <w:r w:rsidR="00930D3E" w:rsidRPr="00930D3E">
              <w:rPr>
                <w:rFonts w:cs="Times New Roman"/>
                <w:szCs w:val="20"/>
                <w:vertAlign w:val="superscript"/>
              </w:rPr>
              <w:t>th</w:t>
            </w:r>
            <w:r w:rsidR="00930D3E">
              <w:rPr>
                <w:rFonts w:cs="Times New Roman"/>
                <w:szCs w:val="20"/>
              </w:rPr>
              <w:t xml:space="preserve"> in 2015.</w:t>
            </w:r>
          </w:p>
          <w:p w14:paraId="5FC802AA" w14:textId="1F7A5A35"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7FD0464D" w14:textId="7ED78FAA" w:rsidR="00D25895" w:rsidRPr="0091450A" w:rsidRDefault="00D25895" w:rsidP="002D613F">
            <w:pPr>
              <w:pStyle w:val="ListParagraph"/>
              <w:keepNext/>
              <w:numPr>
                <w:ilvl w:val="0"/>
                <w:numId w:val="77"/>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Australia/New Zealand</w:t>
            </w:r>
            <w:r w:rsidRPr="0091450A">
              <w:rPr>
                <w:rFonts w:eastAsia="Times New Roman" w:cs="Times New Roman"/>
                <w:szCs w:val="20"/>
                <w:lang w:eastAsia="en-NZ"/>
              </w:rPr>
              <w:t>: The Freedom of Information Act provides a legally enforceable right of the public to access documents of government departments and most agencies.</w:t>
            </w:r>
          </w:p>
        </w:tc>
      </w:tr>
    </w:tbl>
    <w:p w14:paraId="77061D7F" w14:textId="672BD8AE" w:rsidR="000C5673" w:rsidRPr="0091450A" w:rsidRDefault="000C5673" w:rsidP="002D613F">
      <w:pPr>
        <w:spacing w:after="0" w:line="240" w:lineRule="auto"/>
      </w:pPr>
    </w:p>
    <w:tbl>
      <w:tblPr>
        <w:tblStyle w:val="TableGrid"/>
        <w:tblW w:w="9209" w:type="dxa"/>
        <w:tblLook w:val="04A0" w:firstRow="1" w:lastRow="0" w:firstColumn="1" w:lastColumn="0" w:noHBand="0" w:noVBand="1"/>
      </w:tblPr>
      <w:tblGrid>
        <w:gridCol w:w="9209"/>
      </w:tblGrid>
      <w:tr w:rsidR="00E61848" w:rsidRPr="0091450A" w14:paraId="0A999387" w14:textId="77777777" w:rsidTr="005551B6">
        <w:tc>
          <w:tcPr>
            <w:tcW w:w="9209" w:type="dxa"/>
          </w:tcPr>
          <w:p w14:paraId="34786A7A" w14:textId="18246880" w:rsidR="00E61848" w:rsidRPr="0091450A" w:rsidRDefault="007A5E04" w:rsidP="002D613F">
            <w:pPr>
              <w:spacing w:before="40" w:after="40"/>
              <w:rPr>
                <w:rFonts w:cs="Times New Roman"/>
                <w:b/>
                <w:color w:val="1F497D" w:themeColor="text2"/>
                <w:sz w:val="28"/>
                <w:szCs w:val="28"/>
              </w:rPr>
            </w:pPr>
            <w:bookmarkStart w:id="57" w:name="_Toc31623755"/>
            <w:r w:rsidRPr="0091450A">
              <w:rPr>
                <w:rStyle w:val="Heading2Char"/>
              </w:rPr>
              <w:t>10 MONITORING AND INTELLIGENCE</w:t>
            </w:r>
            <w:bookmarkEnd w:id="57"/>
            <w:r w:rsidRPr="0091450A">
              <w:rPr>
                <w:rFonts w:cs="Times New Roman"/>
                <w:b/>
                <w:color w:val="1F497D" w:themeColor="text2"/>
                <w:sz w:val="28"/>
                <w:szCs w:val="28"/>
              </w:rPr>
              <w:t xml:space="preserve">: </w:t>
            </w:r>
            <w:r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5C4790">
              <w:rPr>
                <w:rFonts w:cs="Times New Roman"/>
                <w:szCs w:val="20"/>
              </w:rPr>
              <w:t>-</w:t>
            </w:r>
            <w:r w:rsidR="00C76DA0" w:rsidRPr="0091450A">
              <w:rPr>
                <w:rFonts w:cs="Times New Roman"/>
                <w:szCs w:val="20"/>
              </w:rPr>
              <w:t>related</w:t>
            </w:r>
            <w:r w:rsidRPr="0091450A">
              <w:rPr>
                <w:rFonts w:cs="Times New Roman"/>
                <w:szCs w:val="20"/>
              </w:rPr>
              <w:t xml:space="preserve"> NCDs and their inequalities, and to measure progress on achieving the goals of nutrition and health plans</w:t>
            </w:r>
            <w:r w:rsidR="00B84E85" w:rsidRPr="0091450A">
              <w:rPr>
                <w:rFonts w:cs="Times New Roman"/>
                <w:szCs w:val="20"/>
              </w:rPr>
              <w:t>.</w:t>
            </w:r>
          </w:p>
        </w:tc>
      </w:tr>
      <w:tr w:rsidR="00E61848" w:rsidRPr="0091450A" w14:paraId="3D2FE257" w14:textId="77777777" w:rsidTr="005551B6">
        <w:tc>
          <w:tcPr>
            <w:tcW w:w="9209" w:type="dxa"/>
          </w:tcPr>
          <w:p w14:paraId="40BD6747" w14:textId="15DF325A" w:rsidR="00E61848" w:rsidRPr="0091450A" w:rsidRDefault="007A5E04" w:rsidP="002D613F">
            <w:pPr>
              <w:spacing w:before="40" w:after="40"/>
              <w:rPr>
                <w:rFonts w:cs="Times New Roman"/>
                <w:b/>
                <w:color w:val="1F497D" w:themeColor="text2"/>
                <w:sz w:val="28"/>
                <w:szCs w:val="28"/>
              </w:rPr>
            </w:pPr>
            <w:bookmarkStart w:id="58" w:name="_Toc31623756"/>
            <w:r w:rsidRPr="0091450A">
              <w:rPr>
                <w:rStyle w:val="Heading3Char"/>
              </w:rPr>
              <w:t>MONIT1</w:t>
            </w:r>
            <w:bookmarkEnd w:id="58"/>
            <w:r w:rsidR="00E61848" w:rsidRPr="0091450A">
              <w:rPr>
                <w:rFonts w:cs="Times New Roman"/>
                <w:b/>
                <w:color w:val="1F497D" w:themeColor="text2"/>
                <w:sz w:val="28"/>
                <w:szCs w:val="28"/>
              </w:rPr>
              <w:t xml:space="preserve">: </w:t>
            </w:r>
            <w:r w:rsidR="00E61848" w:rsidRPr="0091450A">
              <w:rPr>
                <w:rFonts w:cs="Times New Roman"/>
                <w:b/>
                <w:color w:val="000000"/>
                <w:szCs w:val="20"/>
                <w:lang w:eastAsia="en-NZ"/>
              </w:rPr>
              <w:t xml:space="preserve">Monitoring systems, implemented by the government, are in place to regularly </w:t>
            </w:r>
            <w:r w:rsidRPr="0091450A">
              <w:rPr>
                <w:rFonts w:cs="Times New Roman"/>
                <w:b/>
                <w:color w:val="000000"/>
                <w:szCs w:val="20"/>
                <w:lang w:eastAsia="en-NZ"/>
              </w:rPr>
              <w:t xml:space="preserve">monitor food environments </w:t>
            </w:r>
            <w:r w:rsidR="001B3206" w:rsidRPr="0091450A">
              <w:rPr>
                <w:rFonts w:cs="Times New Roman"/>
                <w:b/>
              </w:rPr>
              <w:t>(especially for food composition for nutrients of concern, food promotion to children, and nutritional quality of food in schools and other public sector settings)</w:t>
            </w:r>
            <w:r w:rsidRPr="0091450A">
              <w:rPr>
                <w:rFonts w:cs="Times New Roman"/>
                <w:b/>
                <w:color w:val="000000"/>
                <w:szCs w:val="20"/>
                <w:lang w:eastAsia="en-NZ"/>
              </w:rPr>
              <w:t xml:space="preserve">, </w:t>
            </w:r>
            <w:r w:rsidR="004A7CD3" w:rsidRPr="0091450A">
              <w:rPr>
                <w:rFonts w:cs="Times New Roman"/>
                <w:b/>
                <w:color w:val="000000"/>
                <w:szCs w:val="20"/>
                <w:lang w:eastAsia="en-NZ"/>
              </w:rPr>
              <w:t>against codes/</w:t>
            </w:r>
            <w:r w:rsidR="00E61848" w:rsidRPr="0091450A">
              <w:rPr>
                <w:rFonts w:cs="Times New Roman"/>
                <w:b/>
                <w:color w:val="000000"/>
                <w:szCs w:val="20"/>
                <w:lang w:eastAsia="en-NZ"/>
              </w:rPr>
              <w:t>guidelines/standards/targets.</w:t>
            </w:r>
          </w:p>
        </w:tc>
      </w:tr>
      <w:tr w:rsidR="00E61848" w:rsidRPr="0091450A" w14:paraId="2EAE025F" w14:textId="77777777" w:rsidTr="005551B6">
        <w:tc>
          <w:tcPr>
            <w:tcW w:w="9209" w:type="dxa"/>
          </w:tcPr>
          <w:p w14:paraId="7456DF59" w14:textId="5DFD2EE8"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AF50F41" w14:textId="77777777" w:rsidR="00A27C87" w:rsidRPr="0091450A" w:rsidRDefault="00A27C87" w:rsidP="002D613F">
            <w:pPr>
              <w:pStyle w:val="Subtitle"/>
            </w:pPr>
            <w:r w:rsidRPr="0091450A">
              <w:t>Food composition</w:t>
            </w:r>
          </w:p>
          <w:p w14:paraId="01C45059" w14:textId="57EEFFBB" w:rsidR="006D253E" w:rsidRPr="008A7CD5" w:rsidRDefault="006E5A52" w:rsidP="0099332A">
            <w:pPr>
              <w:pStyle w:val="ListParagraph"/>
              <w:numPr>
                <w:ilvl w:val="0"/>
                <w:numId w:val="77"/>
              </w:numPr>
              <w:shd w:val="clear" w:color="auto" w:fill="FFFFFF" w:themeFill="background1"/>
              <w:spacing w:before="40" w:after="40"/>
              <w:rPr>
                <w:rFonts w:cs="Times New Roman"/>
                <w:szCs w:val="20"/>
              </w:rPr>
            </w:pPr>
            <w:r w:rsidRPr="008A7CD5">
              <w:rPr>
                <w:rFonts w:cs="Times New Roman"/>
                <w:szCs w:val="20"/>
              </w:rPr>
              <w:t xml:space="preserve">The NZ Total Diet Survey is conducted approximately every </w:t>
            </w:r>
            <w:r w:rsidRPr="008A7CD5">
              <w:rPr>
                <w:rFonts w:cs="Times New Roman"/>
                <w:color w:val="000000"/>
                <w:szCs w:val="20"/>
                <w:lang w:eastAsia="en-NZ"/>
              </w:rPr>
              <w:t>five years and</w:t>
            </w:r>
            <w:r w:rsidRPr="008A7CD5">
              <w:rPr>
                <w:rFonts w:cs="Times New Roman"/>
                <w:color w:val="1F497D"/>
                <w:szCs w:val="20"/>
              </w:rPr>
              <w:t xml:space="preserve"> </w:t>
            </w:r>
            <w:r w:rsidRPr="008A7CD5">
              <w:rPr>
                <w:rFonts w:cs="Times New Roman"/>
                <w:color w:val="000000"/>
                <w:szCs w:val="20"/>
                <w:lang w:eastAsia="en-NZ"/>
              </w:rPr>
              <w:t xml:space="preserve">monitors concentration levels in foods and dietary intake of contaminants and some key elements (including sodium) from a simulated NZ diet for key population groups. </w:t>
            </w:r>
            <w:r w:rsidR="00866BEC" w:rsidRPr="008A7CD5">
              <w:rPr>
                <w:rFonts w:cs="Times New Roman"/>
                <w:szCs w:val="20"/>
              </w:rPr>
              <w:t>MPI undert</w:t>
            </w:r>
            <w:r w:rsidR="002F2B23" w:rsidRPr="008A7CD5">
              <w:rPr>
                <w:rFonts w:cs="Times New Roman"/>
                <w:szCs w:val="20"/>
              </w:rPr>
              <w:t>ook</w:t>
            </w:r>
            <w:r w:rsidR="00866BEC" w:rsidRPr="008A7CD5">
              <w:rPr>
                <w:rFonts w:cs="Times New Roman"/>
                <w:szCs w:val="20"/>
              </w:rPr>
              <w:t xml:space="preserve"> a New Zealand Total Diet Study (NZTDS) in 201</w:t>
            </w:r>
            <w:r w:rsidR="002223C4" w:rsidRPr="008A7CD5">
              <w:rPr>
                <w:rFonts w:cs="Times New Roman"/>
                <w:szCs w:val="20"/>
              </w:rPr>
              <w:t xml:space="preserve">6 with the final reports released in May 2018 </w:t>
            </w:r>
            <w:r w:rsidR="007A4362" w:rsidRPr="008A7CD5">
              <w:rPr>
                <w:rFonts w:cs="Times New Roman"/>
                <w:szCs w:val="20"/>
              </w:rPr>
              <w:fldChar w:fldCharType="begin" w:fldLock="1"/>
            </w:r>
            <w:r w:rsidR="00EC12A7" w:rsidRPr="008A7CD5">
              <w:rPr>
                <w:rFonts w:cs="Times New Roman"/>
                <w:szCs w:val="20"/>
              </w:rPr>
              <w:instrText>ADDIN CSL_CITATION {"citationItems":[{"id":"ITEM-1","itemData":{"URL":"https://www.mpi.govt.nz/food-safety/food-monitoring-and-surveillance/new-zealand-total-diet-study/","accessed":{"date-parts":[["2020","1","17"]]},"author":[{"dropping-particle":"","family":"New Zealand Food Safety","given":"","non-dropping-particle":"","parse-names":false,"suffix":""}],"id":"ITEM-1","issued":{"date-parts":[["2019"]]},"title":"New Zealand Total Diet Study | NZ Food Safety | NZ Government","type":"webpage"},"uris":["http://www.mendeley.com/documents/?uuid=659d76ff-a638-3f98-a53b-1ccff79d6070","http://www.mendeley.com/documents/?uuid=ce3bf3e9-a463-428e-a914-fc5d190254f3"]}],"mendeley":{"formattedCitation":"(219)","plainTextFormattedCitation":"(219)","previouslyFormattedCitation":"(219)"},"properties":{"noteIndex":0},"schema":"https://github.com/citation-style-language/schema/raw/master/csl-citation.json"}</w:instrText>
            </w:r>
            <w:r w:rsidR="007A4362" w:rsidRPr="008A7CD5">
              <w:rPr>
                <w:rFonts w:cs="Times New Roman"/>
                <w:szCs w:val="20"/>
              </w:rPr>
              <w:fldChar w:fldCharType="separate"/>
            </w:r>
            <w:r w:rsidR="009C4029" w:rsidRPr="008A7CD5">
              <w:rPr>
                <w:rFonts w:cs="Times New Roman"/>
                <w:noProof/>
                <w:szCs w:val="20"/>
              </w:rPr>
              <w:t>(219)</w:t>
            </w:r>
            <w:r w:rsidR="007A4362" w:rsidRPr="008A7CD5">
              <w:rPr>
                <w:rFonts w:cs="Times New Roman"/>
                <w:szCs w:val="20"/>
              </w:rPr>
              <w:fldChar w:fldCharType="end"/>
            </w:r>
            <w:r w:rsidR="00FD3D06" w:rsidRPr="008A7CD5">
              <w:rPr>
                <w:rFonts w:cs="Times New Roman"/>
                <w:szCs w:val="20"/>
              </w:rPr>
              <w:t>.</w:t>
            </w:r>
            <w:r w:rsidR="00866BEC" w:rsidRPr="008A7CD5">
              <w:rPr>
                <w:rFonts w:cs="Times New Roman"/>
                <w:szCs w:val="20"/>
              </w:rPr>
              <w:t xml:space="preserve"> </w:t>
            </w:r>
            <w:r w:rsidR="00DE7F5A" w:rsidRPr="008A7CD5">
              <w:rPr>
                <w:rFonts w:cs="Times New Roman"/>
                <w:szCs w:val="20"/>
                <w:lang w:eastAsia="en-NZ"/>
              </w:rPr>
              <w:t xml:space="preserve">The </w:t>
            </w:r>
            <w:r w:rsidR="00905153" w:rsidRPr="008A7CD5">
              <w:rPr>
                <w:rFonts w:cs="Times New Roman"/>
                <w:szCs w:val="20"/>
                <w:lang w:eastAsia="en-NZ"/>
              </w:rPr>
              <w:t>2016 NZTDS</w:t>
            </w:r>
            <w:r w:rsidR="00DE7F5A" w:rsidRPr="008A7CD5">
              <w:rPr>
                <w:rFonts w:cs="Times New Roman"/>
                <w:szCs w:val="20"/>
                <w:lang w:eastAsia="en-NZ"/>
              </w:rPr>
              <w:t xml:space="preserve"> was undertaken with a </w:t>
            </w:r>
            <w:r w:rsidR="00905153" w:rsidRPr="008A7CD5">
              <w:rPr>
                <w:rFonts w:cs="Times New Roman"/>
                <w:szCs w:val="20"/>
                <w:lang w:eastAsia="en-NZ"/>
              </w:rPr>
              <w:t>proposal consultation paper r</w:t>
            </w:r>
            <w:r w:rsidR="00DE7F5A" w:rsidRPr="008A7CD5">
              <w:rPr>
                <w:rFonts w:cs="Times New Roman"/>
                <w:szCs w:val="20"/>
                <w:lang w:eastAsia="en-NZ"/>
              </w:rPr>
              <w:t>eleased for public consultation</w:t>
            </w:r>
            <w:r w:rsidR="00905153" w:rsidRPr="008A7CD5">
              <w:rPr>
                <w:rFonts w:cs="Times New Roman"/>
                <w:szCs w:val="20"/>
                <w:lang w:eastAsia="en-NZ"/>
              </w:rPr>
              <w:t xml:space="preserve">. </w:t>
            </w:r>
            <w:r w:rsidRPr="008A7CD5">
              <w:rPr>
                <w:rFonts w:cs="Times New Roman"/>
                <w:szCs w:val="20"/>
                <w:lang w:eastAsia="en-NZ"/>
              </w:rPr>
              <w:t>F</w:t>
            </w:r>
            <w:r w:rsidR="00905153" w:rsidRPr="008A7CD5">
              <w:rPr>
                <w:rFonts w:cs="Times New Roman"/>
                <w:szCs w:val="20"/>
                <w:lang w:eastAsia="en-NZ"/>
              </w:rPr>
              <w:t xml:space="preserve">eedback </w:t>
            </w:r>
            <w:r w:rsidRPr="008A7CD5">
              <w:rPr>
                <w:rFonts w:cs="Times New Roman"/>
                <w:szCs w:val="20"/>
                <w:lang w:eastAsia="en-NZ"/>
              </w:rPr>
              <w:t xml:space="preserve">was sought </w:t>
            </w:r>
            <w:r w:rsidR="00905153" w:rsidRPr="008A7CD5">
              <w:rPr>
                <w:rFonts w:cs="Times New Roman"/>
                <w:szCs w:val="20"/>
                <w:lang w:eastAsia="en-NZ"/>
              </w:rPr>
              <w:t>on whether</w:t>
            </w:r>
            <w:r w:rsidRPr="008A7CD5">
              <w:rPr>
                <w:rFonts w:cs="Times New Roman"/>
                <w:szCs w:val="20"/>
                <w:lang w:eastAsia="en-NZ"/>
              </w:rPr>
              <w:t xml:space="preserve"> the</w:t>
            </w:r>
            <w:r w:rsidR="00905153" w:rsidRPr="008A7CD5">
              <w:rPr>
                <w:rFonts w:cs="Times New Roman"/>
                <w:szCs w:val="20"/>
                <w:lang w:eastAsia="en-NZ"/>
              </w:rPr>
              <w:t xml:space="preserve"> list of chemicals proposed is </w:t>
            </w:r>
            <w:r w:rsidR="00C1628D" w:rsidRPr="008A7CD5">
              <w:rPr>
                <w:rFonts w:cs="Times New Roman"/>
                <w:szCs w:val="20"/>
                <w:lang w:eastAsia="en-NZ"/>
              </w:rPr>
              <w:t>enough</w:t>
            </w:r>
            <w:r w:rsidR="00905153" w:rsidRPr="008A7CD5">
              <w:rPr>
                <w:rFonts w:cs="Times New Roman"/>
                <w:szCs w:val="20"/>
                <w:lang w:eastAsia="en-NZ"/>
              </w:rPr>
              <w:t xml:space="preserve">, changes to the key foods list, any population groups missing, </w:t>
            </w:r>
            <w:r w:rsidR="0078796B" w:rsidRPr="008A7CD5">
              <w:rPr>
                <w:rFonts w:cs="Times New Roman"/>
                <w:szCs w:val="20"/>
                <w:lang w:eastAsia="en-NZ"/>
              </w:rPr>
              <w:t>and any</w:t>
            </w:r>
            <w:r w:rsidR="00905153" w:rsidRPr="008A7CD5">
              <w:rPr>
                <w:rFonts w:cs="Times New Roman"/>
                <w:szCs w:val="20"/>
                <w:lang w:eastAsia="en-NZ"/>
              </w:rPr>
              <w:t xml:space="preserve"> new data on NZ infants, children and adolescents</w:t>
            </w:r>
            <w:r w:rsidR="006B3E8A" w:rsidRPr="008A7CD5">
              <w:rPr>
                <w:rFonts w:cs="Times New Roman"/>
                <w:szCs w:val="20"/>
                <w:lang w:eastAsia="en-NZ"/>
              </w:rPr>
              <w:t xml:space="preserve">. </w:t>
            </w:r>
            <w:r w:rsidR="00A53001" w:rsidRPr="008A7CD5">
              <w:rPr>
                <w:rFonts w:cs="Times New Roman"/>
                <w:szCs w:val="20"/>
                <w:lang w:eastAsia="en-NZ"/>
              </w:rPr>
              <w:t>Because of</w:t>
            </w:r>
            <w:r w:rsidR="00905153" w:rsidRPr="008A7CD5">
              <w:rPr>
                <w:rFonts w:cs="Times New Roman"/>
                <w:szCs w:val="20"/>
                <w:lang w:eastAsia="en-NZ"/>
              </w:rPr>
              <w:t xml:space="preserve"> the submissions, a simulated diet for Pacific people </w:t>
            </w:r>
            <w:r w:rsidR="00C704FE" w:rsidRPr="008A7CD5">
              <w:rPr>
                <w:rFonts w:cs="Times New Roman"/>
                <w:szCs w:val="20"/>
                <w:lang w:eastAsia="en-NZ"/>
              </w:rPr>
              <w:t>was</w:t>
            </w:r>
            <w:r w:rsidR="00905153" w:rsidRPr="008A7CD5">
              <w:rPr>
                <w:rFonts w:cs="Times New Roman"/>
                <w:szCs w:val="20"/>
                <w:lang w:eastAsia="en-NZ"/>
              </w:rPr>
              <w:t xml:space="preserve"> included.</w:t>
            </w:r>
            <w:r w:rsidR="00DE7F5A" w:rsidRPr="008A7CD5">
              <w:rPr>
                <w:rFonts w:cs="Times New Roman"/>
                <w:szCs w:val="20"/>
                <w:lang w:eastAsia="en-NZ"/>
              </w:rPr>
              <w:t xml:space="preserve"> </w:t>
            </w:r>
            <w:r w:rsidR="005C4790" w:rsidRPr="008A7CD5">
              <w:rPr>
                <w:rFonts w:cs="Times New Roman"/>
                <w:szCs w:val="20"/>
                <w:lang w:eastAsia="en-NZ"/>
              </w:rPr>
              <w:t>A s</w:t>
            </w:r>
            <w:r w:rsidR="00866BEC" w:rsidRPr="008A7CD5">
              <w:rPr>
                <w:rFonts w:cs="Times New Roman"/>
                <w:szCs w:val="20"/>
              </w:rPr>
              <w:t xml:space="preserve">ampling of 132 key foods over four quarters was undertaken throughout 2016, and laboratory results are available on the MPI website. </w:t>
            </w:r>
            <w:r w:rsidR="003453A3" w:rsidRPr="008A7CD5">
              <w:rPr>
                <w:rFonts w:cs="Times New Roman"/>
                <w:szCs w:val="20"/>
              </w:rPr>
              <w:t xml:space="preserve">This includes sampling 132 foods for sodium content and conducting a dietary exposure assessment of sodium for </w:t>
            </w:r>
            <w:r w:rsidR="00A53001" w:rsidRPr="008A7CD5">
              <w:rPr>
                <w:rFonts w:cs="Times New Roman"/>
                <w:szCs w:val="20"/>
              </w:rPr>
              <w:t>several</w:t>
            </w:r>
            <w:r w:rsidR="00255302" w:rsidRPr="008A7CD5">
              <w:rPr>
                <w:rFonts w:cs="Times New Roman"/>
                <w:szCs w:val="20"/>
              </w:rPr>
              <w:t xml:space="preserve"> population sub-groups</w:t>
            </w:r>
            <w:r w:rsidR="00855A9C" w:rsidRPr="008A7CD5">
              <w:rPr>
                <w:rFonts w:cs="Times New Roman"/>
                <w:szCs w:val="20"/>
              </w:rPr>
              <w:t xml:space="preserve">. </w:t>
            </w:r>
            <w:r w:rsidR="008A7CD5" w:rsidRPr="008A7CD5">
              <w:rPr>
                <w:rFonts w:cs="Times New Roman"/>
                <w:szCs w:val="20"/>
              </w:rPr>
              <w:t>The modelled s</w:t>
            </w:r>
            <w:r w:rsidR="00855A9C" w:rsidRPr="008A7CD5">
              <w:rPr>
                <w:rFonts w:cs="Times New Roman"/>
                <w:szCs w:val="20"/>
              </w:rPr>
              <w:t xml:space="preserve">odium intake in diets has not changed since the 2009 </w:t>
            </w:r>
            <w:r w:rsidR="008A7CD5" w:rsidRPr="008A7CD5">
              <w:rPr>
                <w:rFonts w:cs="Times New Roman"/>
                <w:szCs w:val="20"/>
              </w:rPr>
              <w:t>NZTDS</w:t>
            </w:r>
            <w:r w:rsidR="00855A9C" w:rsidRPr="008A7CD5">
              <w:rPr>
                <w:rFonts w:cs="Times New Roman"/>
                <w:szCs w:val="20"/>
              </w:rPr>
              <w:t xml:space="preserve">. The food supply has sufficient iodine since the fortification of bread with iodised salt. </w:t>
            </w:r>
            <w:r w:rsidR="00855A9C" w:rsidRPr="008A7CD5">
              <w:rPr>
                <w:rFonts w:cs="Times New Roman"/>
                <w:szCs w:val="20"/>
                <w:lang w:eastAsia="en-NZ"/>
              </w:rPr>
              <w:t xml:space="preserve">The 2016 NZTDS found a high level of safety </w:t>
            </w:r>
            <w:r w:rsidR="0091450A" w:rsidRPr="008A7CD5">
              <w:rPr>
                <w:rFonts w:cs="Times New Roman"/>
                <w:szCs w:val="20"/>
                <w:lang w:eastAsia="en-NZ"/>
              </w:rPr>
              <w:t>regarding</w:t>
            </w:r>
            <w:r w:rsidR="00855A9C" w:rsidRPr="008A7CD5">
              <w:rPr>
                <w:rFonts w:cs="Times New Roman"/>
                <w:szCs w:val="20"/>
                <w:lang w:eastAsia="en-NZ"/>
              </w:rPr>
              <w:t xml:space="preserve"> chemical hazards that may be present in the food supply and exposure to agricultural chemicals and contaminants from food remains low</w:t>
            </w:r>
            <w:r w:rsidR="003453A3" w:rsidRPr="008A7CD5">
              <w:rPr>
                <w:rFonts w:cs="Times New Roman"/>
                <w:szCs w:val="20"/>
              </w:rPr>
              <w:t xml:space="preserve"> (personal </w:t>
            </w:r>
            <w:r w:rsidR="00D80166" w:rsidRPr="008A7CD5">
              <w:rPr>
                <w:rFonts w:cs="Times New Roman"/>
                <w:szCs w:val="20"/>
              </w:rPr>
              <w:t xml:space="preserve">communication, MPI, </w:t>
            </w:r>
            <w:r w:rsidR="003453A3" w:rsidRPr="008A7CD5">
              <w:rPr>
                <w:rFonts w:cs="Times New Roman"/>
                <w:szCs w:val="20"/>
              </w:rPr>
              <w:t>2</w:t>
            </w:r>
            <w:r w:rsidR="00855A9C" w:rsidRPr="008A7CD5">
              <w:rPr>
                <w:rFonts w:cs="Times New Roman"/>
                <w:szCs w:val="20"/>
              </w:rPr>
              <w:t>020</w:t>
            </w:r>
            <w:r w:rsidR="003453A3" w:rsidRPr="008A7CD5">
              <w:rPr>
                <w:rFonts w:cs="Times New Roman"/>
                <w:szCs w:val="20"/>
              </w:rPr>
              <w:t xml:space="preserve">). </w:t>
            </w:r>
          </w:p>
          <w:p w14:paraId="3697997E" w14:textId="06D58D91" w:rsidR="0099332A" w:rsidRPr="008A7CD5" w:rsidRDefault="0099332A" w:rsidP="002D613F">
            <w:pPr>
              <w:pStyle w:val="ListParagraph"/>
              <w:numPr>
                <w:ilvl w:val="0"/>
                <w:numId w:val="2"/>
              </w:numPr>
              <w:shd w:val="clear" w:color="auto" w:fill="FFFFFF" w:themeFill="background1"/>
              <w:spacing w:before="40" w:after="40"/>
              <w:ind w:left="284" w:hanging="284"/>
              <w:contextualSpacing w:val="0"/>
              <w:rPr>
                <w:rFonts w:cs="Times New Roman"/>
                <w:szCs w:val="20"/>
              </w:rPr>
            </w:pPr>
            <w:r w:rsidRPr="008A7CD5">
              <w:rPr>
                <w:rFonts w:cs="Times New Roman"/>
                <w:color w:val="000000"/>
                <w:szCs w:val="20"/>
                <w:lang w:eastAsia="en-NZ"/>
              </w:rPr>
              <w:t xml:space="preserve">In 2017 FSANZ and the Ministry for Primary Industries completed an evaluation of </w:t>
            </w:r>
            <w:r w:rsidRPr="008A7CD5">
              <w:rPr>
                <w:rFonts w:cs="Times New Roman"/>
                <w:i/>
                <w:color w:val="000000"/>
                <w:szCs w:val="20"/>
                <w:lang w:eastAsia="en-NZ"/>
              </w:rPr>
              <w:t>trans</w:t>
            </w:r>
            <w:r w:rsidRPr="008A7CD5">
              <w:rPr>
                <w:rFonts w:cs="Times New Roman"/>
                <w:color w:val="000000"/>
                <w:szCs w:val="20"/>
                <w:lang w:eastAsia="en-NZ"/>
              </w:rPr>
              <w:t xml:space="preserve">-fats in imported oils. It was found there has been a significant decline in the importation of vegetable fats and oils that could potentially include </w:t>
            </w:r>
            <w:r w:rsidRPr="008A7CD5">
              <w:rPr>
                <w:rFonts w:cs="Times New Roman"/>
                <w:i/>
                <w:color w:val="000000"/>
                <w:szCs w:val="20"/>
                <w:lang w:eastAsia="en-NZ"/>
              </w:rPr>
              <w:t>trans</w:t>
            </w:r>
            <w:r w:rsidRPr="008A7CD5">
              <w:rPr>
                <w:rFonts w:cs="Times New Roman"/>
                <w:color w:val="000000"/>
                <w:szCs w:val="20"/>
                <w:lang w:eastAsia="en-NZ"/>
              </w:rPr>
              <w:t>-fats</w:t>
            </w:r>
            <w:r w:rsidR="00D52517" w:rsidRPr="008A7CD5">
              <w:rPr>
                <w:rFonts w:cs="Times New Roman"/>
                <w:color w:val="000000"/>
                <w:szCs w:val="20"/>
                <w:lang w:eastAsia="en-NZ"/>
              </w:rPr>
              <w:t xml:space="preserve"> </w:t>
            </w:r>
            <w:r w:rsidR="00D52517" w:rsidRPr="008A7CD5">
              <w:rPr>
                <w:rFonts w:cs="Times New Roman"/>
                <w:color w:val="000000"/>
                <w:szCs w:val="20"/>
                <w:lang w:eastAsia="en-NZ"/>
              </w:rPr>
              <w:fldChar w:fldCharType="begin" w:fldLock="1"/>
            </w:r>
            <w:r w:rsidR="00EC12A7" w:rsidRPr="008A7CD5">
              <w:rPr>
                <w:rFonts w:cs="Times New Roman"/>
                <w:color w:val="000000"/>
                <w:szCs w:val="20"/>
                <w:lang w:eastAsia="en-NZ"/>
              </w:rPr>
              <w:instrText>ADDIN CSL_CITATION {"citationItems":[{"id":"ITEM-1","itemData":{"URL":"https://www.foodstandards.gov.au/science/monitoringnutrients/Pages/Monitoring-of-trans-fatty-acids.aspx","accessed":{"date-parts":[["2020","2","7"]]},"author":[{"dropping-particle":"","family":"Food Standards Australia New Zealand","given":"","non-dropping-particle":"","parse-names":false,"suffix":""}],"id":"ITEM-1","issued":{"date-parts":[["2017"]]},"title":"Monitoring of trans fatty acids","type":"webpage"},"uris":["http://www.mendeley.com/documents/?uuid=7347fa85-7bb5-3871-89d7-34e5450a3f88"]}],"mendeley":{"formattedCitation":"(220)","plainTextFormattedCitation":"(220)","previouslyFormattedCitation":"(220)"},"properties":{"noteIndex":0},"schema":"https://github.com/citation-style-language/schema/raw/master/csl-citation.json"}</w:instrText>
            </w:r>
            <w:r w:rsidR="00D52517" w:rsidRPr="008A7CD5">
              <w:rPr>
                <w:rFonts w:cs="Times New Roman"/>
                <w:color w:val="000000"/>
                <w:szCs w:val="20"/>
                <w:lang w:eastAsia="en-NZ"/>
              </w:rPr>
              <w:fldChar w:fldCharType="separate"/>
            </w:r>
            <w:r w:rsidR="009C4029" w:rsidRPr="008A7CD5">
              <w:rPr>
                <w:rFonts w:cs="Times New Roman"/>
                <w:noProof/>
                <w:color w:val="000000"/>
                <w:szCs w:val="20"/>
                <w:lang w:eastAsia="en-NZ"/>
              </w:rPr>
              <w:t>(220)</w:t>
            </w:r>
            <w:r w:rsidR="00D52517" w:rsidRPr="008A7CD5">
              <w:rPr>
                <w:rFonts w:cs="Times New Roman"/>
                <w:color w:val="000000"/>
                <w:szCs w:val="20"/>
                <w:lang w:eastAsia="en-NZ"/>
              </w:rPr>
              <w:fldChar w:fldCharType="end"/>
            </w:r>
            <w:r w:rsidRPr="008A7CD5">
              <w:rPr>
                <w:rFonts w:cs="Times New Roman"/>
                <w:color w:val="000000"/>
                <w:szCs w:val="20"/>
                <w:lang w:eastAsia="en-NZ"/>
              </w:rPr>
              <w:t xml:space="preserve">. Reported levels of </w:t>
            </w:r>
            <w:r w:rsidRPr="008A7CD5">
              <w:rPr>
                <w:rFonts w:cs="Times New Roman"/>
                <w:i/>
                <w:color w:val="000000"/>
                <w:szCs w:val="20"/>
                <w:lang w:eastAsia="en-NZ"/>
              </w:rPr>
              <w:t>trans</w:t>
            </w:r>
            <w:r w:rsidRPr="008A7CD5">
              <w:rPr>
                <w:rFonts w:cs="Times New Roman"/>
                <w:color w:val="000000"/>
                <w:szCs w:val="20"/>
                <w:lang w:eastAsia="en-NZ"/>
              </w:rPr>
              <w:t xml:space="preserve">-fats from product labels and industry product specifications indicated that the levels were consistent with results from previous analytical surveys undertaken from 2006-13. The 2017 evaluation and the earlier surveys indicate that dietary intakes of </w:t>
            </w:r>
            <w:r w:rsidRPr="008A7CD5">
              <w:rPr>
                <w:rFonts w:cs="Times New Roman"/>
                <w:i/>
                <w:color w:val="000000"/>
                <w:szCs w:val="20"/>
                <w:lang w:eastAsia="en-NZ"/>
              </w:rPr>
              <w:t>trans</w:t>
            </w:r>
            <w:r w:rsidRPr="008A7CD5">
              <w:rPr>
                <w:rFonts w:cs="Times New Roman"/>
                <w:color w:val="000000"/>
                <w:szCs w:val="20"/>
                <w:lang w:eastAsia="en-NZ"/>
              </w:rPr>
              <w:t xml:space="preserve">-fats have continued to reduce overtime </w:t>
            </w:r>
            <w:r w:rsidRPr="008A7CD5">
              <w:rPr>
                <w:rFonts w:cs="Times New Roman"/>
                <w:color w:val="000000"/>
                <w:szCs w:val="20"/>
                <w:lang w:eastAsia="en-NZ"/>
              </w:rPr>
              <w:fldChar w:fldCharType="begin" w:fldLock="1"/>
            </w:r>
            <w:r w:rsidR="00EC12A7" w:rsidRPr="008A7CD5">
              <w:rPr>
                <w:rFonts w:cs="Times New Roman"/>
                <w:color w:val="000000"/>
                <w:szCs w:val="20"/>
                <w:lang w:eastAsia="en-NZ"/>
              </w:rPr>
              <w:instrText>ADDIN CSL_CITATION {"citationItems":[{"id":"ITEM-1","itemData":{"author":[{"dropping-particle":"","family":"Food Standards Australia New Zealand","given":"","non-dropping-particle":"","parse-names":false,"suffix":""}],"id":"ITEM-1","issued":{"date-parts":[["2017"]]},"title":"Assessment of Trans Fatty Acids in Imported Oils","type":"report"},"uris":["http://www.mendeley.com/documents/?uuid=c431478c-c334-34f7-be79-d4d74cb0432e","http://www.mendeley.com/documents/?uuid=4c2a2537-e54a-46bc-a975-7211e501b41c"]}],"mendeley":{"formattedCitation":"(221)","plainTextFormattedCitation":"(221)","previouslyFormattedCitation":"(221)"},"properties":{"noteIndex":0},"schema":"https://github.com/citation-style-language/schema/raw/master/csl-citation.json"}</w:instrText>
            </w:r>
            <w:r w:rsidRPr="008A7CD5">
              <w:rPr>
                <w:rFonts w:cs="Times New Roman"/>
                <w:color w:val="000000"/>
                <w:szCs w:val="20"/>
                <w:lang w:eastAsia="en-NZ"/>
              </w:rPr>
              <w:fldChar w:fldCharType="separate"/>
            </w:r>
            <w:r w:rsidR="009C4029" w:rsidRPr="008A7CD5">
              <w:rPr>
                <w:rFonts w:cs="Times New Roman"/>
                <w:noProof/>
                <w:color w:val="000000"/>
                <w:szCs w:val="20"/>
                <w:lang w:eastAsia="en-NZ"/>
              </w:rPr>
              <w:t>(221)</w:t>
            </w:r>
            <w:r w:rsidRPr="008A7CD5">
              <w:rPr>
                <w:rFonts w:cs="Times New Roman"/>
                <w:color w:val="000000"/>
                <w:szCs w:val="20"/>
                <w:lang w:eastAsia="en-NZ"/>
              </w:rPr>
              <w:fldChar w:fldCharType="end"/>
            </w:r>
            <w:r w:rsidRPr="008A7CD5">
              <w:rPr>
                <w:rFonts w:cs="Times New Roman"/>
                <w:color w:val="000000"/>
                <w:szCs w:val="20"/>
                <w:lang w:eastAsia="en-NZ"/>
              </w:rPr>
              <w:t>.</w:t>
            </w:r>
          </w:p>
          <w:p w14:paraId="272BA34C" w14:textId="5A17FDF3" w:rsidR="00E61848" w:rsidRPr="0091450A" w:rsidRDefault="00E61848" w:rsidP="002D613F">
            <w:pPr>
              <w:pStyle w:val="ListParagraph"/>
              <w:numPr>
                <w:ilvl w:val="0"/>
                <w:numId w:val="2"/>
              </w:numPr>
              <w:shd w:val="clear" w:color="auto" w:fill="FFFFFF" w:themeFill="background1"/>
              <w:spacing w:before="40" w:after="40"/>
              <w:ind w:left="284" w:hanging="284"/>
              <w:contextualSpacing w:val="0"/>
              <w:rPr>
                <w:rFonts w:cs="Times New Roman"/>
                <w:szCs w:val="20"/>
              </w:rPr>
            </w:pPr>
            <w:r w:rsidRPr="0091450A">
              <w:rPr>
                <w:rFonts w:cs="Times New Roman"/>
                <w:color w:val="000000"/>
                <w:szCs w:val="20"/>
                <w:lang w:eastAsia="en-NZ"/>
              </w:rPr>
              <w:t>The New Zealand Institute for Plant &amp; Food Research Limited and the MoH jointly own the New Zealand Food Composition Database (NZFCD) which is a</w:t>
            </w:r>
            <w:r w:rsidRPr="0091450A">
              <w:rPr>
                <w:rFonts w:cs="Times New Roman"/>
                <w:szCs w:val="20"/>
                <w:lang w:eastAsia="en-NZ"/>
              </w:rPr>
              <w:t xml:space="preserve"> comprehensive collection of nutrient data in </w:t>
            </w:r>
            <w:r w:rsidR="00EE377E" w:rsidRPr="0091450A">
              <w:rPr>
                <w:rFonts w:cs="Times New Roman"/>
                <w:szCs w:val="20"/>
                <w:lang w:eastAsia="en-NZ"/>
              </w:rPr>
              <w:t>NZ</w:t>
            </w:r>
            <w:r w:rsidRPr="0091450A">
              <w:rPr>
                <w:rFonts w:cs="Times New Roman"/>
                <w:szCs w:val="20"/>
                <w:lang w:eastAsia="en-NZ"/>
              </w:rPr>
              <w:t xml:space="preserve">. It contains nutrient information on more than 2600 foods. The nutrients sodium, fat, saturated fat, </w:t>
            </w:r>
            <w:r w:rsidRPr="0091450A">
              <w:rPr>
                <w:rFonts w:cs="Times New Roman"/>
                <w:i/>
                <w:szCs w:val="20"/>
                <w:lang w:eastAsia="en-NZ"/>
              </w:rPr>
              <w:t>trans</w:t>
            </w:r>
            <w:r w:rsidR="005C4790">
              <w:rPr>
                <w:rFonts w:cs="Times New Roman"/>
                <w:szCs w:val="20"/>
                <w:lang w:eastAsia="en-NZ"/>
              </w:rPr>
              <w:t>-</w:t>
            </w:r>
            <w:r w:rsidRPr="0091450A">
              <w:rPr>
                <w:rFonts w:cs="Times New Roman"/>
                <w:szCs w:val="20"/>
                <w:lang w:eastAsia="en-NZ"/>
              </w:rPr>
              <w:t xml:space="preserve">fatty acids, sugars and total fibre are included. Accredited laboratories in New Zealand and Australia are used to analyse these nutrients in the foods. The output products of the NZFCD are </w:t>
            </w:r>
            <w:r w:rsidR="00EE377E" w:rsidRPr="0091450A">
              <w:rPr>
                <w:rFonts w:cs="Times New Roman"/>
                <w:szCs w:val="20"/>
                <w:lang w:eastAsia="en-NZ"/>
              </w:rPr>
              <w:t>NZ</w:t>
            </w:r>
            <w:r w:rsidRPr="0091450A">
              <w:rPr>
                <w:rFonts w:cs="Times New Roman"/>
                <w:szCs w:val="20"/>
                <w:lang w:eastAsia="en-NZ"/>
              </w:rPr>
              <w:t xml:space="preserve"> </w:t>
            </w:r>
            <w:proofErr w:type="spellStart"/>
            <w:r w:rsidR="00187A7C" w:rsidRPr="0091450A">
              <w:rPr>
                <w:rFonts w:cs="Times New Roman"/>
                <w:szCs w:val="20"/>
                <w:lang w:eastAsia="en-NZ"/>
              </w:rPr>
              <w:t>FOODfiles</w:t>
            </w:r>
            <w:proofErr w:type="spellEnd"/>
            <w:r w:rsidRPr="0091450A">
              <w:rPr>
                <w:rFonts w:cs="Times New Roman"/>
                <w:szCs w:val="20"/>
                <w:lang w:eastAsia="en-NZ"/>
              </w:rPr>
              <w:t xml:space="preserve">, the </w:t>
            </w:r>
            <w:r w:rsidR="00187A7C" w:rsidRPr="0091450A">
              <w:rPr>
                <w:rFonts w:cs="Times New Roman"/>
                <w:szCs w:val="20"/>
                <w:lang w:eastAsia="en-NZ"/>
              </w:rPr>
              <w:t>C</w:t>
            </w:r>
            <w:r w:rsidRPr="0091450A">
              <w:rPr>
                <w:rFonts w:cs="Times New Roman"/>
                <w:szCs w:val="20"/>
                <w:lang w:eastAsia="en-NZ"/>
              </w:rPr>
              <w:t xml:space="preserve">oncise </w:t>
            </w:r>
            <w:r w:rsidR="00EE377E" w:rsidRPr="0091450A">
              <w:rPr>
                <w:rFonts w:cs="Times New Roman"/>
                <w:szCs w:val="20"/>
                <w:lang w:eastAsia="en-NZ"/>
              </w:rPr>
              <w:t>NZ</w:t>
            </w:r>
            <w:r w:rsidRPr="0091450A">
              <w:rPr>
                <w:rFonts w:cs="Times New Roman"/>
                <w:szCs w:val="20"/>
                <w:lang w:eastAsia="en-NZ"/>
              </w:rPr>
              <w:t xml:space="preserve"> </w:t>
            </w:r>
            <w:r w:rsidR="00187A7C" w:rsidRPr="0091450A">
              <w:rPr>
                <w:rFonts w:cs="Times New Roman"/>
                <w:szCs w:val="20"/>
                <w:lang w:eastAsia="en-NZ"/>
              </w:rPr>
              <w:t>F</w:t>
            </w:r>
            <w:r w:rsidRPr="0091450A">
              <w:rPr>
                <w:rFonts w:cs="Times New Roman"/>
                <w:szCs w:val="20"/>
                <w:lang w:eastAsia="en-NZ"/>
              </w:rPr>
              <w:t xml:space="preserve">ood </w:t>
            </w:r>
            <w:r w:rsidR="00187A7C" w:rsidRPr="0091450A">
              <w:rPr>
                <w:rFonts w:cs="Times New Roman"/>
                <w:szCs w:val="20"/>
                <w:lang w:eastAsia="en-NZ"/>
              </w:rPr>
              <w:t>C</w:t>
            </w:r>
            <w:r w:rsidRPr="0091450A">
              <w:rPr>
                <w:rFonts w:cs="Times New Roman"/>
                <w:szCs w:val="20"/>
                <w:lang w:eastAsia="en-NZ"/>
              </w:rPr>
              <w:t xml:space="preserve">omposition </w:t>
            </w:r>
            <w:r w:rsidR="00187A7C" w:rsidRPr="0091450A">
              <w:rPr>
                <w:rFonts w:cs="Times New Roman"/>
                <w:szCs w:val="20"/>
                <w:lang w:eastAsia="en-NZ"/>
              </w:rPr>
              <w:t>T</w:t>
            </w:r>
            <w:r w:rsidRPr="0091450A">
              <w:rPr>
                <w:rFonts w:cs="Times New Roman"/>
                <w:szCs w:val="20"/>
                <w:lang w:eastAsia="en-NZ"/>
              </w:rPr>
              <w:t xml:space="preserve">ables and </w:t>
            </w:r>
            <w:r w:rsidR="00EE377E" w:rsidRPr="0091450A">
              <w:rPr>
                <w:rFonts w:cs="Times New Roman"/>
                <w:szCs w:val="20"/>
                <w:lang w:eastAsia="en-NZ"/>
              </w:rPr>
              <w:t>NZ</w:t>
            </w:r>
            <w:r w:rsidRPr="0091450A">
              <w:rPr>
                <w:rFonts w:cs="Times New Roman"/>
                <w:szCs w:val="20"/>
                <w:lang w:eastAsia="en-NZ"/>
              </w:rPr>
              <w:t xml:space="preserve"> food composition data for </w:t>
            </w:r>
            <w:r w:rsidR="00EE377E" w:rsidRPr="0091450A">
              <w:rPr>
                <w:rFonts w:cs="Times New Roman"/>
                <w:szCs w:val="20"/>
                <w:lang w:eastAsia="en-NZ"/>
              </w:rPr>
              <w:t>NIP</w:t>
            </w:r>
            <w:r w:rsidRPr="0091450A">
              <w:rPr>
                <w:rFonts w:cs="Times New Roman"/>
                <w:szCs w:val="20"/>
                <w:lang w:eastAsia="en-NZ"/>
              </w:rPr>
              <w:t xml:space="preserve">. An updated version of the </w:t>
            </w:r>
            <w:proofErr w:type="spellStart"/>
            <w:r w:rsidRPr="0091450A">
              <w:rPr>
                <w:rFonts w:cs="Times New Roman"/>
                <w:szCs w:val="20"/>
                <w:lang w:eastAsia="en-NZ"/>
              </w:rPr>
              <w:t>FOODfiles</w:t>
            </w:r>
            <w:proofErr w:type="spellEnd"/>
            <w:r w:rsidRPr="0091450A">
              <w:rPr>
                <w:rFonts w:cs="Times New Roman"/>
                <w:szCs w:val="20"/>
                <w:lang w:eastAsia="en-NZ"/>
              </w:rPr>
              <w:t xml:space="preserve"> </w:t>
            </w:r>
            <w:r w:rsidR="00187A7C" w:rsidRPr="0091450A">
              <w:rPr>
                <w:rFonts w:cs="Times New Roman"/>
                <w:szCs w:val="20"/>
                <w:lang w:eastAsia="en-NZ"/>
              </w:rPr>
              <w:t xml:space="preserve">and </w:t>
            </w:r>
            <w:r w:rsidRPr="0091450A">
              <w:rPr>
                <w:rFonts w:cs="Times New Roman"/>
                <w:szCs w:val="20"/>
                <w:lang w:eastAsia="en-NZ"/>
              </w:rPr>
              <w:t xml:space="preserve">Concise Tables is published every 2-3 years. </w:t>
            </w:r>
            <w:r w:rsidR="009523B4" w:rsidRPr="008A7CD5">
              <w:rPr>
                <w:rFonts w:cs="Times New Roman"/>
                <w:szCs w:val="20"/>
              </w:rPr>
              <w:t xml:space="preserve">The New Zealand </w:t>
            </w:r>
            <w:proofErr w:type="spellStart"/>
            <w:r w:rsidR="009523B4" w:rsidRPr="008A7CD5">
              <w:rPr>
                <w:rFonts w:cs="Times New Roman"/>
                <w:szCs w:val="20"/>
              </w:rPr>
              <w:t>FOODfiles</w:t>
            </w:r>
            <w:proofErr w:type="spellEnd"/>
            <w:r w:rsidR="009523B4" w:rsidRPr="008A7CD5">
              <w:rPr>
                <w:rFonts w:cs="Times New Roman"/>
                <w:szCs w:val="20"/>
              </w:rPr>
              <w:t xml:space="preserve"> 2018 version</w:t>
            </w:r>
            <w:r w:rsidR="009523B4" w:rsidRPr="0091450A">
              <w:rPr>
                <w:rFonts w:cs="Times New Roman"/>
                <w:szCs w:val="20"/>
              </w:rPr>
              <w:t xml:space="preserve"> was published in 2019 and presents 2,767 foods: 86 core </w:t>
            </w:r>
            <w:r w:rsidR="00577180" w:rsidRPr="0091450A">
              <w:rPr>
                <w:rFonts w:cs="Times New Roman"/>
                <w:szCs w:val="20"/>
              </w:rPr>
              <w:t>components</w:t>
            </w:r>
            <w:r w:rsidR="009523B4" w:rsidRPr="0091450A">
              <w:rPr>
                <w:rFonts w:cs="Times New Roman"/>
                <w:szCs w:val="20"/>
              </w:rPr>
              <w:t xml:space="preserve"> </w:t>
            </w:r>
            <w:r w:rsidR="005F6C0F" w:rsidRPr="0091450A">
              <w:rPr>
                <w:rFonts w:cs="Times New Roman"/>
                <w:szCs w:val="20"/>
              </w:rPr>
              <w:t xml:space="preserve">in the standard version and up to 363 </w:t>
            </w:r>
            <w:r w:rsidR="00577180" w:rsidRPr="0091450A">
              <w:rPr>
                <w:rFonts w:cs="Times New Roman"/>
                <w:szCs w:val="20"/>
              </w:rPr>
              <w:t>components</w:t>
            </w:r>
            <w:r w:rsidR="005F6C0F" w:rsidRPr="0091450A">
              <w:rPr>
                <w:rFonts w:cs="Times New Roman"/>
                <w:szCs w:val="20"/>
              </w:rPr>
              <w:t xml:space="preserve"> in the unabridged version</w:t>
            </w:r>
            <w:r w:rsidR="00577180" w:rsidRPr="0091450A">
              <w:rPr>
                <w:rFonts w:cs="Times New Roman"/>
                <w:szCs w:val="20"/>
              </w:rPr>
              <w:t xml:space="preserve"> </w:t>
            </w:r>
            <w:r w:rsidR="00577180" w:rsidRPr="0091450A">
              <w:rPr>
                <w:rFonts w:cs="Times New Roman"/>
                <w:szCs w:val="20"/>
              </w:rPr>
              <w:fldChar w:fldCharType="begin" w:fldLock="1"/>
            </w:r>
            <w:r w:rsidR="00EC12A7">
              <w:rPr>
                <w:rFonts w:cs="Times New Roman"/>
                <w:szCs w:val="20"/>
              </w:rPr>
              <w:instrText>ADDIN CSL_CITATION {"citationItems":[{"id":"ITEM-1","itemData":{"URL":"https://www.foodcomposition.co.nz/foodfiles/","accessed":{"date-parts":[["2020","1","17"]]},"author":[{"dropping-particle":"","family":"New Zealand Food Composition Database","given":"","non-dropping-particle":"","parse-names":false,"suffix":""}],"id":"ITEM-1","issued":{"date-parts":[["2019"]]},"title":"FOODfiles™ - New Zealand Food Composition Database","type":"webpage"},"uris":["http://www.mendeley.com/documents/?uuid=0364326b-e051-3e08-855b-f8925e2239c7","http://www.mendeley.com/documents/?uuid=d310253c-a83d-4a52-821e-40935fe9a51c"]}],"mendeley":{"formattedCitation":"(222)","plainTextFormattedCitation":"(222)","previouslyFormattedCitation":"(222)"},"properties":{"noteIndex":0},"schema":"https://github.com/citation-style-language/schema/raw/master/csl-citation.json"}</w:instrText>
            </w:r>
            <w:r w:rsidR="00577180" w:rsidRPr="0091450A">
              <w:rPr>
                <w:rFonts w:cs="Times New Roman"/>
                <w:szCs w:val="20"/>
              </w:rPr>
              <w:fldChar w:fldCharType="separate"/>
            </w:r>
            <w:r w:rsidR="009C4029" w:rsidRPr="009C4029">
              <w:rPr>
                <w:rFonts w:cs="Times New Roman"/>
                <w:noProof/>
                <w:szCs w:val="20"/>
              </w:rPr>
              <w:t>(222)</w:t>
            </w:r>
            <w:r w:rsidR="00577180" w:rsidRPr="0091450A">
              <w:rPr>
                <w:rFonts w:cs="Times New Roman"/>
                <w:szCs w:val="20"/>
              </w:rPr>
              <w:fldChar w:fldCharType="end"/>
            </w:r>
            <w:r w:rsidR="005363D4" w:rsidRPr="0091450A">
              <w:rPr>
                <w:rFonts w:cs="Times New Roman"/>
                <w:szCs w:val="20"/>
              </w:rPr>
              <w:t>.</w:t>
            </w:r>
          </w:p>
          <w:p w14:paraId="01C5EAF4" w14:textId="62E6B261" w:rsidR="00FD3E4A" w:rsidRPr="0091450A" w:rsidRDefault="00FD3E4A" w:rsidP="002D613F">
            <w:pPr>
              <w:pStyle w:val="ListParagraph"/>
              <w:numPr>
                <w:ilvl w:val="0"/>
                <w:numId w:val="2"/>
              </w:numPr>
              <w:spacing w:before="40" w:after="40"/>
              <w:ind w:left="284" w:hanging="284"/>
              <w:contextualSpacing w:val="0"/>
            </w:pPr>
            <w:r w:rsidRPr="0091450A">
              <w:t xml:space="preserve">Since 2011 researchers at The National Institute for Health Innovation have </w:t>
            </w:r>
            <w:r w:rsidRPr="008A7CD5">
              <w:t>been collecting data on packaged foods available for sale in supermarkets and fast</w:t>
            </w:r>
            <w:r w:rsidR="005C4790" w:rsidRPr="008A7CD5">
              <w:t>-</w:t>
            </w:r>
            <w:r w:rsidRPr="008A7CD5">
              <w:t>food restaurants</w:t>
            </w:r>
            <w:r w:rsidR="00F247B2" w:rsidRPr="008A7CD5">
              <w:t xml:space="preserve"> </w:t>
            </w:r>
            <w:r w:rsidR="00855A9C" w:rsidRPr="008A7CD5">
              <w:t>and was funded partially by the MPI until the end of 2018 (personal communication, MPI, 2020)</w:t>
            </w:r>
            <w:r w:rsidRPr="008A7CD5">
              <w:t xml:space="preserve">. In supermarkets, photographs are collected from all sides of the package of all packaged foods (displaying </w:t>
            </w:r>
            <w:r w:rsidR="00A53001" w:rsidRPr="008A7CD5">
              <w:t>a</w:t>
            </w:r>
            <w:r w:rsidRPr="008A7CD5">
              <w:t xml:space="preserve"> NIP).  Data are entered into an </w:t>
            </w:r>
            <w:r w:rsidRPr="008A7CD5">
              <w:lastRenderedPageBreak/>
              <w:t>online database (</w:t>
            </w:r>
            <w:proofErr w:type="spellStart"/>
            <w:r w:rsidRPr="008A7CD5">
              <w:t>Nutriweb</w:t>
            </w:r>
            <w:proofErr w:type="spellEnd"/>
            <w:r w:rsidRPr="008A7CD5">
              <w:t xml:space="preserve">).  Products are </w:t>
            </w:r>
            <w:r w:rsidR="00AE20D3" w:rsidRPr="008A7CD5">
              <w:t>categorized</w:t>
            </w:r>
            <w:r w:rsidRPr="008A7CD5">
              <w:t xml:space="preserve"> according to the categorisation system used by the Global Food Monitoring Group and INFORMAS</w:t>
            </w:r>
            <w:r w:rsidR="0091450A" w:rsidRPr="008A7CD5">
              <w:t>.</w:t>
            </w:r>
            <w:r w:rsidR="0088179C" w:rsidRPr="008A7CD5">
              <w:t xml:space="preserve"> In 2019 14,978 unique products (foods</w:t>
            </w:r>
            <w:r w:rsidR="0088179C" w:rsidRPr="0091450A">
              <w:t xml:space="preserve"> and beverages) were collected</w:t>
            </w:r>
            <w:r w:rsidRPr="0091450A">
              <w:t xml:space="preserve">.   Products are categorised into 16 main food groups and 41 smaller categories. </w:t>
            </w:r>
            <w:r w:rsidR="0088179C" w:rsidRPr="0091450A">
              <w:t>For fast</w:t>
            </w:r>
            <w:r w:rsidR="005C4790">
              <w:t>-</w:t>
            </w:r>
            <w:r w:rsidR="0088179C" w:rsidRPr="0091450A">
              <w:t>food restaurants data are collected online and in-store on all products available for sale at major fast</w:t>
            </w:r>
            <w:r w:rsidR="005C4790">
              <w:t>-</w:t>
            </w:r>
            <w:r w:rsidR="0088179C" w:rsidRPr="0091450A">
              <w:t>food chains (at least 20 stores nationwide).  Where available serving size and nutrition information per 100g and per serve is collected.</w:t>
            </w:r>
          </w:p>
          <w:p w14:paraId="4F0BDDDD" w14:textId="25FF93AE" w:rsidR="00855A9C" w:rsidRPr="008A7CD5" w:rsidRDefault="00855A9C" w:rsidP="002D613F">
            <w:pPr>
              <w:pStyle w:val="ListParagraph"/>
              <w:numPr>
                <w:ilvl w:val="0"/>
                <w:numId w:val="2"/>
              </w:numPr>
              <w:spacing w:before="40" w:after="40"/>
              <w:ind w:left="284" w:hanging="284"/>
              <w:contextualSpacing w:val="0"/>
            </w:pPr>
            <w:r w:rsidRPr="008A7CD5">
              <w:t xml:space="preserve">Since 2019 MPI have contracted access to a branded food product database collated by GS1 New Zealand. This searchable database contains images of over 36,000 New Zealand packaged food products across all food categories. Foods are categorised according to the GS1 Global Product Classification </w:t>
            </w:r>
            <w:r w:rsidRPr="008A7CD5">
              <w:fldChar w:fldCharType="begin" w:fldLock="1"/>
            </w:r>
            <w:r w:rsidR="00EC12A7" w:rsidRPr="008A7CD5">
              <w:instrText>ADDIN CSL_CITATION {"citationItems":[{"id":"ITEM-1","itemData":{"URL":"https://www.gs1nz.org/standards/","accessed":{"date-parts":[["2020","1","29"]]},"author":[{"dropping-particle":"","family":"GS1 New Zealand","given":"","non-dropping-particle":"","parse-names":false,"suffix":""}],"id":"ITEM-1","issued":{"date-parts":[["2019"]]},"title":"Standards » GS1 New Zealand","type":"webpage"},"uris":["http://www.mendeley.com/documents/?uuid=ab636b46-0950-3ded-b69f-ed69e673c023"]}],"mendeley":{"formattedCitation":"(223)","plainTextFormattedCitation":"(223)","previouslyFormattedCitation":"(223)"},"properties":{"noteIndex":0},"schema":"https://github.com/citation-style-language/schema/raw/master/csl-citation.json"}</w:instrText>
            </w:r>
            <w:r w:rsidRPr="008A7CD5">
              <w:fldChar w:fldCharType="separate"/>
            </w:r>
            <w:r w:rsidR="009C4029" w:rsidRPr="008A7CD5">
              <w:rPr>
                <w:noProof/>
              </w:rPr>
              <w:t>(223)</w:t>
            </w:r>
            <w:r w:rsidRPr="008A7CD5">
              <w:fldChar w:fldCharType="end"/>
            </w:r>
            <w:r w:rsidRPr="008A7CD5">
              <w:t>.</w:t>
            </w:r>
          </w:p>
          <w:p w14:paraId="42A8ABC2" w14:textId="77777777" w:rsidR="00706304" w:rsidRPr="0091450A" w:rsidRDefault="00706304" w:rsidP="002D613F">
            <w:pPr>
              <w:pStyle w:val="ListParagraph"/>
              <w:shd w:val="clear" w:color="auto" w:fill="FFFFFF" w:themeFill="background1"/>
              <w:spacing w:before="40" w:after="40"/>
              <w:ind w:left="284"/>
              <w:contextualSpacing w:val="0"/>
              <w:rPr>
                <w:rFonts w:cs="Times New Roman"/>
                <w:szCs w:val="20"/>
              </w:rPr>
            </w:pPr>
          </w:p>
          <w:p w14:paraId="536E8FE9" w14:textId="12C05D5D" w:rsidR="00703B12" w:rsidRPr="0091450A" w:rsidRDefault="00A27C87" w:rsidP="002D613F">
            <w:pPr>
              <w:pStyle w:val="Subtitle"/>
            </w:pPr>
            <w:r w:rsidRPr="0091450A">
              <w:t>Food promotion</w:t>
            </w:r>
          </w:p>
          <w:p w14:paraId="4787D174" w14:textId="34A07F3E" w:rsidR="00CC0C48" w:rsidRPr="0091450A" w:rsidRDefault="00703B12" w:rsidP="002D613F">
            <w:pPr>
              <w:pStyle w:val="ListParagraph"/>
              <w:numPr>
                <w:ilvl w:val="0"/>
                <w:numId w:val="2"/>
              </w:numPr>
              <w:shd w:val="clear" w:color="auto" w:fill="FFFFFF" w:themeFill="background1"/>
              <w:spacing w:before="40" w:after="40"/>
              <w:ind w:left="284" w:hanging="284"/>
              <w:contextualSpacing w:val="0"/>
              <w:jc w:val="both"/>
              <w:rPr>
                <w:rFonts w:cs="Times New Roman"/>
                <w:color w:val="000000"/>
                <w:szCs w:val="20"/>
                <w:lang w:eastAsia="en-NZ"/>
              </w:rPr>
            </w:pPr>
            <w:r w:rsidRPr="0091450A">
              <w:rPr>
                <w:rFonts w:cs="Times New Roman"/>
                <w:color w:val="000000"/>
                <w:szCs w:val="20"/>
                <w:lang w:eastAsia="en-NZ"/>
              </w:rPr>
              <w:t>No monitoring of food promotion in place in New Zealand. Some research has been done in the area, but not nation-wide and not across all types of media.</w:t>
            </w:r>
            <w:r w:rsidR="007B2F79" w:rsidRPr="0091450A">
              <w:rPr>
                <w:rFonts w:cs="Times New Roman"/>
                <w:color w:val="000000"/>
                <w:szCs w:val="20"/>
                <w:lang w:eastAsia="en-NZ"/>
              </w:rPr>
              <w:t xml:space="preserve"> </w:t>
            </w:r>
          </w:p>
          <w:p w14:paraId="0C3E45A5" w14:textId="77777777" w:rsidR="00706304" w:rsidRPr="0091450A" w:rsidRDefault="00706304" w:rsidP="002D613F">
            <w:pPr>
              <w:pStyle w:val="ListParagraph"/>
              <w:shd w:val="clear" w:color="auto" w:fill="FFFFFF" w:themeFill="background1"/>
              <w:spacing w:before="40" w:after="40"/>
              <w:ind w:left="284"/>
              <w:contextualSpacing w:val="0"/>
              <w:jc w:val="both"/>
              <w:rPr>
                <w:rFonts w:cs="Times New Roman"/>
                <w:color w:val="000000"/>
                <w:szCs w:val="20"/>
                <w:lang w:eastAsia="en-NZ"/>
              </w:rPr>
            </w:pPr>
          </w:p>
          <w:p w14:paraId="12A572B4" w14:textId="7942CD06" w:rsidR="00703B12" w:rsidRPr="0091450A" w:rsidRDefault="00A27C87" w:rsidP="002D613F">
            <w:pPr>
              <w:pStyle w:val="Subtitle"/>
            </w:pPr>
            <w:r w:rsidRPr="0091450A">
              <w:t>Food provision</w:t>
            </w:r>
          </w:p>
          <w:p w14:paraId="744419CE" w14:textId="689C57B1" w:rsidR="00F247B2" w:rsidRDefault="008D7396" w:rsidP="002D613F">
            <w:pPr>
              <w:pStyle w:val="ListParagraph"/>
              <w:numPr>
                <w:ilvl w:val="0"/>
                <w:numId w:val="2"/>
              </w:numPr>
              <w:spacing w:before="40" w:after="40"/>
              <w:ind w:left="284" w:hanging="284"/>
              <w:contextualSpacing w:val="0"/>
              <w:rPr>
                <w:rFonts w:cs="Times New Roman"/>
                <w:szCs w:val="20"/>
              </w:rPr>
            </w:pPr>
            <w:r w:rsidRPr="008D7396">
              <w:rPr>
                <w:rFonts w:cs="Times New Roman"/>
                <w:color w:val="000000"/>
                <w:szCs w:val="20"/>
                <w:lang w:eastAsia="en-NZ"/>
              </w:rPr>
              <w:t xml:space="preserve">In 2016 </w:t>
            </w:r>
            <w:r w:rsidR="00F247B2" w:rsidRPr="0091450A">
              <w:rPr>
                <w:rFonts w:cs="Times New Roman"/>
                <w:szCs w:val="20"/>
              </w:rPr>
              <w:t>ERO report</w:t>
            </w:r>
            <w:r>
              <w:rPr>
                <w:rFonts w:cs="Times New Roman"/>
                <w:szCs w:val="20"/>
              </w:rPr>
              <w:t>ed</w:t>
            </w:r>
            <w:r w:rsidR="00F247B2" w:rsidRPr="0091450A">
              <w:rPr>
                <w:rFonts w:cs="Times New Roman"/>
                <w:szCs w:val="20"/>
              </w:rPr>
              <w:t xml:space="preserve"> on the current status of food, nutrition and physical activity in schools and ECE</w:t>
            </w:r>
            <w:r w:rsidR="0088179C" w:rsidRPr="0091450A">
              <w:rPr>
                <w:rFonts w:cs="Times New Roman"/>
                <w:szCs w:val="20"/>
              </w:rPr>
              <w:t xml:space="preserve"> </w:t>
            </w:r>
            <w:r w:rsidR="00390F47" w:rsidRPr="0091450A">
              <w:rPr>
                <w:rFonts w:cs="Times New Roman"/>
                <w:szCs w:val="20"/>
              </w:rPr>
              <w:t xml:space="preserve"> </w:t>
            </w:r>
            <w:r w:rsidR="00A206C5" w:rsidRPr="0091450A">
              <w:rPr>
                <w:rFonts w:cs="Times New Roman"/>
                <w:szCs w:val="20"/>
              </w:rPr>
              <w:fldChar w:fldCharType="begin" w:fldLock="1"/>
            </w:r>
            <w:r w:rsidR="00EC12A7">
              <w:rPr>
                <w:rFonts w:cs="Times New Roman"/>
                <w:szCs w:val="20"/>
              </w:rPr>
              <w:instrText>ADDIN CSL_CITATION {"citationItems":[{"id":"ITEM-1","itemData":{"URL":"http://www.ero.govt.nz/publications/food-nutrition-and-physical-activity-in-nz-schools-and-early-learning-services/what-were-schools-and-services-that-were-very-good-at-promoting-positive-attitudes-to-food-nutrition-and-physical-activity-doing/","author":[{"dropping-particle":"","family":"Education Review Office","given":"","non-dropping-particle":"","parse-names":false,"suffix":""}],"id":"ITEM-1","issue":"20/4/2017","issued":{"date-parts":[["2017"]]},"publisher":"Education Review Office","publisher-place":"Wellington","title":"Food, Nutrition and Physical Activity in NZ Schools and Early Learning Services ","type":"webpage"},"uris":["http://www.mendeley.com/documents/?uuid=81fd2ce2-4b96-478f-bb25-c79399df724f","http://www.mendeley.com/documents/?uuid=8a877431-1d2e-3595-953b-7bfea28f376b"]}],"mendeley":{"formattedCitation":"(224)","plainTextFormattedCitation":"(224)","previouslyFormattedCitation":"(224)"},"properties":{"noteIndex":0},"schema":"https://github.com/citation-style-language/schema/raw/master/csl-citation.json"}</w:instrText>
            </w:r>
            <w:r w:rsidR="00A206C5" w:rsidRPr="0091450A">
              <w:rPr>
                <w:rFonts w:cs="Times New Roman"/>
                <w:szCs w:val="20"/>
              </w:rPr>
              <w:fldChar w:fldCharType="separate"/>
            </w:r>
            <w:r w:rsidR="009C4029" w:rsidRPr="009C4029">
              <w:rPr>
                <w:rFonts w:cs="Times New Roman"/>
                <w:noProof/>
                <w:szCs w:val="20"/>
              </w:rPr>
              <w:t>(224)</w:t>
            </w:r>
            <w:r w:rsidR="00A206C5" w:rsidRPr="0091450A">
              <w:rPr>
                <w:rFonts w:cs="Times New Roman"/>
                <w:szCs w:val="20"/>
              </w:rPr>
              <w:fldChar w:fldCharType="end"/>
            </w:r>
            <w:r w:rsidR="00A206C5" w:rsidRPr="0091450A">
              <w:rPr>
                <w:rFonts w:cs="Times New Roman"/>
                <w:szCs w:val="20"/>
              </w:rPr>
              <w:t>,</w:t>
            </w:r>
            <w:r w:rsidR="00F247B2" w:rsidRPr="0091450A">
              <w:rPr>
                <w:rFonts w:cs="Times New Roman"/>
                <w:szCs w:val="20"/>
              </w:rPr>
              <w:t xml:space="preserve"> though the focus was on education and the curriculum rather than the food environment.</w:t>
            </w:r>
            <w:r w:rsidR="00D54D05">
              <w:rPr>
                <w:rFonts w:cs="Times New Roman"/>
                <w:szCs w:val="20"/>
              </w:rPr>
              <w:t xml:space="preserve"> </w:t>
            </w:r>
            <w:r>
              <w:rPr>
                <w:rFonts w:cs="Times New Roman"/>
                <w:szCs w:val="20"/>
              </w:rPr>
              <w:t>It was gathered from 202 ECEs</w:t>
            </w:r>
            <w:r w:rsidR="0068702C">
              <w:rPr>
                <w:rFonts w:cs="Times New Roman"/>
                <w:szCs w:val="20"/>
              </w:rPr>
              <w:t xml:space="preserve">, 46 </w:t>
            </w:r>
            <w:r w:rsidR="000C1DB4">
              <w:rPr>
                <w:rFonts w:cs="Times New Roman"/>
                <w:szCs w:val="20"/>
              </w:rPr>
              <w:t>p</w:t>
            </w:r>
            <w:r w:rsidR="0068702C">
              <w:rPr>
                <w:rFonts w:cs="Times New Roman"/>
                <w:szCs w:val="20"/>
              </w:rPr>
              <w:t xml:space="preserve">rimary schools and 29 secondary </w:t>
            </w:r>
            <w:r w:rsidR="000C1DB4">
              <w:rPr>
                <w:rFonts w:cs="Times New Roman"/>
                <w:szCs w:val="20"/>
              </w:rPr>
              <w:t>schools</w:t>
            </w:r>
            <w:r w:rsidR="0068702C">
              <w:rPr>
                <w:rFonts w:cs="Times New Roman"/>
                <w:szCs w:val="20"/>
              </w:rPr>
              <w:t xml:space="preserve"> to assess </w:t>
            </w:r>
            <w:r w:rsidR="00EC2EEB">
              <w:rPr>
                <w:rFonts w:cs="Times New Roman"/>
                <w:szCs w:val="20"/>
              </w:rPr>
              <w:t xml:space="preserve">recommendations for </w:t>
            </w:r>
            <w:r w:rsidR="000C1DB4">
              <w:rPr>
                <w:rFonts w:cs="Times New Roman"/>
                <w:szCs w:val="20"/>
              </w:rPr>
              <w:t>childhood obesity</w:t>
            </w:r>
            <w:r w:rsidR="00EC2EEB">
              <w:rPr>
                <w:rFonts w:cs="Times New Roman"/>
                <w:szCs w:val="20"/>
              </w:rPr>
              <w:t xml:space="preserve"> initiatives </w:t>
            </w:r>
            <w:r w:rsidR="00CA0B59">
              <w:rPr>
                <w:rFonts w:cs="Times New Roman"/>
                <w:szCs w:val="20"/>
              </w:rPr>
              <w:fldChar w:fldCharType="begin" w:fldLock="1"/>
            </w:r>
            <w:r w:rsidR="00EC12A7">
              <w:rPr>
                <w:rFonts w:cs="Times New Roman"/>
                <w:szCs w:val="20"/>
              </w:rPr>
              <w:instrText>ADDIN CSL_CITATION {"citationItems":[{"id":"ITEM-1","itemData":{"URL":"https://www.ero.govt.nz/publications/food-nutrition-and-physical-activity-in-nz-schools-and-early-learning-services/overview/","accessed":{"date-parts":[["2020","2","5"]]},"author":[{"dropping-particle":"","family":"Education Review Office","given":"","non-dropping-particle":"","parse-names":false,"suffix":""}],"id":"ITEM-1","issued":{"date-parts":[["2016"]]},"title":"Overview | Food, Nutrition and Physical Activity in NZ Schools and Early Learning Services ","type":"webpage"},"uris":["http://www.mendeley.com/documents/?uuid=e9de40ab-ac81-30f9-89f7-935d5f9dcc15"]}],"mendeley":{"formattedCitation":"(225)","plainTextFormattedCitation":"(225)","previouslyFormattedCitation":"(225)"},"properties":{"noteIndex":0},"schema":"https://github.com/citation-style-language/schema/raw/master/csl-citation.json"}</w:instrText>
            </w:r>
            <w:r w:rsidR="00CA0B59">
              <w:rPr>
                <w:rFonts w:cs="Times New Roman"/>
                <w:szCs w:val="20"/>
              </w:rPr>
              <w:fldChar w:fldCharType="separate"/>
            </w:r>
            <w:r w:rsidR="009C4029" w:rsidRPr="009C4029">
              <w:rPr>
                <w:rFonts w:cs="Times New Roman"/>
                <w:noProof/>
                <w:szCs w:val="20"/>
              </w:rPr>
              <w:t>(225)</w:t>
            </w:r>
            <w:r w:rsidR="00CA0B59">
              <w:rPr>
                <w:rFonts w:cs="Times New Roman"/>
                <w:szCs w:val="20"/>
              </w:rPr>
              <w:fldChar w:fldCharType="end"/>
            </w:r>
            <w:r w:rsidR="000C1DB4">
              <w:rPr>
                <w:rFonts w:cs="Times New Roman"/>
                <w:szCs w:val="20"/>
              </w:rPr>
              <w:t>.</w:t>
            </w:r>
          </w:p>
          <w:p w14:paraId="29013122" w14:textId="2107B508" w:rsidR="000C1DB4" w:rsidRPr="0091450A" w:rsidRDefault="000C1DB4" w:rsidP="002D613F">
            <w:pPr>
              <w:pStyle w:val="ListParagraph"/>
              <w:numPr>
                <w:ilvl w:val="0"/>
                <w:numId w:val="2"/>
              </w:numPr>
              <w:spacing w:before="40" w:after="40"/>
              <w:ind w:left="284" w:hanging="284"/>
              <w:contextualSpacing w:val="0"/>
              <w:rPr>
                <w:rFonts w:cs="Times New Roman"/>
                <w:szCs w:val="20"/>
              </w:rPr>
            </w:pPr>
            <w:r w:rsidRPr="000C1DB4">
              <w:rPr>
                <w:rFonts w:cs="Times New Roman"/>
                <w:color w:val="000000"/>
                <w:szCs w:val="20"/>
                <w:lang w:eastAsia="en-NZ"/>
              </w:rPr>
              <w:t>No monitoring of food environments in other public sector settings by the NZ government</w:t>
            </w:r>
            <w:r w:rsidR="001B6DB9">
              <w:rPr>
                <w:rFonts w:cs="Times New Roman"/>
                <w:color w:val="000000"/>
                <w:szCs w:val="20"/>
                <w:lang w:eastAsia="en-NZ"/>
              </w:rPr>
              <w:t xml:space="preserve"> is currently conducted</w:t>
            </w:r>
            <w:r w:rsidRPr="000C1DB4">
              <w:rPr>
                <w:rFonts w:cs="Times New Roman"/>
                <w:color w:val="000000"/>
                <w:szCs w:val="20"/>
                <w:lang w:eastAsia="en-NZ"/>
              </w:rPr>
              <w:t xml:space="preserve">. </w:t>
            </w:r>
          </w:p>
          <w:p w14:paraId="2FE25CA5" w14:textId="77777777" w:rsidR="00D25895" w:rsidRPr="0091450A" w:rsidRDefault="00D25895" w:rsidP="007159FF">
            <w:pPr>
              <w:pStyle w:val="ListParagraph"/>
              <w:spacing w:before="40"/>
              <w:ind w:left="360"/>
              <w:rPr>
                <w:b/>
                <w:color w:val="1F497D"/>
              </w:rPr>
            </w:pPr>
          </w:p>
          <w:p w14:paraId="54FD60B5" w14:textId="0548C208"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50B06E5C" w14:textId="3874A216" w:rsidR="00D25895" w:rsidRPr="0091450A" w:rsidRDefault="00D25895" w:rsidP="002D613F">
            <w:pPr>
              <w:pStyle w:val="ListParagraph"/>
              <w:keepNext/>
              <w:numPr>
                <w:ilvl w:val="0"/>
                <w:numId w:val="2"/>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Many countries</w:t>
            </w:r>
            <w:r w:rsidRPr="0091450A">
              <w:rPr>
                <w:rFonts w:eastAsia="Times New Roman" w:cs="Times New Roman"/>
                <w:szCs w:val="20"/>
                <w:lang w:eastAsia="en-NZ"/>
              </w:rPr>
              <w:t>: Many countries do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07A060CB" w14:textId="001E92C6" w:rsidR="00703B12" w:rsidRPr="0091450A" w:rsidRDefault="00D25895" w:rsidP="002D613F">
            <w:pPr>
              <w:pStyle w:val="ListParagraph"/>
              <w:keepNext/>
              <w:numPr>
                <w:ilvl w:val="0"/>
                <w:numId w:val="2"/>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UK</w:t>
            </w:r>
            <w:r w:rsidRPr="0091450A">
              <w:rPr>
                <w:rFonts w:eastAsia="Times New Roman" w:cs="Times New Roman"/>
                <w:szCs w:val="20"/>
                <w:lang w:eastAsia="en-NZ"/>
              </w:rPr>
              <w:t xml:space="preserve">: 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 </w:t>
            </w:r>
            <w:r w:rsidR="00A206C5"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{"citationItems":[{"id":"ITEM-1","itemData":{"URL":"http://www.childrensfoodtrust.org.uk/childrens-food-trust/our-research/","author":[{"dropping-particle":"","family":"Children's Food Trust","given":"","non-dropping-particle":"","parse-names":false,"suffix":""}],"id":"ITEM-1","issue":"22/02/2016","issued":{"date-parts":[["2016"]]},"title":"Our research","type":"webpage"},"uris":["http://www.mendeley.com/documents/?uuid=88aa972e-68fe-3ab7-9c52-bc847966b1a9","http://www.mendeley.com/documents/?uuid=ebaaca21-b01e-48ce-aebe-acbd6ae8e972"]}],"mendeley":{"formattedCitation":"(226)","plainTextFormattedCitation":"(226)","previouslyFormattedCitation":"(226)"},"properties":{"noteIndex":0},"schema":"https://github.com/citation-style-language/schema/raw/master/csl-citation.json"}</w:instrText>
            </w:r>
            <w:r w:rsidR="00A206C5"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(226)</w:t>
            </w:r>
            <w:r w:rsidR="00A206C5" w:rsidRPr="0091450A">
              <w:rPr>
                <w:rFonts w:eastAsia="Times New Roman" w:cs="Times New Roman"/>
                <w:szCs w:val="20"/>
                <w:lang w:eastAsia="en-NZ"/>
              </w:rPr>
              <w:fldChar w:fldCharType="end"/>
            </w:r>
            <w:r w:rsidR="00240588" w:rsidRPr="0091450A">
              <w:rPr>
                <w:rFonts w:eastAsia="Times New Roman" w:cs="Times New Roman"/>
                <w:szCs w:val="20"/>
                <w:lang w:eastAsia="en-NZ"/>
              </w:rPr>
              <w:t>.</w:t>
            </w:r>
          </w:p>
        </w:tc>
      </w:tr>
    </w:tbl>
    <w:p w14:paraId="649DB9F2" w14:textId="308965B1" w:rsidR="00E61848" w:rsidRPr="0091450A" w:rsidRDefault="00E61848" w:rsidP="002D613F">
      <w:pPr>
        <w:spacing w:after="0" w:line="240" w:lineRule="auto"/>
      </w:pPr>
    </w:p>
    <w:tbl>
      <w:tblPr>
        <w:tblStyle w:val="TableGrid"/>
        <w:tblW w:w="9209" w:type="dxa"/>
        <w:tblLook w:val="04A0" w:firstRow="1" w:lastRow="0" w:firstColumn="1" w:lastColumn="0" w:noHBand="0" w:noVBand="1"/>
      </w:tblPr>
      <w:tblGrid>
        <w:gridCol w:w="9209"/>
      </w:tblGrid>
      <w:tr w:rsidR="002C1960" w:rsidRPr="0091450A" w14:paraId="4177E83B" w14:textId="77777777" w:rsidTr="005551B6">
        <w:tc>
          <w:tcPr>
            <w:tcW w:w="9209" w:type="dxa"/>
          </w:tcPr>
          <w:p w14:paraId="11F3650A" w14:textId="673F45F0" w:rsidR="002C1960"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10 </w:t>
            </w:r>
            <w:r w:rsidR="002C1960" w:rsidRPr="0091450A">
              <w:rPr>
                <w:rFonts w:cs="Times New Roman"/>
                <w:b/>
                <w:color w:val="1F497D" w:themeColor="text2"/>
                <w:sz w:val="28"/>
                <w:szCs w:val="28"/>
              </w:rPr>
              <w:t>MONITORING</w:t>
            </w:r>
            <w:r w:rsidRPr="0091450A">
              <w:rPr>
                <w:rFonts w:cs="Times New Roman"/>
                <w:b/>
                <w:color w:val="1F497D" w:themeColor="text2"/>
                <w:sz w:val="28"/>
                <w:szCs w:val="28"/>
              </w:rPr>
              <w:t xml:space="preserve"> AND INTELLIGENCE</w:t>
            </w:r>
            <w:r w:rsidR="002C1960" w:rsidRPr="0091450A">
              <w:rPr>
                <w:rFonts w:cs="Times New Roman"/>
                <w:b/>
                <w:color w:val="1F497D" w:themeColor="text2"/>
                <w:sz w:val="28"/>
                <w:szCs w:val="28"/>
              </w:rPr>
              <w:t xml:space="preserve">: </w:t>
            </w:r>
            <w:r w:rsidR="00B84363"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5C4790">
              <w:rPr>
                <w:rFonts w:cs="Times New Roman"/>
                <w:szCs w:val="20"/>
              </w:rPr>
              <w:t>-</w:t>
            </w:r>
            <w:r w:rsidR="00C76DA0" w:rsidRPr="0091450A">
              <w:rPr>
                <w:rFonts w:cs="Times New Roman"/>
                <w:szCs w:val="20"/>
              </w:rPr>
              <w:t>related</w:t>
            </w:r>
            <w:r w:rsidR="00B84363" w:rsidRPr="0091450A">
              <w:rPr>
                <w:rFonts w:cs="Times New Roman"/>
                <w:szCs w:val="20"/>
              </w:rPr>
              <w:t xml:space="preserve"> NCDs and their inequalities, and to measure progress on achieving the goals of nutrition and health plans</w:t>
            </w:r>
            <w:r w:rsidR="00B84E85" w:rsidRPr="0091450A">
              <w:rPr>
                <w:rFonts w:cs="Times New Roman"/>
                <w:szCs w:val="20"/>
              </w:rPr>
              <w:t>.</w:t>
            </w:r>
          </w:p>
        </w:tc>
      </w:tr>
      <w:tr w:rsidR="002C1960" w:rsidRPr="0091450A" w14:paraId="2E6412D9" w14:textId="77777777" w:rsidTr="005551B6">
        <w:tc>
          <w:tcPr>
            <w:tcW w:w="9209" w:type="dxa"/>
          </w:tcPr>
          <w:p w14:paraId="3014F0BB" w14:textId="6B797F24" w:rsidR="002C1960" w:rsidRPr="0091450A" w:rsidRDefault="00A27C87" w:rsidP="002D613F">
            <w:pPr>
              <w:shd w:val="clear" w:color="auto" w:fill="FFFFFF" w:themeFill="background1"/>
              <w:spacing w:before="40" w:after="40"/>
              <w:rPr>
                <w:rFonts w:cs="Times New Roman"/>
                <w:color w:val="000000"/>
                <w:szCs w:val="20"/>
                <w:lang w:eastAsia="en-NZ"/>
              </w:rPr>
            </w:pPr>
            <w:bookmarkStart w:id="59" w:name="_Toc31623757"/>
            <w:r w:rsidRPr="0091450A">
              <w:rPr>
                <w:rStyle w:val="Heading3Char"/>
              </w:rPr>
              <w:t>MONIT2</w:t>
            </w:r>
            <w:bookmarkEnd w:id="59"/>
            <w:r w:rsidR="002C1960" w:rsidRPr="0091450A">
              <w:rPr>
                <w:rFonts w:cs="Times New Roman"/>
                <w:b/>
                <w:color w:val="1F497D" w:themeColor="text2"/>
                <w:sz w:val="28"/>
                <w:szCs w:val="28"/>
              </w:rPr>
              <w:t xml:space="preserve">: </w:t>
            </w:r>
            <w:r w:rsidR="00B84363" w:rsidRPr="0091450A">
              <w:rPr>
                <w:rFonts w:cs="Times New Roman"/>
                <w:b/>
                <w:szCs w:val="20"/>
              </w:rPr>
              <w:t>There is regular monitoring of adult and childhood nutrition status and population intakes against specified intake targets or recommended daily intake levels</w:t>
            </w:r>
            <w:r w:rsidR="00B84E85" w:rsidRPr="0091450A">
              <w:rPr>
                <w:rFonts w:cs="Times New Roman"/>
                <w:b/>
                <w:szCs w:val="20"/>
              </w:rPr>
              <w:t>.</w:t>
            </w:r>
          </w:p>
        </w:tc>
      </w:tr>
      <w:tr w:rsidR="002C1960" w:rsidRPr="0091450A" w14:paraId="6B9F6506" w14:textId="77777777" w:rsidTr="007159FF">
        <w:trPr>
          <w:trHeight w:val="841"/>
        </w:trPr>
        <w:tc>
          <w:tcPr>
            <w:tcW w:w="9209" w:type="dxa"/>
          </w:tcPr>
          <w:p w14:paraId="3990A008" w14:textId="5C79BA45" w:rsidR="0020485F" w:rsidRPr="00A2227A" w:rsidRDefault="0020485F" w:rsidP="002D613F">
            <w:pPr>
              <w:spacing w:before="40" w:after="40"/>
              <w:rPr>
                <w:rFonts w:cs="Times New Roman"/>
                <w:b/>
                <w:color w:val="1F497D" w:themeColor="text2"/>
                <w:sz w:val="28"/>
                <w:szCs w:val="28"/>
              </w:rPr>
            </w:pPr>
            <w:r w:rsidRPr="00A2227A">
              <w:rPr>
                <w:rFonts w:cs="Times New Roman"/>
                <w:b/>
                <w:color w:val="1F497D" w:themeColor="text2"/>
                <w:sz w:val="28"/>
                <w:szCs w:val="28"/>
              </w:rPr>
              <w:t xml:space="preserve">Evidence </w:t>
            </w:r>
            <w:r w:rsidR="00C04080" w:rsidRPr="00A2227A">
              <w:rPr>
                <w:rFonts w:cs="Times New Roman"/>
                <w:b/>
                <w:color w:val="1F497D" w:themeColor="text2"/>
                <w:sz w:val="28"/>
                <w:szCs w:val="28"/>
              </w:rPr>
              <w:t>of implementation</w:t>
            </w:r>
          </w:p>
          <w:p w14:paraId="2E746E9D" w14:textId="28E1EBBA" w:rsidR="00E6664B" w:rsidRPr="00A2227A" w:rsidRDefault="00030AE3" w:rsidP="002D613F">
            <w:pPr>
              <w:pStyle w:val="NormalWeb"/>
              <w:numPr>
                <w:ilvl w:val="0"/>
                <w:numId w:val="30"/>
              </w:numPr>
              <w:shd w:val="clear" w:color="auto" w:fill="FFFFFF"/>
              <w:rPr>
                <w:rFonts w:asciiTheme="minorHAnsi" w:hAnsiTheme="minorHAnsi" w:cstheme="minorHAnsi"/>
                <w:color w:val="000000"/>
                <w:sz w:val="20"/>
                <w:szCs w:val="20"/>
              </w:rPr>
            </w:pPr>
            <w:r w:rsidRPr="00A2227A">
              <w:rPr>
                <w:rFonts w:asciiTheme="minorHAnsi" w:hAnsiTheme="minorHAnsi" w:cstheme="minorHAnsi"/>
                <w:color w:val="000000"/>
                <w:sz w:val="20"/>
                <w:szCs w:val="20"/>
              </w:rPr>
              <w:t>In 2011 all topic</w:t>
            </w:r>
            <w:r w:rsidR="005C4790" w:rsidRPr="00A2227A">
              <w:rPr>
                <w:rFonts w:asciiTheme="minorHAnsi" w:hAnsiTheme="minorHAnsi" w:cstheme="minorHAnsi"/>
                <w:color w:val="000000"/>
                <w:sz w:val="20"/>
                <w:szCs w:val="20"/>
              </w:rPr>
              <w:t>-</w:t>
            </w:r>
            <w:r w:rsidRPr="00A2227A">
              <w:rPr>
                <w:rFonts w:asciiTheme="minorHAnsi" w:hAnsiTheme="minorHAnsi" w:cstheme="minorHAnsi"/>
                <w:color w:val="000000"/>
                <w:sz w:val="20"/>
                <w:szCs w:val="20"/>
              </w:rPr>
              <w:t xml:space="preserve">specific surveys (including nutrition) were combined into a single continuous survey called the NZ Health Survey. Each year, the survey collects data from </w:t>
            </w:r>
            <w:r w:rsidR="00A121CE" w:rsidRPr="00A2227A">
              <w:rPr>
                <w:rFonts w:asciiTheme="minorHAnsi" w:hAnsiTheme="minorHAnsi" w:cstheme="minorHAnsi"/>
                <w:color w:val="000000"/>
                <w:sz w:val="20"/>
                <w:szCs w:val="20"/>
              </w:rPr>
              <w:t>approximately</w:t>
            </w:r>
            <w:r w:rsidRPr="00A2227A">
              <w:rPr>
                <w:rFonts w:asciiTheme="minorHAnsi" w:hAnsiTheme="minorHAnsi" w:cstheme="minorHAnsi"/>
                <w:color w:val="000000"/>
                <w:sz w:val="20"/>
                <w:szCs w:val="20"/>
              </w:rPr>
              <w:t xml:space="preserve"> 14,000 adults and 4500 children via a face-to-face interview in respondents’ homes. The survey includes core questions and measurements that are repeated each year, as well as a series of modules that collect more detailed data on a </w:t>
            </w:r>
            <w:r w:rsidR="0091450A" w:rsidRPr="00A2227A">
              <w:rPr>
                <w:rFonts w:asciiTheme="minorHAnsi" w:hAnsiTheme="minorHAnsi" w:cstheme="minorHAnsi"/>
                <w:color w:val="000000"/>
                <w:sz w:val="20"/>
                <w:szCs w:val="20"/>
              </w:rPr>
              <w:t>topic</w:t>
            </w:r>
            <w:r w:rsidRPr="00A2227A">
              <w:rPr>
                <w:rFonts w:asciiTheme="minorHAnsi" w:hAnsiTheme="minorHAnsi" w:cstheme="minorHAnsi"/>
                <w:color w:val="000000"/>
                <w:sz w:val="20"/>
                <w:szCs w:val="20"/>
              </w:rPr>
              <w:t xml:space="preserve">. A nutrition module was planned for 2017/18 but it did not go ahead </w:t>
            </w:r>
            <w:r w:rsidR="00583CE4" w:rsidRPr="00A2227A">
              <w:rPr>
                <w:rFonts w:asciiTheme="minorHAnsi" w:hAnsiTheme="minorHAnsi" w:cstheme="minorHAnsi"/>
                <w:color w:val="000000"/>
                <w:sz w:val="20"/>
                <w:szCs w:val="20"/>
              </w:rPr>
              <w:t>as</w:t>
            </w:r>
            <w:r w:rsidRPr="00A2227A">
              <w:rPr>
                <w:rFonts w:asciiTheme="minorHAnsi" w:hAnsiTheme="minorHAnsi" w:cstheme="minorHAnsi"/>
                <w:color w:val="000000"/>
                <w:sz w:val="20"/>
                <w:szCs w:val="20"/>
              </w:rPr>
              <w:t xml:space="preserve"> it did not fit the module format in terms of time and cost. The survey is currently being refreshed, which includes a review of core (annual) content and the future programme of modules. The refreshed survey will go into the field in 2021.</w:t>
            </w:r>
            <w:r w:rsidR="007B43C9" w:rsidRPr="00A2227A">
              <w:rPr>
                <w:rFonts w:asciiTheme="minorHAnsi" w:hAnsiTheme="minorHAnsi" w:cstheme="minorHAnsi"/>
                <w:color w:val="000000"/>
                <w:sz w:val="20"/>
                <w:szCs w:val="20"/>
              </w:rPr>
              <w:t xml:space="preserve"> </w:t>
            </w:r>
            <w:r w:rsidRPr="00A2227A">
              <w:rPr>
                <w:rFonts w:asciiTheme="minorHAnsi" w:hAnsiTheme="minorHAnsi" w:cstheme="minorHAnsi"/>
                <w:color w:val="000000"/>
                <w:sz w:val="20"/>
                <w:szCs w:val="20"/>
              </w:rPr>
              <w:t>The core survey collects the following data related to nutrition, obesity and NCD risk factors. Results from the core survey are reported annually.</w:t>
            </w:r>
          </w:p>
          <w:p w14:paraId="69B47490" w14:textId="77777777" w:rsidR="00756DA0" w:rsidRPr="00A2227A" w:rsidRDefault="00030AE3" w:rsidP="002D613F">
            <w:pPr>
              <w:pStyle w:val="NormalWeb"/>
              <w:numPr>
                <w:ilvl w:val="0"/>
                <w:numId w:val="130"/>
              </w:numPr>
              <w:shd w:val="clear" w:color="auto" w:fill="FFFFFF"/>
              <w:rPr>
                <w:rFonts w:asciiTheme="minorHAnsi" w:hAnsiTheme="minorHAnsi" w:cstheme="minorHAnsi"/>
                <w:color w:val="000000"/>
                <w:sz w:val="20"/>
                <w:szCs w:val="20"/>
              </w:rPr>
            </w:pPr>
            <w:r w:rsidRPr="00A2227A">
              <w:rPr>
                <w:rFonts w:asciiTheme="minorHAnsi" w:hAnsiTheme="minorHAnsi" w:cstheme="minorHAnsi"/>
                <w:i/>
                <w:color w:val="000000"/>
                <w:sz w:val="20"/>
                <w:szCs w:val="20"/>
              </w:rPr>
              <w:lastRenderedPageBreak/>
              <w:t>Nutrition</w:t>
            </w:r>
            <w:r w:rsidRPr="00A2227A">
              <w:rPr>
                <w:rFonts w:asciiTheme="minorHAnsi" w:hAnsiTheme="minorHAnsi" w:cstheme="minorHAnsi"/>
                <w:color w:val="000000"/>
                <w:sz w:val="20"/>
                <w:szCs w:val="20"/>
              </w:rPr>
              <w:t>: self-reported fruit and vegetable intake (adults); for children 2-14 years fruit and vegetable intake, breakfast consumption, fizzy drink consumption and fast food consumption; and for children under 5 years breastfeeding and solid foods.</w:t>
            </w:r>
          </w:p>
          <w:p w14:paraId="064B4813" w14:textId="40BD1CC0" w:rsidR="00756DA0" w:rsidRPr="00A2227A" w:rsidRDefault="00030AE3" w:rsidP="002D613F">
            <w:pPr>
              <w:pStyle w:val="NormalWeb"/>
              <w:numPr>
                <w:ilvl w:val="0"/>
                <w:numId w:val="130"/>
              </w:numPr>
              <w:shd w:val="clear" w:color="auto" w:fill="FFFFFF"/>
              <w:rPr>
                <w:rFonts w:asciiTheme="minorHAnsi" w:hAnsiTheme="minorHAnsi" w:cstheme="minorHAnsi"/>
                <w:color w:val="000000"/>
                <w:sz w:val="20"/>
                <w:szCs w:val="20"/>
              </w:rPr>
            </w:pPr>
            <w:r w:rsidRPr="00A2227A">
              <w:rPr>
                <w:rFonts w:asciiTheme="minorHAnsi" w:hAnsiTheme="minorHAnsi" w:cstheme="minorHAnsi"/>
                <w:i/>
                <w:color w:val="000000"/>
                <w:sz w:val="20"/>
                <w:szCs w:val="20"/>
              </w:rPr>
              <w:t>Overweight and obesity</w:t>
            </w:r>
            <w:r w:rsidR="00583CE4" w:rsidRPr="00A2227A">
              <w:rPr>
                <w:rFonts w:asciiTheme="minorHAnsi" w:hAnsiTheme="minorHAnsi" w:cstheme="minorHAnsi"/>
                <w:i/>
                <w:color w:val="000000"/>
                <w:sz w:val="20"/>
                <w:szCs w:val="20"/>
              </w:rPr>
              <w:t>:</w:t>
            </w:r>
            <w:r w:rsidRPr="00A2227A">
              <w:rPr>
                <w:rFonts w:asciiTheme="minorHAnsi" w:hAnsiTheme="minorHAnsi" w:cstheme="minorHAnsi"/>
                <w:color w:val="000000"/>
                <w:sz w:val="20"/>
                <w:szCs w:val="20"/>
              </w:rPr>
              <w:t xml:space="preserve"> measured height and weight (2+ years), waist circumference (5+ years).</w:t>
            </w:r>
          </w:p>
          <w:p w14:paraId="3E94B8E8" w14:textId="0628B48B" w:rsidR="00E6664B" w:rsidRPr="00A2227A" w:rsidRDefault="00030AE3" w:rsidP="002D613F">
            <w:pPr>
              <w:pStyle w:val="NormalWeb"/>
              <w:numPr>
                <w:ilvl w:val="0"/>
                <w:numId w:val="130"/>
              </w:numPr>
              <w:shd w:val="clear" w:color="auto" w:fill="FFFFFF"/>
              <w:rPr>
                <w:rFonts w:asciiTheme="minorHAnsi" w:hAnsiTheme="minorHAnsi" w:cstheme="minorHAnsi"/>
                <w:color w:val="000000"/>
                <w:sz w:val="20"/>
                <w:szCs w:val="20"/>
              </w:rPr>
            </w:pPr>
            <w:r w:rsidRPr="00A2227A">
              <w:rPr>
                <w:rFonts w:asciiTheme="minorHAnsi" w:hAnsiTheme="minorHAnsi" w:cstheme="minorHAnsi"/>
                <w:i/>
                <w:color w:val="000000"/>
                <w:sz w:val="20"/>
                <w:szCs w:val="20"/>
              </w:rPr>
              <w:t>NCDs and risk factors (15+ years)</w:t>
            </w:r>
            <w:r w:rsidR="00583CE4" w:rsidRPr="00A2227A">
              <w:rPr>
                <w:rFonts w:asciiTheme="minorHAnsi" w:hAnsiTheme="minorHAnsi" w:cstheme="minorHAnsi"/>
                <w:i/>
                <w:color w:val="000000"/>
                <w:sz w:val="20"/>
                <w:szCs w:val="20"/>
              </w:rPr>
              <w:t>:</w:t>
            </w:r>
            <w:r w:rsidRPr="00A2227A">
              <w:rPr>
                <w:rFonts w:asciiTheme="minorHAnsi" w:hAnsiTheme="minorHAnsi" w:cstheme="minorHAnsi"/>
                <w:color w:val="000000"/>
                <w:sz w:val="20"/>
                <w:szCs w:val="20"/>
              </w:rPr>
              <w:t xml:space="preserve"> measured blood pressure; self-reported high cholesterol, high blood pressure, heart disease, stroke, diabetes, arthritis, asthma, mental health conditions, chronic pain, physical activity, smoking, alcohol consumption, sleep (from 2017/18).</w:t>
            </w:r>
          </w:p>
          <w:p w14:paraId="3989919D" w14:textId="77777777" w:rsidR="00E6664B" w:rsidRPr="00A2227A" w:rsidRDefault="00030AE3" w:rsidP="002D613F">
            <w:pPr>
              <w:pStyle w:val="NormalWeb"/>
              <w:numPr>
                <w:ilvl w:val="0"/>
                <w:numId w:val="30"/>
              </w:numPr>
              <w:shd w:val="clear" w:color="auto" w:fill="FFFFFF"/>
              <w:rPr>
                <w:rFonts w:asciiTheme="minorHAnsi" w:hAnsiTheme="minorHAnsi" w:cstheme="minorHAnsi"/>
                <w:color w:val="000000"/>
                <w:sz w:val="20"/>
                <w:szCs w:val="20"/>
              </w:rPr>
            </w:pPr>
            <w:r w:rsidRPr="00A2227A">
              <w:rPr>
                <w:rFonts w:asciiTheme="minorHAnsi" w:hAnsiTheme="minorHAnsi" w:cstheme="minorHAnsi"/>
                <w:color w:val="000000"/>
                <w:sz w:val="20"/>
                <w:szCs w:val="20"/>
              </w:rPr>
              <w:t xml:space="preserve">Some modules have collected data related to nutrition and NCD risk factors. The 2014/15 survey included biomedical module, which involved collecting blood and urine samples from a subset of adult respondents (n=5027). Tests included biomarkers of cardiovascular disease (total and HDL cholesterol), diabetes (glycated haemoglobin), kidney and liver function; and nutrition intake/status (blood folate, urinary iodine, sodium and potassium). Biomedical results will be released in February 2020. </w:t>
            </w:r>
          </w:p>
          <w:p w14:paraId="045EEF3F" w14:textId="1BD02479" w:rsidR="00E6664B" w:rsidRPr="00A2227A" w:rsidRDefault="00030AE3" w:rsidP="002D613F">
            <w:pPr>
              <w:pStyle w:val="NormalWeb"/>
              <w:numPr>
                <w:ilvl w:val="0"/>
                <w:numId w:val="30"/>
              </w:numPr>
              <w:shd w:val="clear" w:color="auto" w:fill="FFFFFF"/>
              <w:rPr>
                <w:rFonts w:asciiTheme="minorHAnsi" w:hAnsiTheme="minorHAnsi" w:cstheme="minorHAnsi"/>
                <w:color w:val="000000"/>
                <w:sz w:val="20"/>
                <w:szCs w:val="20"/>
              </w:rPr>
            </w:pPr>
            <w:r w:rsidRPr="00A2227A">
              <w:rPr>
                <w:rFonts w:asciiTheme="minorHAnsi" w:hAnsiTheme="minorHAnsi" w:cstheme="minorHAnsi"/>
                <w:color w:val="000000"/>
                <w:sz w:val="20"/>
                <w:szCs w:val="20"/>
              </w:rPr>
              <w:t>The 2018/19 survey included a module on dietary habits for adults and children. The dietary habits module covers: frequency of intake (of processed meats, red meat, fish or other seafood, legumes, nuts or seeds, biscuits or cakes, lollies, fast food or takeaways, drinks made from cordial, concentrate or powder, fruit juice and soft drinks or energy drinks); quality of intake (type of bread, milk, butter or spread and cooking oils used most often); cooking practices (removing excess fat from red meat before cooking or eating it); food groups excluded from diet (</w:t>
            </w:r>
            <w:r w:rsidR="00A121CE" w:rsidRPr="00A2227A">
              <w:rPr>
                <w:rFonts w:asciiTheme="minorHAnsi" w:hAnsiTheme="minorHAnsi" w:cstheme="minorHAnsi"/>
                <w:color w:val="000000"/>
                <w:sz w:val="20"/>
                <w:szCs w:val="20"/>
              </w:rPr>
              <w:t>e.g.</w:t>
            </w:r>
            <w:r w:rsidRPr="00A2227A">
              <w:rPr>
                <w:rFonts w:asciiTheme="minorHAnsi" w:hAnsiTheme="minorHAnsi" w:cstheme="minorHAnsi"/>
                <w:color w:val="000000"/>
                <w:sz w:val="20"/>
                <w:szCs w:val="20"/>
              </w:rPr>
              <w:t xml:space="preserve"> red meat, dairy products etc); and weight perceptions and intentions. The module is being repeated for 2019/20 so results will not be published until 2021.</w:t>
            </w:r>
          </w:p>
          <w:p w14:paraId="5B3DE53C" w14:textId="77777777" w:rsidR="00E6664B" w:rsidRPr="00A2227A" w:rsidRDefault="00030AE3" w:rsidP="002D613F">
            <w:pPr>
              <w:pStyle w:val="NormalWeb"/>
              <w:numPr>
                <w:ilvl w:val="0"/>
                <w:numId w:val="30"/>
              </w:numPr>
              <w:shd w:val="clear" w:color="auto" w:fill="FFFFFF"/>
              <w:rPr>
                <w:rFonts w:asciiTheme="minorHAnsi" w:hAnsiTheme="minorHAnsi" w:cstheme="minorHAnsi"/>
                <w:color w:val="000000"/>
                <w:sz w:val="20"/>
                <w:szCs w:val="20"/>
              </w:rPr>
            </w:pPr>
            <w:r w:rsidRPr="00A2227A">
              <w:rPr>
                <w:rFonts w:asciiTheme="minorHAnsi" w:hAnsiTheme="minorHAnsi" w:cstheme="minorHAnsi"/>
                <w:color w:val="000000"/>
                <w:sz w:val="20"/>
                <w:szCs w:val="20"/>
              </w:rPr>
              <w:t xml:space="preserve">Household food (in)security for children was included in 2012/13, 2013/14 and 2015/16 and is currently in the field (2019/20). </w:t>
            </w:r>
          </w:p>
          <w:p w14:paraId="7A8CF22C" w14:textId="4C94AC1E" w:rsidR="00030AE3" w:rsidRPr="00A2227A" w:rsidRDefault="00030AE3" w:rsidP="002D613F">
            <w:pPr>
              <w:pStyle w:val="NormalWeb"/>
              <w:numPr>
                <w:ilvl w:val="0"/>
                <w:numId w:val="30"/>
              </w:numPr>
              <w:shd w:val="clear" w:color="auto" w:fill="FFFFFF"/>
              <w:rPr>
                <w:rFonts w:asciiTheme="minorHAnsi" w:hAnsiTheme="minorHAnsi" w:cstheme="minorHAnsi"/>
                <w:color w:val="000000"/>
                <w:sz w:val="20"/>
                <w:szCs w:val="20"/>
              </w:rPr>
            </w:pPr>
            <w:r w:rsidRPr="00A2227A">
              <w:rPr>
                <w:rFonts w:asciiTheme="minorHAnsi" w:hAnsiTheme="minorHAnsi" w:cstheme="minorHAnsi"/>
                <w:color w:val="000000"/>
                <w:sz w:val="20"/>
                <w:szCs w:val="20"/>
              </w:rPr>
              <w:t>The last nation-wide adult nutrition survey was carried out from October 2008-October 2009 (4721 adults aged 15+ years participated). Results were presented separately for Pacific people (n=757) and M</w:t>
            </w:r>
            <w:r w:rsidR="001B6DB9" w:rsidRPr="00A2227A">
              <w:rPr>
                <w:rFonts w:asciiTheme="minorHAnsi" w:hAnsiTheme="minorHAnsi" w:cstheme="minorHAnsi"/>
                <w:color w:val="000000"/>
                <w:sz w:val="20"/>
                <w:szCs w:val="20"/>
              </w:rPr>
              <w:t>ā</w:t>
            </w:r>
            <w:r w:rsidRPr="00A2227A">
              <w:rPr>
                <w:rFonts w:asciiTheme="minorHAnsi" w:hAnsiTheme="minorHAnsi" w:cstheme="minorHAnsi"/>
                <w:color w:val="000000"/>
                <w:sz w:val="20"/>
                <w:szCs w:val="20"/>
              </w:rPr>
              <w:t xml:space="preserve">ori people (n=1040). The results included information on energy and macronutrient intake, dietary habits, measured body mass index, measured waist circumference, blood pressure, cholesterol and diabetes (15). Subsequent publications include estimated sodium intake </w:t>
            </w:r>
            <w:r w:rsidR="000C3E0D" w:rsidRPr="00A2227A">
              <w:rPr>
                <w:rFonts w:asciiTheme="minorHAnsi" w:hAnsiTheme="minorHAnsi" w:cstheme="minorHAnsi"/>
                <w:color w:val="000000"/>
                <w:sz w:val="20"/>
                <w:szCs w:val="20"/>
              </w:rPr>
              <w:fldChar w:fldCharType="begin" w:fldLock="1"/>
            </w:r>
            <w:r w:rsidR="00EC12A7" w:rsidRPr="00A2227A">
              <w:rPr>
                <w:rFonts w:asciiTheme="minorHAnsi" w:hAnsiTheme="minorHAnsi" w:cstheme="minorHAnsi"/>
                <w:color w:val="000000"/>
                <w:sz w:val="20"/>
                <w:szCs w:val="20"/>
              </w:rPr>
              <w:instrText>ADDIN CSL_CITATION {"citationItems":[{"id":"ITEM-1","itemData":{"DOI":"10.1038/s41430-018-0176-0","ISSN":"1476-5640","abstract":"We aimed to test the difference between estimates of dietary sodium intake using 24-h diet recall and spot urine collection in a large sample of New Zealand adults.","author":[{"dropping-particle":"","family":"McLean","given":"Rachael M","non-dropping-particle":"","parse-names":false,"suffix":""},{"dropping-particle":"","family":"Williams","given":"Sheila M","non-dropping-particle":"","parse-names":false,"suffix":""},{"dropping-particle":"","family":"Morenga","given":"Lisa A","non-dropping-particle":"Te","parse-names":false,"suffix":""},{"dropping-particle":"","family":"Mann","given":"Jim I","non-dropping-particle":"","parse-names":false,"suffix":""}],"container-title":"European Journal of Clinical Nutrition","id":"ITEM-1","issue":"8","issued":{"date-parts":[["2018"]]},"page":"1120-1127","title":"Spot urine and 24-h diet recall estimates of dietary sodium intake from the 2008/09 New Zealand Adult Nutrition Survey: a comparison","type":"article-journal","volume":"72"},"uris":["http://www.mendeley.com/documents/?uuid=f24900c8-0704-4edc-98c9-f87142d97af5"]}],"mendeley":{"formattedCitation":"(227)","plainTextFormattedCitation":"(227)","previouslyFormattedCitation":"(227)"},"properties":{"noteIndex":0},"schema":"https://github.com/citation-style-language/schema/raw/master/csl-citation.json"}</w:instrText>
            </w:r>
            <w:r w:rsidR="000C3E0D" w:rsidRPr="00A2227A">
              <w:rPr>
                <w:rFonts w:asciiTheme="minorHAnsi" w:hAnsiTheme="minorHAnsi" w:cstheme="minorHAnsi"/>
                <w:color w:val="000000"/>
                <w:sz w:val="20"/>
                <w:szCs w:val="20"/>
              </w:rPr>
              <w:fldChar w:fldCharType="separate"/>
            </w:r>
            <w:r w:rsidR="009C4029" w:rsidRPr="00A2227A">
              <w:rPr>
                <w:rFonts w:asciiTheme="minorHAnsi" w:hAnsiTheme="minorHAnsi" w:cstheme="minorHAnsi"/>
                <w:noProof/>
                <w:color w:val="000000"/>
                <w:sz w:val="20"/>
                <w:szCs w:val="20"/>
              </w:rPr>
              <w:t>(227)</w:t>
            </w:r>
            <w:r w:rsidR="000C3E0D" w:rsidRPr="00A2227A">
              <w:rPr>
                <w:rFonts w:asciiTheme="minorHAnsi" w:hAnsiTheme="minorHAnsi" w:cstheme="minorHAnsi"/>
                <w:color w:val="000000"/>
                <w:sz w:val="20"/>
                <w:szCs w:val="20"/>
              </w:rPr>
              <w:fldChar w:fldCharType="end"/>
            </w:r>
            <w:r w:rsidRPr="00A2227A">
              <w:rPr>
                <w:rFonts w:asciiTheme="minorHAnsi" w:hAnsiTheme="minorHAnsi" w:cstheme="minorHAnsi"/>
                <w:color w:val="000000"/>
                <w:sz w:val="20"/>
                <w:szCs w:val="20"/>
              </w:rPr>
              <w:t xml:space="preserve"> and free and added sugars intake </w:t>
            </w:r>
            <w:r w:rsidR="001C2171" w:rsidRPr="00A2227A">
              <w:rPr>
                <w:rFonts w:asciiTheme="minorHAnsi" w:hAnsiTheme="minorHAnsi" w:cstheme="minorHAnsi"/>
                <w:color w:val="000000"/>
                <w:sz w:val="20"/>
                <w:szCs w:val="20"/>
              </w:rPr>
              <w:fldChar w:fldCharType="begin" w:fldLock="1"/>
            </w:r>
            <w:r w:rsidR="00EC12A7" w:rsidRPr="00A2227A">
              <w:rPr>
                <w:rFonts w:asciiTheme="minorHAnsi" w:hAnsiTheme="minorHAnsi" w:cstheme="minorHAnsi"/>
                <w:color w:val="000000"/>
                <w:sz w:val="20"/>
                <w:szCs w:val="20"/>
              </w:rPr>
              <w:instrText>ADDIN CSL_CITATION {"citationItems":[{"id":"ITEM-1","itemData":{"DOI":"10.3390/nu9121292","ISSN":"2072-6643","abstract":"The reduction of free or added sugar intake (sugars added to food and drinks as a sweetener) is almost universally recommended to reduce the risk of obesity-related diseases and dental caries. The World Health Organisation recommends intakes of free sugars of less than 10% of energy intake. However, estimating and monitoring intakes at the population level is challenging because free sugars cannot be analytically distinguished from naturally occurring sugars and most national food composition databases do not include data on free or added sugars. We developed free and added sugar estimates for the New Zealand (NZ) food composition database (FOODfiles 2010) by adapting a method developed for Australia. We reanalyzed the 24 h recall dietary data collected for 4721 adults aged 15 years and over participating in the nationally representative 2008/09 New Zealand Adult Nutrition Survey to estimate free and added sugar intakes. The median estimated intake of free and added sugars was 57 and 49 g/day respectively and 42% of adults consumed less than 10% of their energy intake from free sugars. This approach provides more direct estimates of the free and added sugar contents of New Zealand foods than previously available and will enable monitoring of adherence to free sugar intake guidelines in future.","author":[{"dropping-particle":"","family":"Kibblewhite","given":"Rachael","non-dropping-particle":"","parse-names":false,"suffix":""},{"dropping-particle":"","family":"Nettleton","given":"Alice","non-dropping-particle":"","parse-names":false,"suffix":""},{"dropping-particle":"","family":"McLean","given":"Rachael","non-dropping-particle":"","parse-names":false,"suffix":""},{"dropping-particle":"","family":"Haszard","given":"Jillian","non-dropping-particle":"","parse-names":false,"suffix":""},{"dropping-particle":"","family":"Fleming","given":"Elizabeth","non-dropping-particle":"","parse-names":false,"suffix":""},{"dropping-particle":"","family":"Kruimer","given":"Devonia","non-dropping-particle":"","parse-names":false,"suffix":""},{"dropping-particle":"","family":"Morenga","given":"Lisa","non-dropping-particle":"Te","parse-names":false,"suffix":""}],"container-title":"Nutrients","id":"ITEM-1","issue":"12","issued":{"date-parts":[["2017","11","27"]]},"page":"1292","publisher":"Multidisciplinary Digital Publishing Institute","title":"Estimating Free and Added Sugar Intakes in New Zealand","type":"article-journal","volume":"9"},"uris":["http://www.mendeley.com/documents/?uuid=11ffcf99-d937-31a9-b8cf-ee2d3ddea457"]}],"mendeley":{"formattedCitation":"(228)","plainTextFormattedCitation":"(228)","previouslyFormattedCitation":"(228)"},"properties":{"noteIndex":0},"schema":"https://github.com/citation-style-language/schema/raw/master/csl-citation.json"}</w:instrText>
            </w:r>
            <w:r w:rsidR="001C2171" w:rsidRPr="00A2227A">
              <w:rPr>
                <w:rFonts w:asciiTheme="minorHAnsi" w:hAnsiTheme="minorHAnsi" w:cstheme="minorHAnsi"/>
                <w:color w:val="000000"/>
                <w:sz w:val="20"/>
                <w:szCs w:val="20"/>
              </w:rPr>
              <w:fldChar w:fldCharType="separate"/>
            </w:r>
            <w:r w:rsidR="009C4029" w:rsidRPr="00A2227A">
              <w:rPr>
                <w:rFonts w:asciiTheme="minorHAnsi" w:hAnsiTheme="minorHAnsi" w:cstheme="minorHAnsi"/>
                <w:noProof/>
                <w:color w:val="000000"/>
                <w:sz w:val="20"/>
                <w:szCs w:val="20"/>
              </w:rPr>
              <w:t>(228)</w:t>
            </w:r>
            <w:r w:rsidR="001C2171" w:rsidRPr="00A2227A">
              <w:rPr>
                <w:rFonts w:asciiTheme="minorHAnsi" w:hAnsiTheme="minorHAnsi" w:cstheme="minorHAnsi"/>
                <w:color w:val="000000"/>
                <w:sz w:val="20"/>
                <w:szCs w:val="20"/>
              </w:rPr>
              <w:fldChar w:fldCharType="end"/>
            </w:r>
            <w:r w:rsidRPr="00A2227A">
              <w:rPr>
                <w:rFonts w:asciiTheme="minorHAnsi" w:hAnsiTheme="minorHAnsi" w:cstheme="minorHAnsi"/>
                <w:color w:val="000000"/>
                <w:sz w:val="20"/>
                <w:szCs w:val="20"/>
              </w:rPr>
              <w:t>. There were separate estimates for sucrose, fructose, lactose and total sugar intake, as well as for saturated and total fat intake but not intake of </w:t>
            </w:r>
            <w:r w:rsidRPr="00A2227A">
              <w:rPr>
                <w:rStyle w:val="Emphasis"/>
                <w:rFonts w:asciiTheme="minorHAnsi" w:hAnsiTheme="minorHAnsi" w:cstheme="minorHAnsi"/>
                <w:color w:val="000000"/>
                <w:sz w:val="20"/>
                <w:szCs w:val="20"/>
              </w:rPr>
              <w:t>trans </w:t>
            </w:r>
            <w:r w:rsidRPr="00A2227A">
              <w:rPr>
                <w:rFonts w:asciiTheme="minorHAnsi" w:hAnsiTheme="minorHAnsi" w:cstheme="minorHAnsi"/>
                <w:color w:val="000000"/>
                <w:sz w:val="20"/>
                <w:szCs w:val="20"/>
              </w:rPr>
              <w:t xml:space="preserve">fats. The latest nationwide survey on children was conducted in 2002. </w:t>
            </w:r>
            <w:r w:rsidR="0088179C" w:rsidRPr="00A2227A">
              <w:rPr>
                <w:rFonts w:asciiTheme="minorHAnsi" w:hAnsiTheme="minorHAnsi" w:cstheme="minorHAnsi"/>
                <w:sz w:val="20"/>
                <w:szCs w:val="20"/>
              </w:rPr>
              <w:t xml:space="preserve">Researchers can apply to access the micro-data </w:t>
            </w:r>
            <w:r w:rsidR="0088179C" w:rsidRPr="00A2227A">
              <w:rPr>
                <w:rFonts w:asciiTheme="minorHAnsi" w:hAnsiTheme="minorHAnsi" w:cstheme="minorHAnsi"/>
                <w:sz w:val="20"/>
                <w:szCs w:val="20"/>
              </w:rPr>
              <w:fldChar w:fldCharType="begin" w:fldLock="1"/>
            </w:r>
            <w:r w:rsidR="00EC12A7" w:rsidRPr="00A2227A">
              <w:rPr>
                <w:rFonts w:asciiTheme="minorHAnsi" w:hAnsiTheme="minorHAnsi" w:cstheme="minorHAnsi"/>
                <w:sz w:val="20"/>
                <w:szCs w:val="20"/>
              </w:rPr>
              <w:instrText>ADDIN CSL_CITATION {"citationItems":[{"id":"ITEM-1","itemData":{"URL":"http://www.health.govt.nz/nz-health-statistics/national-collections-and-surveys/surveys/current-recent-surveys/new-zealand-health-survey?mega=Health statistics&amp;title=NZ Health Survey#published","author":[{"dropping-particle":"","family":"Ministry of Health","given":"","non-dropping-particle":"","parse-names":false,"suffix":""}],"id":"ITEM-1","issue":"3/12/2016","issued":{"date-parts":[["2016"]]},"title":"New Zealand Health Survey  ","type":"webpage"},"uris":["http://www.mendeley.com/documents/?uuid=49070f80-ffe0-3172-b184-06a51354652e","http://www.mendeley.com/documents/?uuid=14b6ff52-d185-4640-9f3d-f2918ba2f002"]}],"mendeley":{"formattedCitation":"(229)","plainTextFormattedCitation":"(229)","previouslyFormattedCitation":"(229)"},"properties":{"noteIndex":0},"schema":"https://github.com/citation-style-language/schema/raw/master/csl-citation.json"}</w:instrText>
            </w:r>
            <w:r w:rsidR="0088179C" w:rsidRPr="00A2227A">
              <w:rPr>
                <w:rFonts w:asciiTheme="minorHAnsi" w:hAnsiTheme="minorHAnsi" w:cstheme="minorHAnsi"/>
                <w:sz w:val="20"/>
                <w:szCs w:val="20"/>
              </w:rPr>
              <w:fldChar w:fldCharType="separate"/>
            </w:r>
            <w:r w:rsidR="009C4029" w:rsidRPr="00A2227A">
              <w:rPr>
                <w:rFonts w:asciiTheme="minorHAnsi" w:hAnsiTheme="minorHAnsi" w:cstheme="minorHAnsi"/>
                <w:noProof/>
                <w:sz w:val="20"/>
                <w:szCs w:val="20"/>
              </w:rPr>
              <w:t>(229)</w:t>
            </w:r>
            <w:r w:rsidR="0088179C" w:rsidRPr="00A2227A">
              <w:rPr>
                <w:rFonts w:asciiTheme="minorHAnsi" w:hAnsiTheme="minorHAnsi" w:cstheme="minorHAnsi"/>
                <w:sz w:val="20"/>
                <w:szCs w:val="20"/>
              </w:rPr>
              <w:fldChar w:fldCharType="end"/>
            </w:r>
            <w:r w:rsidR="0088179C" w:rsidRPr="00A2227A">
              <w:rPr>
                <w:rFonts w:asciiTheme="minorHAnsi" w:hAnsiTheme="minorHAnsi" w:cstheme="minorHAnsi"/>
                <w:sz w:val="20"/>
                <w:szCs w:val="20"/>
              </w:rPr>
              <w:t>.</w:t>
            </w:r>
          </w:p>
          <w:p w14:paraId="712CD801" w14:textId="68685E1F" w:rsidR="00035BE0" w:rsidRPr="00A2227A" w:rsidRDefault="0024506F" w:rsidP="002D613F">
            <w:pPr>
              <w:pStyle w:val="ListParagraph"/>
              <w:numPr>
                <w:ilvl w:val="0"/>
                <w:numId w:val="30"/>
              </w:numPr>
              <w:shd w:val="clear" w:color="auto" w:fill="FFFFFF" w:themeFill="background1"/>
              <w:spacing w:before="40" w:after="40"/>
              <w:ind w:left="284" w:hanging="284"/>
              <w:contextualSpacing w:val="0"/>
              <w:rPr>
                <w:rFonts w:cs="Times New Roman"/>
                <w:szCs w:val="20"/>
              </w:rPr>
            </w:pPr>
            <w:r w:rsidRPr="00A2227A">
              <w:rPr>
                <w:rFonts w:cs="Times New Roman"/>
                <w:szCs w:val="20"/>
              </w:rPr>
              <w:t>HPA annual report 201</w:t>
            </w:r>
            <w:r w:rsidR="009927F4" w:rsidRPr="00A2227A">
              <w:rPr>
                <w:rFonts w:cs="Times New Roman"/>
                <w:szCs w:val="20"/>
              </w:rPr>
              <w:t>9</w:t>
            </w:r>
            <w:r w:rsidR="00AD4BF1" w:rsidRPr="00A2227A">
              <w:rPr>
                <w:rFonts w:cs="Times New Roman"/>
                <w:szCs w:val="20"/>
              </w:rPr>
              <w:t xml:space="preserve"> </w:t>
            </w:r>
            <w:r w:rsidR="004E4E6A" w:rsidRPr="00A2227A">
              <w:rPr>
                <w:rFonts w:cs="Times New Roman"/>
                <w:szCs w:val="20"/>
              </w:rPr>
              <w:fldChar w:fldCharType="begin" w:fldLock="1"/>
            </w:r>
            <w:r w:rsidR="00EC12A7" w:rsidRPr="00A2227A">
              <w:rPr>
                <w:rFonts w:cs="Times New Roman"/>
                <w:szCs w:val="20"/>
              </w:rPr>
              <w:instrText>ADDIN CSL_CITATION {"citationItems":[{"id":"ITEM-1","itemData":{"ISBN":"9429041905333","author":[{"dropping-particle":"","family":"Promotion Agency","given":"Health","non-dropping-particle":"","parse-names":false,"suffix":""}],"id":"ITEM-1","issued":{"date-parts":[["2019"]]},"title":"Health Promotion Agency Annual Report 2018/19","type":"report"},"uris":["http://www.mendeley.com/documents/?uuid=aa1866ad-8518-38c3-8a1d-98500b5985c0","http://www.mendeley.com/documents/?uuid=c689797f-07a0-45a4-86b5-842876029bd4"]}],"mendeley":{"formattedCitation":"(230)","plainTextFormattedCitation":"(230)","previouslyFormattedCitation":"(230)"},"properties":{"noteIndex":0},"schema":"https://github.com/citation-style-language/schema/raw/master/csl-citation.json"}</w:instrText>
            </w:r>
            <w:r w:rsidR="004E4E6A" w:rsidRPr="00A2227A">
              <w:rPr>
                <w:rFonts w:cs="Times New Roman"/>
                <w:szCs w:val="20"/>
              </w:rPr>
              <w:fldChar w:fldCharType="separate"/>
            </w:r>
            <w:r w:rsidR="009C4029" w:rsidRPr="00A2227A">
              <w:rPr>
                <w:rFonts w:cs="Times New Roman"/>
                <w:noProof/>
                <w:szCs w:val="20"/>
              </w:rPr>
              <w:t>(230)</w:t>
            </w:r>
            <w:r w:rsidR="004E4E6A" w:rsidRPr="00A2227A">
              <w:rPr>
                <w:rFonts w:cs="Times New Roman"/>
                <w:szCs w:val="20"/>
              </w:rPr>
              <w:fldChar w:fldCharType="end"/>
            </w:r>
            <w:r w:rsidRPr="00A2227A">
              <w:rPr>
                <w:rFonts w:cs="Times New Roman"/>
                <w:szCs w:val="20"/>
              </w:rPr>
              <w:t xml:space="preserve">: </w:t>
            </w:r>
            <w:r w:rsidR="0088179C" w:rsidRPr="00A2227A">
              <w:rPr>
                <w:rFonts w:cs="Times New Roman"/>
                <w:szCs w:val="20"/>
              </w:rPr>
              <w:t xml:space="preserve">The </w:t>
            </w:r>
            <w:r w:rsidR="005B63D3">
              <w:rPr>
                <w:rFonts w:cs="Times New Roman"/>
                <w:szCs w:val="20"/>
              </w:rPr>
              <w:t xml:space="preserve">national </w:t>
            </w:r>
            <w:r w:rsidRPr="00A2227A">
              <w:rPr>
                <w:rFonts w:cs="Times New Roman"/>
                <w:szCs w:val="20"/>
              </w:rPr>
              <w:t xml:space="preserve">Health and Lifestyles </w:t>
            </w:r>
            <w:r w:rsidR="005B63D3">
              <w:rPr>
                <w:rFonts w:cs="Times New Roman"/>
                <w:szCs w:val="20"/>
              </w:rPr>
              <w:t>S</w:t>
            </w:r>
            <w:r w:rsidRPr="00A2227A">
              <w:rPr>
                <w:rFonts w:cs="Times New Roman"/>
                <w:szCs w:val="20"/>
              </w:rPr>
              <w:t xml:space="preserve">urvey </w:t>
            </w:r>
            <w:r w:rsidR="005B63D3">
              <w:rPr>
                <w:rFonts w:cs="Times New Roman"/>
                <w:szCs w:val="20"/>
              </w:rPr>
              <w:t>measures trends in New Zealander’s behaviours, attitudes and knowledge on a range of health and lifestyle topics including food and drink. This is a biennial monitor and has been carried out since 2008.</w:t>
            </w:r>
          </w:p>
          <w:p w14:paraId="0E34B2A3" w14:textId="45E31EA7" w:rsidR="007D7D10" w:rsidRPr="00A2227A" w:rsidRDefault="008655E0" w:rsidP="002D613F">
            <w:pPr>
              <w:pStyle w:val="ListParagraph"/>
              <w:numPr>
                <w:ilvl w:val="0"/>
                <w:numId w:val="30"/>
              </w:numPr>
              <w:shd w:val="clear" w:color="auto" w:fill="FFFFFF" w:themeFill="background1"/>
              <w:spacing w:before="40" w:after="40"/>
              <w:ind w:left="284" w:hanging="284"/>
              <w:contextualSpacing w:val="0"/>
              <w:rPr>
                <w:rFonts w:cs="Times New Roman"/>
                <w:szCs w:val="20"/>
              </w:rPr>
            </w:pPr>
            <w:r w:rsidRPr="00A2227A">
              <w:rPr>
                <w:rFonts w:cs="Times New Roman"/>
                <w:szCs w:val="20"/>
              </w:rPr>
              <w:t>MP</w:t>
            </w:r>
            <w:r w:rsidR="00A028F8" w:rsidRPr="00A2227A">
              <w:rPr>
                <w:rFonts w:cs="Times New Roman"/>
                <w:szCs w:val="20"/>
              </w:rPr>
              <w:t xml:space="preserve">I had a request for a proposal </w:t>
            </w:r>
            <w:r w:rsidR="00BE1C19" w:rsidRPr="00A2227A">
              <w:rPr>
                <w:rFonts w:cs="Times New Roman"/>
                <w:szCs w:val="20"/>
              </w:rPr>
              <w:t xml:space="preserve">in November 2019 </w:t>
            </w:r>
            <w:r w:rsidR="00A028F8" w:rsidRPr="00A2227A">
              <w:rPr>
                <w:rFonts w:cs="Times New Roman"/>
                <w:szCs w:val="20"/>
              </w:rPr>
              <w:t>to complete a food and nutrient</w:t>
            </w:r>
            <w:r w:rsidR="00BE1C19" w:rsidRPr="00A2227A">
              <w:rPr>
                <w:rFonts w:cs="Times New Roman"/>
                <w:szCs w:val="20"/>
              </w:rPr>
              <w:t xml:space="preserve"> intake</w:t>
            </w:r>
            <w:r w:rsidR="00A028F8" w:rsidRPr="00A2227A">
              <w:rPr>
                <w:rFonts w:cs="Times New Roman"/>
                <w:szCs w:val="20"/>
              </w:rPr>
              <w:t xml:space="preserve"> survey of young children in New Zealand</w:t>
            </w:r>
            <w:r w:rsidR="00060F99" w:rsidRPr="00A2227A">
              <w:rPr>
                <w:rFonts w:cs="Times New Roman"/>
                <w:szCs w:val="20"/>
              </w:rPr>
              <w:t xml:space="preserve"> </w:t>
            </w:r>
            <w:r w:rsidR="00AE0E8E" w:rsidRPr="00A2227A">
              <w:rPr>
                <w:rFonts w:cs="Times New Roman"/>
                <w:szCs w:val="20"/>
              </w:rPr>
              <w:t>which</w:t>
            </w:r>
            <w:r w:rsidR="00060F99" w:rsidRPr="00A2227A">
              <w:rPr>
                <w:rFonts w:cs="Times New Roman"/>
                <w:szCs w:val="20"/>
              </w:rPr>
              <w:t xml:space="preserve"> was closed in December 2019</w:t>
            </w:r>
            <w:r w:rsidR="00A60078" w:rsidRPr="00A2227A">
              <w:rPr>
                <w:rFonts w:cs="Times New Roman"/>
                <w:szCs w:val="20"/>
              </w:rPr>
              <w:t xml:space="preserve"> </w:t>
            </w:r>
            <w:r w:rsidR="00A60078" w:rsidRPr="00A2227A">
              <w:rPr>
                <w:rFonts w:cs="Times New Roman"/>
                <w:szCs w:val="20"/>
              </w:rPr>
              <w:fldChar w:fldCharType="begin" w:fldLock="1"/>
            </w:r>
            <w:r w:rsidR="00EC12A7" w:rsidRPr="00A2227A">
              <w:rPr>
                <w:rFonts w:cs="Times New Roman"/>
                <w:szCs w:val="20"/>
              </w:rPr>
              <w:instrText>ADDIN CSL_CITATION {"citationItems":[{"id":"ITEM-1","itemData":{"URL":"https://www.gets.govt.nz/ExternalIndex.htm","accessed":{"date-parts":[["2020","2","5"]]},"author":[{"dropping-particle":"","family":"Gets.govt.nz","given":"","non-dropping-particle":"","parse-names":false,"suffix":""}],"container-title":"New Zealand Government","id":"ITEM-1","issued":{"date-parts":[["2020"]]},"title":"GETS - Government Electronic Tender Service | Current Tenders","type":"webpage"},"uris":["http://www.mendeley.com/documents/?uuid=b4d85c37-0707-3097-acb3-589d2e6dac9d"]}],"mendeley":{"formattedCitation":"(231)","plainTextFormattedCitation":"(231)","previouslyFormattedCitation":"(231)"},"properties":{"noteIndex":0},"schema":"https://github.com/citation-style-language/schema/raw/master/csl-citation.json"}</w:instrText>
            </w:r>
            <w:r w:rsidR="00A60078" w:rsidRPr="00A2227A">
              <w:rPr>
                <w:rFonts w:cs="Times New Roman"/>
                <w:szCs w:val="20"/>
              </w:rPr>
              <w:fldChar w:fldCharType="separate"/>
            </w:r>
            <w:r w:rsidR="009C4029" w:rsidRPr="00A2227A">
              <w:rPr>
                <w:rFonts w:cs="Times New Roman"/>
                <w:noProof/>
                <w:szCs w:val="20"/>
              </w:rPr>
              <w:t>(231)</w:t>
            </w:r>
            <w:r w:rsidR="00A60078" w:rsidRPr="00A2227A">
              <w:rPr>
                <w:rFonts w:cs="Times New Roman"/>
                <w:szCs w:val="20"/>
              </w:rPr>
              <w:fldChar w:fldCharType="end"/>
            </w:r>
            <w:r w:rsidR="00AE0E8E" w:rsidRPr="00A2227A">
              <w:rPr>
                <w:rFonts w:cs="Times New Roman"/>
                <w:szCs w:val="20"/>
              </w:rPr>
              <w:t>.</w:t>
            </w:r>
          </w:p>
          <w:p w14:paraId="41A6C9A1" w14:textId="77777777" w:rsidR="00D25895" w:rsidRPr="00A2227A" w:rsidRDefault="00D25895" w:rsidP="002D613F">
            <w:pPr>
              <w:shd w:val="clear" w:color="auto" w:fill="FFFFFF" w:themeFill="background1"/>
              <w:spacing w:before="40" w:after="40"/>
              <w:rPr>
                <w:rFonts w:cs="Times New Roman"/>
                <w:szCs w:val="20"/>
              </w:rPr>
            </w:pPr>
          </w:p>
          <w:p w14:paraId="1773E536" w14:textId="0CB58DE8" w:rsidR="00C04080" w:rsidRPr="00A2227A" w:rsidRDefault="00C04080" w:rsidP="002D613F">
            <w:pPr>
              <w:spacing w:before="40" w:after="40"/>
              <w:rPr>
                <w:b/>
                <w:color w:val="1F497D"/>
                <w:sz w:val="28"/>
                <w:szCs w:val="28"/>
              </w:rPr>
            </w:pPr>
            <w:r w:rsidRPr="00A2227A">
              <w:rPr>
                <w:b/>
                <w:color w:val="1F497D"/>
                <w:sz w:val="28"/>
                <w:szCs w:val="28"/>
              </w:rPr>
              <w:t xml:space="preserve">International best practice </w:t>
            </w:r>
            <w:r w:rsidR="00AE20D3" w:rsidRPr="00A2227A">
              <w:rPr>
                <w:b/>
                <w:color w:val="1F497D"/>
                <w:sz w:val="28"/>
                <w:szCs w:val="28"/>
              </w:rPr>
              <w:t>examples</w:t>
            </w:r>
            <w:r w:rsidRPr="00A2227A">
              <w:rPr>
                <w:b/>
                <w:color w:val="1F497D"/>
                <w:sz w:val="28"/>
                <w:szCs w:val="28"/>
              </w:rPr>
              <w:t xml:space="preserve"> (benchmarks)</w:t>
            </w:r>
          </w:p>
          <w:p w14:paraId="2AD294B3" w14:textId="18D27DCD" w:rsidR="00D25895" w:rsidRPr="00A2227A" w:rsidRDefault="00D25895" w:rsidP="002D613F">
            <w:pPr>
              <w:pStyle w:val="ListParagraph"/>
              <w:numPr>
                <w:ilvl w:val="0"/>
                <w:numId w:val="78"/>
              </w:numPr>
              <w:shd w:val="clear" w:color="auto" w:fill="FFFFFF" w:themeFill="background1"/>
              <w:spacing w:before="40" w:after="40"/>
              <w:ind w:left="284" w:hanging="284"/>
              <w:contextualSpacing w:val="0"/>
              <w:rPr>
                <w:rFonts w:cs="Times New Roman"/>
                <w:szCs w:val="20"/>
              </w:rPr>
            </w:pPr>
            <w:r w:rsidRPr="00A2227A">
              <w:rPr>
                <w:rFonts w:eastAsia="Times New Roman" w:cs="Times New Roman"/>
                <w:b/>
                <w:szCs w:val="20"/>
                <w:lang w:eastAsia="en-NZ"/>
              </w:rPr>
              <w:t>US</w:t>
            </w:r>
            <w:r w:rsidRPr="00A2227A">
              <w:rPr>
                <w:rFonts w:eastAsia="Times New Roman" w:cs="Times New Roman"/>
                <w:szCs w:val="20"/>
                <w:lang w:eastAsia="en-NZ"/>
              </w:rPr>
              <w:t>: The National Health and Nutrition Examination Survey (NHANES) is a program of studies designed to assess the health and nutritional status of adults and children in the United States. The survey is unique in that it combines interviews and physical examinations</w:t>
            </w:r>
            <w:r w:rsidR="0060515A" w:rsidRPr="00A2227A">
              <w:rPr>
                <w:rFonts w:eastAsia="Times New Roman" w:cs="Times New Roman"/>
                <w:szCs w:val="20"/>
                <w:lang w:eastAsia="en-NZ"/>
              </w:rPr>
              <w:t xml:space="preserve"> </w:t>
            </w:r>
            <w:r w:rsidR="00B2049C" w:rsidRPr="00A2227A">
              <w:rPr>
                <w:rFonts w:eastAsia="Times New Roman" w:cs="Times New Roman"/>
                <w:szCs w:val="20"/>
                <w:lang w:eastAsia="en-NZ"/>
              </w:rPr>
              <w:fldChar w:fldCharType="begin" w:fldLock="1"/>
            </w:r>
            <w:r w:rsidR="00EC12A7" w:rsidRPr="00A2227A">
              <w:rPr>
                <w:rFonts w:eastAsia="Times New Roman" w:cs="Times New Roman"/>
                <w:szCs w:val="20"/>
                <w:lang w:eastAsia="en-NZ"/>
              </w:rPr>
              <w:instrText>ADDIN CSL_CITATION {"citationItems":[{"id":"ITEM-1","itemData":{"URL":"http://www.cdc.gov/nchs/nhanes.htm","author":[{"dropping-particle":"","family":"Centres for Disease Control","given":"","non-dropping-particle":"","parse-names":false,"suffix":""}],"id":"ITEM-1","issue":"22/02/2016","issued":{"date-parts":[["2016"]]},"title":"National Health and Nutrition Examination Survey","type":"webpage"},"uris":["http://www.mendeley.com/documents/?uuid=1b52855f-b88a-30f9-a9bb-aaa4831abd9a","http://www.mendeley.com/documents/?uuid=80924cab-1d4c-42e5-a26e-b696a19b07e7"]}],"mendeley":{"formattedCitation":"(232)","plainTextFormattedCitation":"(232)","previouslyFormattedCitation":"(232)"},"properties":{"noteIndex":0},"schema":"https://github.com/citation-style-language/schema/raw/master/csl-citation.json"}</w:instrText>
            </w:r>
            <w:r w:rsidR="00B2049C" w:rsidRPr="00A2227A">
              <w:rPr>
                <w:rFonts w:eastAsia="Times New Roman" w:cs="Times New Roman"/>
                <w:szCs w:val="20"/>
                <w:lang w:eastAsia="en-NZ"/>
              </w:rPr>
              <w:fldChar w:fldCharType="separate"/>
            </w:r>
            <w:r w:rsidR="009C4029" w:rsidRPr="00A2227A">
              <w:rPr>
                <w:rFonts w:eastAsia="Times New Roman" w:cs="Times New Roman"/>
                <w:noProof/>
                <w:szCs w:val="20"/>
                <w:lang w:eastAsia="en-NZ"/>
              </w:rPr>
              <w:t>(232)</w:t>
            </w:r>
            <w:r w:rsidR="00B2049C" w:rsidRPr="00A2227A">
              <w:rPr>
                <w:rFonts w:eastAsia="Times New Roman" w:cs="Times New Roman"/>
                <w:szCs w:val="20"/>
                <w:lang w:eastAsia="en-NZ"/>
              </w:rPr>
              <w:fldChar w:fldCharType="end"/>
            </w:r>
            <w:r w:rsidRPr="00A2227A">
              <w:rPr>
                <w:rFonts w:eastAsia="Times New Roman" w:cs="Times New Roman"/>
                <w:szCs w:val="20"/>
                <w:lang w:eastAsia="en-NZ"/>
              </w:rPr>
              <w:t xml:space="preserve">. The NHANES program began in the early 1960s and has been conducted as a series of surveys focusing on different population groups or health topics. In 1999, the survey became a continuous program that has a changing focus on a variety of health and nutrition measurements to meet emerging needs. The survey examines a nationally representative sample of about 5,000 persons each year. These persons </w:t>
            </w:r>
            <w:r w:rsidR="00BE406F" w:rsidRPr="00A2227A">
              <w:rPr>
                <w:rFonts w:eastAsia="Times New Roman" w:cs="Times New Roman"/>
                <w:szCs w:val="20"/>
                <w:lang w:eastAsia="en-NZ"/>
              </w:rPr>
              <w:t>are in</w:t>
            </w:r>
            <w:r w:rsidRPr="00A2227A">
              <w:rPr>
                <w:rFonts w:eastAsia="Times New Roman" w:cs="Times New Roman"/>
                <w:szCs w:val="20"/>
                <w:lang w:eastAsia="en-NZ"/>
              </w:rPr>
              <w:t xml:space="preserve"> counties across the country, 15 of which are visited each year.</w:t>
            </w:r>
          </w:p>
        </w:tc>
      </w:tr>
    </w:tbl>
    <w:p w14:paraId="5CF39AC1" w14:textId="32A1F6D6" w:rsidR="00923311" w:rsidRPr="0091450A" w:rsidRDefault="00923311" w:rsidP="002D613F">
      <w:pPr>
        <w:spacing w:after="0" w:line="240" w:lineRule="auto"/>
      </w:pPr>
    </w:p>
    <w:tbl>
      <w:tblPr>
        <w:tblStyle w:val="TableGrid"/>
        <w:tblW w:w="9209" w:type="dxa"/>
        <w:tblLook w:val="04A0" w:firstRow="1" w:lastRow="0" w:firstColumn="1" w:lastColumn="0" w:noHBand="0" w:noVBand="1"/>
      </w:tblPr>
      <w:tblGrid>
        <w:gridCol w:w="9209"/>
      </w:tblGrid>
      <w:tr w:rsidR="002C1960" w:rsidRPr="0091450A" w14:paraId="66585FE6" w14:textId="77777777" w:rsidTr="005551B6">
        <w:tc>
          <w:tcPr>
            <w:tcW w:w="9209" w:type="dxa"/>
          </w:tcPr>
          <w:p w14:paraId="0884B675" w14:textId="50604B24" w:rsidR="002C1960" w:rsidRPr="0091450A" w:rsidRDefault="008C0F5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t xml:space="preserve">10 </w:t>
            </w:r>
            <w:r w:rsidR="002C1960" w:rsidRPr="0091450A">
              <w:rPr>
                <w:rFonts w:cs="Times New Roman"/>
                <w:b/>
                <w:color w:val="1F497D" w:themeColor="text2"/>
                <w:sz w:val="28"/>
                <w:szCs w:val="28"/>
              </w:rPr>
              <w:t>MONITORING</w:t>
            </w:r>
            <w:r w:rsidRPr="0091450A">
              <w:rPr>
                <w:rFonts w:cs="Times New Roman"/>
                <w:b/>
                <w:color w:val="1F497D" w:themeColor="text2"/>
                <w:sz w:val="28"/>
                <w:szCs w:val="28"/>
              </w:rPr>
              <w:t xml:space="preserve"> AND INTELLIGENCE</w:t>
            </w:r>
            <w:r w:rsidR="002C1960" w:rsidRPr="0091450A">
              <w:rPr>
                <w:rFonts w:cs="Times New Roman"/>
                <w:b/>
                <w:color w:val="1F497D" w:themeColor="text2"/>
                <w:sz w:val="28"/>
                <w:szCs w:val="28"/>
              </w:rPr>
              <w:t xml:space="preserve">: </w:t>
            </w:r>
            <w:r w:rsidR="00B84363"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202592">
              <w:rPr>
                <w:rFonts w:cs="Times New Roman"/>
                <w:szCs w:val="20"/>
              </w:rPr>
              <w:t>-</w:t>
            </w:r>
            <w:r w:rsidR="00C76DA0" w:rsidRPr="0091450A">
              <w:rPr>
                <w:rFonts w:cs="Times New Roman"/>
                <w:szCs w:val="20"/>
              </w:rPr>
              <w:t>related</w:t>
            </w:r>
            <w:r w:rsidR="00B84363" w:rsidRPr="0091450A">
              <w:rPr>
                <w:rFonts w:cs="Times New Roman"/>
                <w:szCs w:val="20"/>
              </w:rPr>
              <w:t xml:space="preserve"> NCDs and their inequalities, and to measure progress on achieving the goals of nutrition and health plans</w:t>
            </w:r>
            <w:r w:rsidR="00B84E85" w:rsidRPr="0091450A">
              <w:rPr>
                <w:rFonts w:cs="Times New Roman"/>
                <w:szCs w:val="20"/>
              </w:rPr>
              <w:t>.</w:t>
            </w:r>
          </w:p>
        </w:tc>
      </w:tr>
      <w:tr w:rsidR="002C1960" w:rsidRPr="0091450A" w14:paraId="7CA12F4F" w14:textId="77777777" w:rsidTr="005551B6">
        <w:tc>
          <w:tcPr>
            <w:tcW w:w="9209" w:type="dxa"/>
          </w:tcPr>
          <w:p w14:paraId="6763D9A3" w14:textId="0E4D4C59" w:rsidR="002C1960" w:rsidRPr="0091450A" w:rsidRDefault="00A27C87" w:rsidP="002D613F">
            <w:pPr>
              <w:shd w:val="clear" w:color="auto" w:fill="FFFFFF" w:themeFill="background1"/>
              <w:spacing w:before="40" w:after="40"/>
              <w:rPr>
                <w:rFonts w:cs="Times New Roman"/>
                <w:color w:val="000000"/>
                <w:szCs w:val="20"/>
                <w:lang w:eastAsia="en-NZ"/>
              </w:rPr>
            </w:pPr>
            <w:bookmarkStart w:id="60" w:name="_Toc31623758"/>
            <w:r w:rsidRPr="0091450A">
              <w:rPr>
                <w:rStyle w:val="Heading3Char"/>
              </w:rPr>
              <w:t>MONIT3</w:t>
            </w:r>
            <w:bookmarkEnd w:id="60"/>
            <w:r w:rsidR="002C1960" w:rsidRPr="0091450A">
              <w:rPr>
                <w:rFonts w:cs="Times New Roman"/>
                <w:b/>
                <w:color w:val="1F497D" w:themeColor="text2"/>
                <w:sz w:val="28"/>
                <w:szCs w:val="28"/>
              </w:rPr>
              <w:t xml:space="preserve">: </w:t>
            </w:r>
            <w:r w:rsidR="00B67572" w:rsidRPr="0091450A">
              <w:rPr>
                <w:rFonts w:cs="Times New Roman"/>
                <w:b/>
                <w:szCs w:val="20"/>
              </w:rPr>
              <w:t>There is regular monitoring of adult and childhood overweight and obesity prevalence using anthrop</w:t>
            </w:r>
            <w:r w:rsidR="006543FC" w:rsidRPr="0091450A">
              <w:rPr>
                <w:rFonts w:cs="Times New Roman"/>
                <w:b/>
                <w:szCs w:val="20"/>
              </w:rPr>
              <w:t>ometric</w:t>
            </w:r>
            <w:r w:rsidR="00B67572" w:rsidRPr="0091450A">
              <w:rPr>
                <w:rFonts w:cs="Times New Roman"/>
                <w:b/>
                <w:szCs w:val="20"/>
              </w:rPr>
              <w:t xml:space="preserve"> measurements</w:t>
            </w:r>
            <w:r w:rsidR="00B84E85" w:rsidRPr="0091450A">
              <w:rPr>
                <w:rFonts w:cs="Times New Roman"/>
                <w:b/>
                <w:szCs w:val="20"/>
              </w:rPr>
              <w:t>.</w:t>
            </w:r>
          </w:p>
        </w:tc>
      </w:tr>
      <w:tr w:rsidR="002C1960" w:rsidRPr="0091450A" w14:paraId="32F2A8B3" w14:textId="77777777" w:rsidTr="005551B6">
        <w:tc>
          <w:tcPr>
            <w:tcW w:w="9209" w:type="dxa"/>
          </w:tcPr>
          <w:p w14:paraId="7C583210" w14:textId="24D781FD"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463AC6E" w14:textId="69007E92" w:rsidR="005B6019" w:rsidRPr="0091450A" w:rsidRDefault="00FD1026" w:rsidP="002D613F">
            <w:pPr>
              <w:pStyle w:val="ListParagraph"/>
              <w:numPr>
                <w:ilvl w:val="0"/>
                <w:numId w:val="31"/>
              </w:numPr>
              <w:shd w:val="clear" w:color="auto" w:fill="FFFFFF" w:themeFill="background1"/>
              <w:spacing w:before="40" w:after="40"/>
              <w:ind w:left="284" w:hanging="284"/>
              <w:contextualSpacing w:val="0"/>
              <w:rPr>
                <w:rFonts w:cs="Times New Roman"/>
                <w:szCs w:val="20"/>
              </w:rPr>
            </w:pPr>
            <w:r w:rsidRPr="0091450A">
              <w:rPr>
                <w:rFonts w:cs="Times New Roman"/>
                <w:szCs w:val="20"/>
              </w:rPr>
              <w:lastRenderedPageBreak/>
              <w:t xml:space="preserve">The </w:t>
            </w:r>
            <w:r w:rsidR="00341E0D" w:rsidRPr="0091450A">
              <w:rPr>
                <w:rFonts w:cs="Times New Roman"/>
                <w:szCs w:val="20"/>
              </w:rPr>
              <w:t>NZ h</w:t>
            </w:r>
            <w:r w:rsidR="005B6019" w:rsidRPr="0091450A">
              <w:rPr>
                <w:rFonts w:cs="Times New Roman"/>
                <w:szCs w:val="20"/>
              </w:rPr>
              <w:t xml:space="preserve">ealth </w:t>
            </w:r>
            <w:r w:rsidR="005B6019" w:rsidRPr="000B4F4B">
              <w:rPr>
                <w:rFonts w:cs="Times New Roman"/>
                <w:szCs w:val="20"/>
              </w:rPr>
              <w:t>survey continues to measure weight and height and publish the results annually</w:t>
            </w:r>
            <w:r w:rsidR="00665F40" w:rsidRPr="000B4F4B">
              <w:rPr>
                <w:rFonts w:cs="Times New Roman"/>
                <w:szCs w:val="20"/>
              </w:rPr>
              <w:t xml:space="preserve"> </w:t>
            </w:r>
            <w:r w:rsidR="000066BD" w:rsidRPr="000B4F4B">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{"citationItems":[{"id":"ITEM-1","itemData":{"URL":"http://www.health.govt.nz/nz-health-statistics/national-collections-and-surveys/surveys/current-recent-surveys/new-zealand-health-survey?mega=Health statistics&amp;title=NZ Health Survey#published","author":[{"dropping-particle":"","family":"Ministry of Health","given":"","non-dropping-particle":"","parse-names":false,"suffix":""}],"id":"ITEM-1","issue":"3/12/2016","issued":{"date-parts":[["2016"]]},"title":"New Zealand Health Survey  ","type":"webpage"},"uris":["http://www.mendeley.com/documents/?uuid=14b6ff52-d185-4640-9f3d-f2918ba2f002","http://www.mendeley.com/documents/?uuid=49070f80-ffe0-3172-b184-06a51354652e"]}],"mendeley":{"formattedCitation":"(229)","plainTextFormattedCitation":"(229)","previouslyFormattedCitation":"(229)"},"properties":{"noteIndex":0},"schema":"https://github.com/citation-style-language/schema/raw/master/csl-citation.json"}</w:instrText>
            </w:r>
            <w:r w:rsidR="000066BD" w:rsidRPr="000B4F4B">
              <w:rPr>
                <w:rFonts w:cs="Times New Roman"/>
                <w:szCs w:val="20"/>
              </w:rPr>
              <w:fldChar w:fldCharType="separate"/>
            </w:r>
            <w:r w:rsidR="009C4029" w:rsidRPr="009C4029">
              <w:rPr>
                <w:rFonts w:cs="Times New Roman"/>
                <w:noProof/>
                <w:szCs w:val="20"/>
              </w:rPr>
              <w:t>(229)</w:t>
            </w:r>
            <w:r w:rsidR="000066BD" w:rsidRPr="000B4F4B">
              <w:rPr>
                <w:rFonts w:cs="Times New Roman"/>
                <w:szCs w:val="20"/>
              </w:rPr>
              <w:fldChar w:fldCharType="end"/>
            </w:r>
            <w:r w:rsidR="005B6019" w:rsidRPr="000B4F4B">
              <w:rPr>
                <w:rFonts w:cs="Times New Roman"/>
                <w:szCs w:val="20"/>
              </w:rPr>
              <w:t xml:space="preserve">. </w:t>
            </w:r>
            <w:r w:rsidR="00EE1291" w:rsidRPr="000B4F4B">
              <w:rPr>
                <w:rFonts w:cs="Times New Roman"/>
                <w:szCs w:val="20"/>
              </w:rPr>
              <w:t xml:space="preserve">The survey has over 13000 adults and </w:t>
            </w:r>
            <w:r w:rsidR="00B459BB" w:rsidRPr="000B4F4B">
              <w:rPr>
                <w:rFonts w:cs="Times New Roman"/>
                <w:szCs w:val="20"/>
              </w:rPr>
              <w:t>4000 ch</w:t>
            </w:r>
            <w:r w:rsidR="00341E0D" w:rsidRPr="000B4F4B">
              <w:rPr>
                <w:rFonts w:cs="Times New Roman"/>
                <w:szCs w:val="20"/>
              </w:rPr>
              <w:t>ildren participating annually. A p</w:t>
            </w:r>
            <w:r w:rsidR="00B459BB" w:rsidRPr="000B4F4B">
              <w:rPr>
                <w:rFonts w:cs="Times New Roman"/>
                <w:szCs w:val="20"/>
              </w:rPr>
              <w:t xml:space="preserve">ublication </w:t>
            </w:r>
            <w:r w:rsidR="00341E0D" w:rsidRPr="000B4F4B">
              <w:rPr>
                <w:rFonts w:cs="Times New Roman"/>
                <w:szCs w:val="20"/>
              </w:rPr>
              <w:t xml:space="preserve">on </w:t>
            </w:r>
            <w:r w:rsidR="00B459BB" w:rsidRPr="000B4F4B">
              <w:rPr>
                <w:rFonts w:cs="Times New Roman"/>
                <w:szCs w:val="20"/>
              </w:rPr>
              <w:t>16 April 2015 ‘Understanding excess body weight: New Zealand Health Survey</w:t>
            </w:r>
            <w:r w:rsidR="00341E0D" w:rsidRPr="000B4F4B">
              <w:rPr>
                <w:rFonts w:cs="Times New Roman"/>
                <w:szCs w:val="20"/>
              </w:rPr>
              <w:t>’</w:t>
            </w:r>
            <w:r w:rsidR="00B56722" w:rsidRPr="000B4F4B">
              <w:rPr>
                <w:rFonts w:cs="Times New Roman"/>
                <w:szCs w:val="20"/>
              </w:rPr>
              <w:t xml:space="preserve"> </w:t>
            </w:r>
            <w:r w:rsidR="000066BD" w:rsidRPr="000B4F4B">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Health","given":"","non-dropping-particle":"","parse-names":false,"suffix":""}],"id":"ITEM-1","issued":{"date-parts":[["2015"]]},"publisher":"Ministry of Health","publisher-place":"Wellington","title":"Understanding excess body weight: New Zealand Health Survey","type":"report"},"uris":["http://www.mendeley.com/documents/?uuid=3320b2d7-f654-3009-b7cf-262e40b96a7b","http://www.mendeley.com/documents/?uuid=00871861-e468-436a-a11c-bb1d364ee2d4"]}],"mendeley":{"formattedCitation":"(233)","plainTextFormattedCitation":"(233)","previouslyFormattedCitation":"(233)"},"properties":{"noteIndex":0},"schema":"https://github.com/citation-style-language/schema/raw/master/csl-citation.json"}</w:instrText>
            </w:r>
            <w:r w:rsidR="000066BD" w:rsidRPr="000B4F4B">
              <w:rPr>
                <w:rFonts w:cs="Times New Roman"/>
                <w:szCs w:val="20"/>
              </w:rPr>
              <w:fldChar w:fldCharType="separate"/>
            </w:r>
            <w:r w:rsidR="009C4029" w:rsidRPr="009C4029">
              <w:rPr>
                <w:rFonts w:cs="Times New Roman"/>
                <w:noProof/>
                <w:szCs w:val="20"/>
              </w:rPr>
              <w:t>(233)</w:t>
            </w:r>
            <w:r w:rsidR="000066BD" w:rsidRPr="000B4F4B">
              <w:rPr>
                <w:rFonts w:cs="Times New Roman"/>
                <w:szCs w:val="20"/>
              </w:rPr>
              <w:fldChar w:fldCharType="end"/>
            </w:r>
            <w:r w:rsidR="00341E0D" w:rsidRPr="000B4F4B">
              <w:rPr>
                <w:rFonts w:cs="Times New Roman"/>
                <w:szCs w:val="20"/>
              </w:rPr>
              <w:t>,</w:t>
            </w:r>
            <w:r w:rsidR="00B459BB" w:rsidRPr="000B4F4B">
              <w:rPr>
                <w:rFonts w:cs="Times New Roman"/>
                <w:szCs w:val="20"/>
              </w:rPr>
              <w:t xml:space="preserve"> explores the increase in obesity over a 36-year period to 2013 and investigates</w:t>
            </w:r>
            <w:r w:rsidR="00B459BB" w:rsidRPr="0091450A">
              <w:rPr>
                <w:rFonts w:cs="Times New Roman"/>
                <w:szCs w:val="20"/>
              </w:rPr>
              <w:t xml:space="preserve"> the impact on different birth cohorts. It reviews the </w:t>
            </w:r>
            <w:r w:rsidR="005F6F26" w:rsidRPr="0091450A">
              <w:rPr>
                <w:rFonts w:cs="Times New Roman"/>
                <w:szCs w:val="20"/>
              </w:rPr>
              <w:t>status</w:t>
            </w:r>
            <w:r w:rsidR="00B459BB" w:rsidRPr="0091450A">
              <w:rPr>
                <w:rFonts w:cs="Times New Roman"/>
                <w:szCs w:val="20"/>
              </w:rPr>
              <w:t xml:space="preserve"> of adult and child obesity in NZ, looking at the population groups that are affected most. </w:t>
            </w:r>
            <w:r w:rsidRPr="0091450A">
              <w:rPr>
                <w:rFonts w:cs="Times New Roman"/>
                <w:szCs w:val="20"/>
              </w:rPr>
              <w:t>A questionnaire gathers information on key questions on nutrition, general health; anthropometry, NCDs. The health surveys also measure waist circumference among children and adults</w:t>
            </w:r>
            <w:r w:rsidR="0060515A" w:rsidRPr="0091450A">
              <w:rPr>
                <w:rFonts w:cs="Times New Roman"/>
                <w:szCs w:val="20"/>
              </w:rPr>
              <w:t>.</w:t>
            </w:r>
            <w:r w:rsidR="00662E8C">
              <w:rPr>
                <w:rFonts w:cs="Times New Roman"/>
                <w:szCs w:val="20"/>
              </w:rPr>
              <w:t xml:space="preserve"> The latest results are set to be released in 2020.</w:t>
            </w:r>
          </w:p>
          <w:p w14:paraId="3A671BDB" w14:textId="10F158A4" w:rsidR="00D359A0" w:rsidRPr="0091450A" w:rsidRDefault="00BC7B46" w:rsidP="002D613F">
            <w:pPr>
              <w:pStyle w:val="ListParagraph"/>
              <w:numPr>
                <w:ilvl w:val="0"/>
                <w:numId w:val="31"/>
              </w:numPr>
              <w:shd w:val="clear" w:color="auto" w:fill="FFFFFF" w:themeFill="background1"/>
              <w:spacing w:before="40" w:after="40"/>
              <w:ind w:left="284" w:hanging="284"/>
              <w:contextualSpacing w:val="0"/>
              <w:rPr>
                <w:rFonts w:cs="Times New Roman"/>
                <w:szCs w:val="20"/>
              </w:rPr>
            </w:pPr>
            <w:r w:rsidRPr="008D1899">
              <w:rPr>
                <w:rFonts w:cs="Times New Roman"/>
                <w:szCs w:val="20"/>
              </w:rPr>
              <w:t>The B4 School Check</w:t>
            </w:r>
            <w:r w:rsidR="00FD1026" w:rsidRPr="008D1899">
              <w:rPr>
                <w:rFonts w:cs="Times New Roman"/>
                <w:szCs w:val="20"/>
              </w:rPr>
              <w:t xml:space="preserve"> </w:t>
            </w:r>
            <w:r w:rsidR="000066BD" w:rsidRPr="008D1899">
              <w:rPr>
                <w:rFonts w:cs="Times New Roman"/>
                <w:szCs w:val="20"/>
              </w:rPr>
              <w:fldChar w:fldCharType="begin" w:fldLock="1"/>
            </w:r>
            <w:r w:rsidR="00EC12A7">
              <w:rPr>
                <w:rFonts w:cs="Times New Roman"/>
                <w:szCs w:val="20"/>
              </w:rPr>
              <w:instrText>ADDIN CSL_CITATION {"citationItems":[{"id":"ITEM-1","itemData":{"URL":"http://www.health.govt.nz/our-work/life-stages/child-health/b4-school-check","author":[{"dropping-particle":"","family":"Ministry of Health","given":"","non-dropping-particle":"","parse-names":false,"suffix":""}],"id":"ITEM-1","issue":"21/01/2014","issued":{"date-parts":[["0"]]},"title":"B4 School Check","type":"webpage"},"uris":["http://www.mendeley.com/documents/?uuid=6704c3ed-dc46-3398-9d14-d2148d93fd78","http://www.mendeley.com/documents/?uuid=a7ef01aa-efc5-4d80-8018-c1451b2dc743"]}],"mendeley":{"formattedCitation":"(234)","plainTextFormattedCitation":"(234)","previouslyFormattedCitation":"(234)"},"properties":{"noteIndex":0},"schema":"https://github.com/citation-style-language/schema/raw/master/csl-citation.json"}</w:instrText>
            </w:r>
            <w:r w:rsidR="000066BD" w:rsidRPr="008D1899">
              <w:rPr>
                <w:rFonts w:cs="Times New Roman"/>
                <w:szCs w:val="20"/>
              </w:rPr>
              <w:fldChar w:fldCharType="separate"/>
            </w:r>
            <w:r w:rsidR="009C4029" w:rsidRPr="009C4029">
              <w:rPr>
                <w:rFonts w:cs="Times New Roman"/>
                <w:noProof/>
                <w:szCs w:val="20"/>
              </w:rPr>
              <w:t>(234)</w:t>
            </w:r>
            <w:r w:rsidR="000066BD" w:rsidRPr="008D1899">
              <w:rPr>
                <w:rFonts w:cs="Times New Roman"/>
                <w:szCs w:val="20"/>
              </w:rPr>
              <w:fldChar w:fldCharType="end"/>
            </w:r>
            <w:r w:rsidR="001204B9" w:rsidRPr="008D1899">
              <w:rPr>
                <w:rFonts w:cs="Times New Roman"/>
                <w:szCs w:val="20"/>
              </w:rPr>
              <w:t xml:space="preserve"> </w:t>
            </w:r>
            <w:r w:rsidRPr="008D1899">
              <w:rPr>
                <w:rFonts w:cs="Times New Roman"/>
                <w:szCs w:val="20"/>
              </w:rPr>
              <w:t>is a</w:t>
            </w:r>
            <w:r w:rsidRPr="0091450A">
              <w:rPr>
                <w:rFonts w:cs="Times New Roman"/>
                <w:szCs w:val="20"/>
              </w:rPr>
              <w:t xml:space="preserve"> nationwide programme offering a free health and development check for four</w:t>
            </w:r>
            <w:r w:rsidR="00202592">
              <w:rPr>
                <w:rFonts w:cs="Times New Roman"/>
                <w:szCs w:val="20"/>
              </w:rPr>
              <w:t>-year-</w:t>
            </w:r>
            <w:r w:rsidRPr="0091450A">
              <w:rPr>
                <w:rFonts w:cs="Times New Roman"/>
                <w:szCs w:val="20"/>
              </w:rPr>
              <w:t xml:space="preserve">olds. B4 School Checks were rolled out nationwide in September 2008. </w:t>
            </w:r>
            <w:r w:rsidR="001B4CC4" w:rsidRPr="0091450A">
              <w:rPr>
                <w:rFonts w:cs="Times New Roman"/>
                <w:szCs w:val="20"/>
              </w:rPr>
              <w:t>The B4 School Check includes the measurement of height and weight for recording in the Well Child health book and B4 School Check database. The Ministry of Health prepared a document on the Access, Use and Disclosure Policy for B4 School Check Information System Users</w:t>
            </w:r>
            <w:r w:rsidR="001D7653" w:rsidRPr="0091450A">
              <w:rPr>
                <w:rFonts w:cs="Times New Roman"/>
                <w:szCs w:val="20"/>
              </w:rPr>
              <w:t xml:space="preserve"> </w:t>
            </w:r>
            <w:r w:rsidR="001D7653" w:rsidRPr="0091450A">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Health","given":"","non-dropping-particle":"","parse-names":false,"suffix":""}],"id":"ITEM-1","issued":{"date-parts":[["2010"]]},"publisher":"Ministry of Health","publisher-place":"Wellington","title":"Access, Use and Disclosure Policy for B4 School Check Information System Users.","type":"report"},"uris":["http://www.mendeley.com/documents/?uuid=e00c7ba9-a5b8-3d50-bc7f-15f9a1534fc5","http://www.mendeley.com/documents/?uuid=e7caf504-2b17-4c8f-9ec6-ec2839a9899f"]}],"mendeley":{"formattedCitation":"(235)","plainTextFormattedCitation":"(235)","previouslyFormattedCitation":"(235)"},"properties":{"noteIndex":0},"schema":"https://github.com/citation-style-language/schema/raw/master/csl-citation.json"}</w:instrText>
            </w:r>
            <w:r w:rsidR="001D7653" w:rsidRPr="0091450A">
              <w:rPr>
                <w:rFonts w:cs="Times New Roman"/>
                <w:szCs w:val="20"/>
              </w:rPr>
              <w:fldChar w:fldCharType="separate"/>
            </w:r>
            <w:r w:rsidR="009C4029" w:rsidRPr="009C4029">
              <w:rPr>
                <w:rFonts w:cs="Times New Roman"/>
                <w:noProof/>
                <w:szCs w:val="20"/>
              </w:rPr>
              <w:t>(235)</w:t>
            </w:r>
            <w:r w:rsidR="001D7653" w:rsidRPr="0091450A">
              <w:rPr>
                <w:rFonts w:cs="Times New Roman"/>
                <w:szCs w:val="20"/>
              </w:rPr>
              <w:fldChar w:fldCharType="end"/>
            </w:r>
            <w:r w:rsidR="001B4CC4" w:rsidRPr="0091450A">
              <w:rPr>
                <w:rFonts w:cs="Times New Roman"/>
                <w:szCs w:val="20"/>
              </w:rPr>
              <w:t>.</w:t>
            </w:r>
            <w:r w:rsidR="00EE1291" w:rsidRPr="0091450A">
              <w:rPr>
                <w:rFonts w:cs="Times New Roman"/>
                <w:szCs w:val="20"/>
              </w:rPr>
              <w:t xml:space="preserve"> </w:t>
            </w:r>
          </w:p>
          <w:p w14:paraId="1B6026E2" w14:textId="5C7C3B6A" w:rsidR="00504108" w:rsidRPr="0091450A" w:rsidRDefault="00504108" w:rsidP="002D613F">
            <w:pPr>
              <w:pStyle w:val="ListParagraph"/>
              <w:numPr>
                <w:ilvl w:val="0"/>
                <w:numId w:val="31"/>
              </w:numPr>
              <w:spacing w:before="40" w:after="40"/>
              <w:ind w:left="284" w:hanging="284"/>
              <w:contextualSpacing w:val="0"/>
              <w:rPr>
                <w:rFonts w:cs="Times New Roman"/>
                <w:szCs w:val="20"/>
              </w:rPr>
            </w:pPr>
            <w:r w:rsidRPr="0091450A">
              <w:rPr>
                <w:rFonts w:eastAsia="MS Mincho" w:cs="Times New Roman"/>
                <w:szCs w:val="20"/>
              </w:rPr>
              <w:t>Acce</w:t>
            </w:r>
            <w:r w:rsidR="00FD1026" w:rsidRPr="0091450A">
              <w:rPr>
                <w:rFonts w:eastAsia="MS Mincho" w:cs="Times New Roman"/>
                <w:szCs w:val="20"/>
              </w:rPr>
              <w:t>s</w:t>
            </w:r>
            <w:r w:rsidRPr="0091450A">
              <w:rPr>
                <w:rFonts w:eastAsia="MS Mincho" w:cs="Times New Roman"/>
                <w:szCs w:val="20"/>
              </w:rPr>
              <w:t>s to the data can be requested. All requests for access to B4SC data that do not fit neatly into one of the purposes for originally collecting the information held on the B4 School Check system are considered by a Ministry governance bod</w:t>
            </w:r>
            <w:r w:rsidR="00255302" w:rsidRPr="0091450A">
              <w:rPr>
                <w:rFonts w:eastAsia="MS Mincho" w:cs="Times New Roman"/>
                <w:szCs w:val="20"/>
              </w:rPr>
              <w:t xml:space="preserve">y guided by </w:t>
            </w:r>
            <w:r w:rsidR="000A63B0">
              <w:rPr>
                <w:rFonts w:eastAsia="MS Mincho" w:cs="Times New Roman"/>
                <w:szCs w:val="20"/>
              </w:rPr>
              <w:t xml:space="preserve">an </w:t>
            </w:r>
            <w:r w:rsidR="00255302" w:rsidRPr="0091450A">
              <w:rPr>
                <w:rFonts w:eastAsia="MS Mincho" w:cs="Times New Roman"/>
                <w:szCs w:val="20"/>
              </w:rPr>
              <w:t>access policy. (</w:t>
            </w:r>
            <w:r w:rsidR="0078796B" w:rsidRPr="0091450A">
              <w:rPr>
                <w:rFonts w:eastAsia="MS Mincho" w:cs="Times New Roman"/>
                <w:szCs w:val="20"/>
              </w:rPr>
              <w:t>Personal</w:t>
            </w:r>
            <w:r w:rsidR="00BE406F" w:rsidRPr="0091450A">
              <w:rPr>
                <w:rFonts w:eastAsia="MS Mincho" w:cs="Times New Roman"/>
                <w:szCs w:val="20"/>
              </w:rPr>
              <w:t xml:space="preserve"> </w:t>
            </w:r>
            <w:r w:rsidR="00D80166" w:rsidRPr="0091450A">
              <w:rPr>
                <w:rFonts w:eastAsia="MS Mincho" w:cs="Times New Roman"/>
                <w:szCs w:val="20"/>
              </w:rPr>
              <w:t xml:space="preserve">communication, </w:t>
            </w:r>
            <w:r w:rsidR="00255302" w:rsidRPr="0091450A">
              <w:rPr>
                <w:rFonts w:eastAsia="MS Mincho" w:cs="Times New Roman"/>
                <w:szCs w:val="20"/>
              </w:rPr>
              <w:t>MoH</w:t>
            </w:r>
            <w:r w:rsidR="00D80166" w:rsidRPr="0091450A">
              <w:rPr>
                <w:rFonts w:eastAsia="MS Mincho" w:cs="Times New Roman"/>
                <w:szCs w:val="20"/>
              </w:rPr>
              <w:t>, 2017</w:t>
            </w:r>
            <w:r w:rsidRPr="0091450A">
              <w:rPr>
                <w:rFonts w:eastAsia="MS Mincho" w:cs="Times New Roman"/>
                <w:szCs w:val="20"/>
              </w:rPr>
              <w:t>)</w:t>
            </w:r>
            <w:r w:rsidR="0060515A" w:rsidRPr="0091450A">
              <w:rPr>
                <w:rFonts w:eastAsia="MS Mincho" w:cs="Times New Roman"/>
                <w:szCs w:val="20"/>
              </w:rPr>
              <w:t>.</w:t>
            </w:r>
          </w:p>
          <w:p w14:paraId="600654A6" w14:textId="09927B95" w:rsidR="008D73F3" w:rsidRPr="0091450A" w:rsidRDefault="008D73F3" w:rsidP="002D613F">
            <w:pPr>
              <w:pStyle w:val="ListParagraph"/>
              <w:numPr>
                <w:ilvl w:val="0"/>
                <w:numId w:val="31"/>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One of the NZ Maternity Clinical Indicators is </w:t>
            </w:r>
            <w:r w:rsidR="00D1291E" w:rsidRPr="0091450A">
              <w:rPr>
                <w:rFonts w:cs="Times New Roman"/>
                <w:szCs w:val="20"/>
              </w:rPr>
              <w:t>‘women with BMI over 35’</w:t>
            </w:r>
            <w:r w:rsidR="00EC043A" w:rsidRPr="0091450A">
              <w:rPr>
                <w:rFonts w:cs="Times New Roman"/>
                <w:szCs w:val="20"/>
              </w:rPr>
              <w:t xml:space="preserve"> </w:t>
            </w:r>
            <w:r w:rsidR="001D7653" w:rsidRPr="0091450A">
              <w:rPr>
                <w:rFonts w:cs="Times New Roman"/>
                <w:szCs w:val="20"/>
              </w:rPr>
              <w:fldChar w:fldCharType="begin" w:fldLock="1"/>
            </w:r>
            <w:r w:rsidR="00EC12A7">
              <w:rPr>
                <w:rFonts w:cs="Times New Roman"/>
                <w:szCs w:val="20"/>
              </w:rPr>
              <w:instrText>ADDIN CSL_CITATION {"citationItems":[{"id":"ITEM-1","itemData":{"URL":"http://www.health.govt.nz/publication/new-zealand-maternity-clinical-indicators-2015","author":[{"dropping-particle":"","family":"Ministry of Health","given":"","non-dropping-particle":"","parse-names":false,"suffix":""}],"id":"ITEM-1","issue":"22/2/2017","issued":{"date-parts":[["2016"]]},"title":"New Zealand Maternity Clinical Indicators 2015","type":"webpage"},"uris":["http://www.mendeley.com/documents/?uuid=5a17f3f4-def1-37f6-acfd-089a68e25bd5","http://www.mendeley.com/documents/?uuid=88dfebd6-641d-42e5-be64-6b8e39bce81a"]}],"mendeley":{"formattedCitation":"(236)","plainTextFormattedCitation":"(236)","previouslyFormattedCitation":"(236)"},"properties":{"noteIndex":0},"schema":"https://github.com/citation-style-language/schema/raw/master/csl-citation.json"}</w:instrText>
            </w:r>
            <w:r w:rsidR="001D7653" w:rsidRPr="0091450A">
              <w:rPr>
                <w:rFonts w:cs="Times New Roman"/>
                <w:szCs w:val="20"/>
              </w:rPr>
              <w:fldChar w:fldCharType="separate"/>
            </w:r>
            <w:r w:rsidR="009C4029" w:rsidRPr="009C4029">
              <w:rPr>
                <w:rFonts w:cs="Times New Roman"/>
                <w:noProof/>
                <w:szCs w:val="20"/>
              </w:rPr>
              <w:t>(236)</w:t>
            </w:r>
            <w:r w:rsidR="001D7653" w:rsidRPr="0091450A">
              <w:rPr>
                <w:rFonts w:cs="Times New Roman"/>
                <w:szCs w:val="20"/>
              </w:rPr>
              <w:fldChar w:fldCharType="end"/>
            </w:r>
            <w:r w:rsidR="00D1291E" w:rsidRPr="0091450A">
              <w:rPr>
                <w:rFonts w:cs="Times New Roman"/>
                <w:szCs w:val="20"/>
              </w:rPr>
              <w:t>. Th</w:t>
            </w:r>
            <w:r w:rsidR="00341E0D" w:rsidRPr="0091450A">
              <w:rPr>
                <w:rFonts w:cs="Times New Roman"/>
                <w:szCs w:val="20"/>
              </w:rPr>
              <w:t>is indicator is reported by DBH and</w:t>
            </w:r>
            <w:r w:rsidR="00D1291E" w:rsidRPr="0091450A">
              <w:rPr>
                <w:rFonts w:cs="Times New Roman"/>
                <w:szCs w:val="20"/>
              </w:rPr>
              <w:t xml:space="preserve"> ethnicity</w:t>
            </w:r>
            <w:r w:rsidR="00341E0D" w:rsidRPr="0091450A">
              <w:rPr>
                <w:rFonts w:cs="Times New Roman"/>
                <w:color w:val="0000FF"/>
                <w:szCs w:val="20"/>
              </w:rPr>
              <w:t>.</w:t>
            </w:r>
            <w:r w:rsidR="00B101F8" w:rsidRPr="0091450A">
              <w:rPr>
                <w:rFonts w:cs="Times New Roman"/>
                <w:color w:val="0000FF"/>
                <w:szCs w:val="20"/>
              </w:rPr>
              <w:t xml:space="preserve"> </w:t>
            </w:r>
            <w:r w:rsidR="00B101F8" w:rsidRPr="00A2227A">
              <w:rPr>
                <w:rFonts w:cs="Times New Roman"/>
                <w:szCs w:val="20"/>
              </w:rPr>
              <w:t xml:space="preserve">This indicator was recommended to be deleted due to </w:t>
            </w:r>
            <w:r w:rsidR="00B07003" w:rsidRPr="00A2227A">
              <w:rPr>
                <w:rFonts w:cs="Times New Roman"/>
                <w:szCs w:val="20"/>
              </w:rPr>
              <w:t>it not meeting the description of a clinical indicator</w:t>
            </w:r>
            <w:r w:rsidR="008B1969" w:rsidRPr="00A2227A">
              <w:rPr>
                <w:rFonts w:cs="Times New Roman"/>
                <w:szCs w:val="20"/>
              </w:rPr>
              <w:t xml:space="preserve"> and was removed in 2017</w:t>
            </w:r>
            <w:r w:rsidR="00B07003" w:rsidRPr="00A2227A">
              <w:rPr>
                <w:rFonts w:cs="Times New Roman"/>
                <w:szCs w:val="20"/>
              </w:rPr>
              <w:t>.</w:t>
            </w:r>
          </w:p>
          <w:p w14:paraId="18790942" w14:textId="77777777" w:rsidR="00D25895" w:rsidRPr="0091450A" w:rsidRDefault="00D25895" w:rsidP="002D613F">
            <w:pPr>
              <w:spacing w:before="40" w:after="40"/>
              <w:rPr>
                <w:b/>
                <w:color w:val="1F497D"/>
              </w:rPr>
            </w:pPr>
          </w:p>
          <w:p w14:paraId="7AA28938" w14:textId="3BFF07F0"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1015E4AE" w14:textId="520F5E48" w:rsidR="00A175A7" w:rsidRPr="0091450A" w:rsidRDefault="00D25895" w:rsidP="002D613F">
            <w:pPr>
              <w:pStyle w:val="ListParagraph"/>
              <w:numPr>
                <w:ilvl w:val="0"/>
                <w:numId w:val="79"/>
              </w:numPr>
              <w:shd w:val="clear" w:color="auto" w:fill="FFFFFF" w:themeFill="background1"/>
              <w:spacing w:before="40" w:after="40"/>
              <w:ind w:left="284" w:hanging="284"/>
              <w:contextualSpacing w:val="0"/>
              <w:rPr>
                <w:rFonts w:cs="Times New Roman"/>
                <w:b/>
                <w:color w:val="1F497D" w:themeColor="text2"/>
                <w:szCs w:val="20"/>
              </w:rPr>
            </w:pPr>
            <w:r w:rsidRPr="0091450A">
              <w:rPr>
                <w:rFonts w:eastAsia="Times New Roman" w:cs="Times New Roman"/>
                <w:b/>
                <w:szCs w:val="20"/>
                <w:lang w:eastAsia="en-NZ"/>
              </w:rPr>
              <w:t>UK</w:t>
            </w:r>
            <w:r w:rsidRPr="0091450A">
              <w:rPr>
                <w:rFonts w:eastAsia="Times New Roman" w:cs="Times New Roman"/>
                <w:szCs w:val="20"/>
                <w:lang w:eastAsia="en-NZ"/>
              </w:rPr>
              <w:t xml:space="preserve">: England’s National Child Measurement Programme was established in 2006 and aims to measure all children in England in the first (4-5 years) and last years (10-11 years) of primary school. In 2011-2012, 565,662 children at reception and 491,118 children 10-11 years were measured </w:t>
            </w:r>
            <w:r w:rsidR="001D7653"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{"citationItems":[{"id":"ITEM-1","itemData":{"URL":"http://www.hscic.gov.uk/ncmp","author":[{"dropping-particle":"","family":"Health and Social Care Information Centre","given":"","non-dropping-particle":"","parse-names":false,"suffix":""}],"id":"ITEM-1","issue":"22/02/2016","issued":{"date-parts":[["2016"]]},"title":"National Child Measurement Programme","type":"webpage"},"uris":["http://www.mendeley.com/documents/?uuid=81d99758-c433-3029-91eb-c525b404183a","http://www.mendeley.com/documents/?uuid=69ffb4d8-50f5-4a3e-9309-fe28675f1e87"]}],"mendeley":{"formattedCitation":"(237)","plainTextFormattedCitation":"(237)","previouslyFormattedCitation":"(237)"},"properties":{"noteIndex":0},"schema":"https://github.com/citation-style-language/schema/raw/master/csl-citation.json"}</w:instrText>
            </w:r>
            <w:r w:rsidR="001D7653"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(237)</w:t>
            </w:r>
            <w:r w:rsidR="001D7653" w:rsidRPr="0091450A">
              <w:rPr>
                <w:rFonts w:eastAsia="Times New Roman" w:cs="Times New Roman"/>
                <w:szCs w:val="20"/>
                <w:lang w:eastAsia="en-NZ"/>
              </w:rPr>
              <w:fldChar w:fldCharType="end"/>
            </w:r>
            <w:r w:rsidR="001D7653" w:rsidRPr="0091450A">
              <w:rPr>
                <w:rFonts w:eastAsia="Times New Roman" w:cs="Times New Roman"/>
                <w:szCs w:val="20"/>
                <w:lang w:eastAsia="en-NZ"/>
              </w:rPr>
              <w:t>.</w:t>
            </w:r>
          </w:p>
        </w:tc>
      </w:tr>
    </w:tbl>
    <w:p w14:paraId="0E2E694F" w14:textId="77777777" w:rsidR="00605ED5" w:rsidRPr="0091450A" w:rsidRDefault="00605ED5" w:rsidP="002D613F">
      <w:pPr>
        <w:shd w:val="clear" w:color="auto" w:fill="FFFFFF" w:themeFill="background1"/>
        <w:spacing w:after="0" w:line="240" w:lineRule="auto"/>
        <w:contextualSpacing/>
        <w:rPr>
          <w:rFonts w:cs="Times New Roman"/>
          <w:szCs w:val="20"/>
        </w:rPr>
      </w:pPr>
    </w:p>
    <w:tbl>
      <w:tblPr>
        <w:tblStyle w:val="TableGrid"/>
        <w:tblW w:w="9209" w:type="dxa"/>
        <w:tblLook w:val="04A0" w:firstRow="1" w:lastRow="0" w:firstColumn="1" w:lastColumn="0" w:noHBand="0" w:noVBand="1"/>
      </w:tblPr>
      <w:tblGrid>
        <w:gridCol w:w="9209"/>
      </w:tblGrid>
      <w:tr w:rsidR="002C1960" w:rsidRPr="0091450A" w14:paraId="55FBD12C" w14:textId="77777777" w:rsidTr="00E83F10">
        <w:tc>
          <w:tcPr>
            <w:tcW w:w="9209" w:type="dxa"/>
          </w:tcPr>
          <w:p w14:paraId="258AB984" w14:textId="69A3B67D" w:rsidR="002C1960" w:rsidRPr="0091450A" w:rsidRDefault="008C0F53" w:rsidP="002D613F">
            <w:pPr>
              <w:shd w:val="clear" w:color="auto" w:fill="FFFFFF" w:themeFill="background1"/>
              <w:contextualSpacing/>
              <w:jc w:val="both"/>
              <w:rPr>
                <w:rFonts w:cs="Times New Roman"/>
                <w:bCs/>
                <w:szCs w:val="20"/>
              </w:rPr>
            </w:pPr>
            <w:r w:rsidRPr="0091450A">
              <w:rPr>
                <w:rFonts w:cs="Times New Roman"/>
                <w:b/>
                <w:color w:val="1F497D" w:themeColor="text2"/>
                <w:sz w:val="28"/>
                <w:szCs w:val="28"/>
              </w:rPr>
              <w:t xml:space="preserve">10 </w:t>
            </w:r>
            <w:r w:rsidR="002C1960" w:rsidRPr="0091450A">
              <w:rPr>
                <w:rFonts w:cs="Times New Roman"/>
                <w:b/>
                <w:color w:val="1F497D" w:themeColor="text2"/>
                <w:sz w:val="28"/>
                <w:szCs w:val="28"/>
              </w:rPr>
              <w:t>MONITORING</w:t>
            </w:r>
            <w:r w:rsidRPr="0091450A">
              <w:rPr>
                <w:rFonts w:cs="Times New Roman"/>
                <w:b/>
                <w:color w:val="1F497D" w:themeColor="text2"/>
                <w:sz w:val="28"/>
                <w:szCs w:val="28"/>
              </w:rPr>
              <w:t xml:space="preserve"> AND INTELLIGENCE</w:t>
            </w:r>
            <w:r w:rsidR="002C1960" w:rsidRPr="0091450A">
              <w:rPr>
                <w:rFonts w:cs="Times New Roman"/>
                <w:b/>
                <w:color w:val="1F497D" w:themeColor="text2"/>
                <w:sz w:val="28"/>
                <w:szCs w:val="28"/>
              </w:rPr>
              <w:t xml:space="preserve">: </w:t>
            </w:r>
            <w:r w:rsidR="00B84363"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202592">
              <w:rPr>
                <w:rFonts w:cs="Times New Roman"/>
                <w:szCs w:val="20"/>
              </w:rPr>
              <w:t>-</w:t>
            </w:r>
            <w:r w:rsidR="00C76DA0" w:rsidRPr="0091450A">
              <w:rPr>
                <w:rFonts w:cs="Times New Roman"/>
                <w:szCs w:val="20"/>
              </w:rPr>
              <w:t>related</w:t>
            </w:r>
            <w:r w:rsidR="00B84363" w:rsidRPr="0091450A">
              <w:rPr>
                <w:rFonts w:cs="Times New Roman"/>
                <w:szCs w:val="20"/>
              </w:rPr>
              <w:t xml:space="preserve"> NCDs and their inequalities, and to measure progress on achieving the goals of nutrition and health plans</w:t>
            </w:r>
          </w:p>
        </w:tc>
      </w:tr>
      <w:tr w:rsidR="002C1960" w:rsidRPr="0091450A" w14:paraId="2FF80B76" w14:textId="77777777" w:rsidTr="00E83F10">
        <w:tc>
          <w:tcPr>
            <w:tcW w:w="9209" w:type="dxa"/>
          </w:tcPr>
          <w:p w14:paraId="3894651E" w14:textId="5340573D" w:rsidR="002C1960" w:rsidRPr="0091450A" w:rsidRDefault="00A27C87" w:rsidP="002D613F">
            <w:pPr>
              <w:shd w:val="clear" w:color="auto" w:fill="FFFFFF" w:themeFill="background1"/>
              <w:jc w:val="both"/>
              <w:rPr>
                <w:rFonts w:cs="Times New Roman"/>
                <w:color w:val="000000"/>
                <w:szCs w:val="20"/>
                <w:lang w:eastAsia="en-NZ"/>
              </w:rPr>
            </w:pPr>
            <w:bookmarkStart w:id="61" w:name="_Toc31623759"/>
            <w:r w:rsidRPr="0091450A">
              <w:rPr>
                <w:rStyle w:val="Heading3Char"/>
              </w:rPr>
              <w:t>MONIT4</w:t>
            </w:r>
            <w:bookmarkEnd w:id="61"/>
            <w:r w:rsidR="002C1960" w:rsidRPr="0091450A">
              <w:rPr>
                <w:rFonts w:cs="Times New Roman"/>
                <w:b/>
                <w:color w:val="1F497D" w:themeColor="text2"/>
                <w:sz w:val="28"/>
                <w:szCs w:val="28"/>
              </w:rPr>
              <w:t xml:space="preserve">: </w:t>
            </w:r>
            <w:r w:rsidR="00B84363" w:rsidRPr="0091450A">
              <w:rPr>
                <w:rFonts w:cs="Times New Roman"/>
                <w:b/>
                <w:szCs w:val="20"/>
              </w:rPr>
              <w:t xml:space="preserve">There is regular monitoring of the prevalence of NCD risk </w:t>
            </w:r>
            <w:r w:rsidR="00046833" w:rsidRPr="0091450A">
              <w:rPr>
                <w:rFonts w:cs="Times New Roman"/>
                <w:b/>
                <w:szCs w:val="20"/>
              </w:rPr>
              <w:t>factors and occurrence rates (</w:t>
            </w:r>
            <w:r w:rsidR="00AE20D3" w:rsidRPr="0091450A">
              <w:rPr>
                <w:rFonts w:cs="Times New Roman"/>
                <w:b/>
                <w:szCs w:val="20"/>
              </w:rPr>
              <w:t>e.g.</w:t>
            </w:r>
            <w:r w:rsidR="00B84363" w:rsidRPr="0091450A">
              <w:rPr>
                <w:rFonts w:cs="Times New Roman"/>
                <w:b/>
                <w:szCs w:val="20"/>
              </w:rPr>
              <w:t xml:space="preserve"> prevalence, incidence, mortality) for the main </w:t>
            </w:r>
            <w:r w:rsidR="00C76DA0" w:rsidRPr="0091450A">
              <w:rPr>
                <w:rFonts w:cs="Times New Roman"/>
                <w:b/>
                <w:szCs w:val="20"/>
              </w:rPr>
              <w:t>diet</w:t>
            </w:r>
            <w:r w:rsidR="00202592">
              <w:rPr>
                <w:rFonts w:cs="Times New Roman"/>
                <w:b/>
                <w:szCs w:val="20"/>
              </w:rPr>
              <w:t>-</w:t>
            </w:r>
            <w:r w:rsidR="00C76DA0" w:rsidRPr="0091450A">
              <w:rPr>
                <w:rFonts w:cs="Times New Roman"/>
                <w:b/>
                <w:szCs w:val="20"/>
              </w:rPr>
              <w:t>related</w:t>
            </w:r>
            <w:r w:rsidR="00B84363" w:rsidRPr="0091450A">
              <w:rPr>
                <w:rFonts w:cs="Times New Roman"/>
                <w:b/>
                <w:szCs w:val="20"/>
              </w:rPr>
              <w:t xml:space="preserve"> NCDs </w:t>
            </w:r>
          </w:p>
        </w:tc>
      </w:tr>
      <w:tr w:rsidR="002C1960" w:rsidRPr="0091450A" w14:paraId="1D9FB3B4" w14:textId="77777777" w:rsidTr="00E83F10">
        <w:tc>
          <w:tcPr>
            <w:tcW w:w="9209" w:type="dxa"/>
          </w:tcPr>
          <w:p w14:paraId="43211027" w14:textId="0909B623" w:rsidR="0020485F" w:rsidRPr="0091450A" w:rsidRDefault="0020485F" w:rsidP="002D613F">
            <w:pPr>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C1B3EC0" w14:textId="501ACCF1" w:rsidR="002711BA" w:rsidRPr="0091450A" w:rsidRDefault="001204B9"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The c</w:t>
            </w:r>
            <w:r w:rsidR="00991DEC" w:rsidRPr="0091450A">
              <w:rPr>
                <w:rFonts w:cs="Times New Roman"/>
                <w:szCs w:val="20"/>
              </w:rPr>
              <w:t>urrent</w:t>
            </w:r>
            <w:r w:rsidR="00E14067" w:rsidRPr="0091450A">
              <w:rPr>
                <w:rFonts w:cs="Times New Roman"/>
                <w:szCs w:val="20"/>
              </w:rPr>
              <w:t xml:space="preserve"> </w:t>
            </w:r>
            <w:r w:rsidRPr="0091450A">
              <w:rPr>
                <w:rFonts w:cs="Times New Roman"/>
                <w:szCs w:val="20"/>
              </w:rPr>
              <w:t xml:space="preserve">health </w:t>
            </w:r>
            <w:r w:rsidR="00341E0D" w:rsidRPr="0091450A">
              <w:rPr>
                <w:rFonts w:cs="Times New Roman"/>
                <w:szCs w:val="20"/>
              </w:rPr>
              <w:t>survey reports</w:t>
            </w:r>
            <w:r w:rsidR="004918CE" w:rsidRPr="0091450A">
              <w:rPr>
                <w:rFonts w:cs="Times New Roman"/>
                <w:szCs w:val="20"/>
              </w:rPr>
              <w:t xml:space="preserve"> on health status, health behaviours and risk factors (smoking, alcohol consumption,  fruit and vegetable intake, self-reported </w:t>
            </w:r>
            <w:r w:rsidR="004918CE" w:rsidRPr="00662E8C">
              <w:rPr>
                <w:rFonts w:cs="Times New Roman"/>
                <w:szCs w:val="20"/>
              </w:rPr>
              <w:t>physical activity, body wei</w:t>
            </w:r>
            <w:r w:rsidR="00B4714E" w:rsidRPr="00662E8C">
              <w:rPr>
                <w:rFonts w:cs="Times New Roman"/>
                <w:szCs w:val="20"/>
              </w:rPr>
              <w:t xml:space="preserve">ght, health </w:t>
            </w:r>
            <w:r w:rsidR="00651244" w:rsidRPr="00662E8C">
              <w:rPr>
                <w:rFonts w:cs="Times New Roman"/>
                <w:szCs w:val="20"/>
              </w:rPr>
              <w:t>conditions</w:t>
            </w:r>
            <w:r w:rsidR="00B4714E" w:rsidRPr="00662E8C">
              <w:rPr>
                <w:rFonts w:cs="Times New Roman"/>
                <w:szCs w:val="20"/>
              </w:rPr>
              <w:t xml:space="preserve"> (blood pr</w:t>
            </w:r>
            <w:r w:rsidR="004918CE" w:rsidRPr="00662E8C">
              <w:rPr>
                <w:rFonts w:cs="Times New Roman"/>
                <w:szCs w:val="20"/>
              </w:rPr>
              <w:t>essure, high cholester</w:t>
            </w:r>
            <w:r w:rsidR="00341E0D" w:rsidRPr="00662E8C">
              <w:rPr>
                <w:rFonts w:cs="Times New Roman"/>
                <w:szCs w:val="20"/>
              </w:rPr>
              <w:t>o</w:t>
            </w:r>
            <w:r w:rsidR="004918CE" w:rsidRPr="00662E8C">
              <w:rPr>
                <w:rFonts w:cs="Times New Roman"/>
                <w:szCs w:val="20"/>
              </w:rPr>
              <w:t>l, IHD, str</w:t>
            </w:r>
            <w:r w:rsidR="00341E0D" w:rsidRPr="00662E8C">
              <w:rPr>
                <w:rFonts w:cs="Times New Roman"/>
                <w:szCs w:val="20"/>
              </w:rPr>
              <w:t>o</w:t>
            </w:r>
            <w:r w:rsidR="004918CE" w:rsidRPr="00662E8C">
              <w:rPr>
                <w:rFonts w:cs="Times New Roman"/>
                <w:szCs w:val="20"/>
              </w:rPr>
              <w:t>ke, diabetes)</w:t>
            </w:r>
            <w:r w:rsidR="0060515A" w:rsidRPr="00662E8C">
              <w:rPr>
                <w:rFonts w:cs="Times New Roman"/>
                <w:szCs w:val="20"/>
              </w:rPr>
              <w:t xml:space="preserve"> </w:t>
            </w:r>
            <w:r w:rsidR="009C1D40" w:rsidRPr="00662E8C">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{"citationItems":[{"id":"ITEM-1","itemData":{"URL":"http://www.health.govt.nz/nz-health-statistics/national-collections-and-surveys/surveys/current-recent-surveys/new-zealand-health-survey?mega=Health statistics&amp;title=NZ Health Survey#published","author":[{"dropping-particle":"","family":"Ministry of Health","given":"","non-dropping-particle":"","parse-names":false,"suffix":""}],"id":"ITEM-1","issue":"3/12/2016","issued":{"date-parts":[["2016"]]},"title":"New Zealand Health Survey  ","type":"webpage"},"uris":["http://www.mendeley.com/documents/?uuid=14b6ff52-d185-4640-9f3d-f2918ba2f002","http://www.mendeley.com/documents/?uuid=49070f80-ffe0-3172-b184-06a51354652e"]}],"mendeley":{"formattedCitation":"(229)","plainTextFormattedCitation":"(229)","previouslyFormattedCitation":"(229)"},"properties":{"noteIndex":0},"schema":"https://github.com/citation-style-language/schema/raw/master/csl-citation.json"}</w:instrText>
            </w:r>
            <w:r w:rsidR="009C1D40" w:rsidRPr="00662E8C">
              <w:rPr>
                <w:rFonts w:cs="Times New Roman"/>
                <w:szCs w:val="20"/>
              </w:rPr>
              <w:fldChar w:fldCharType="separate"/>
            </w:r>
            <w:r w:rsidR="009C4029" w:rsidRPr="009C4029">
              <w:rPr>
                <w:rFonts w:cs="Times New Roman"/>
                <w:noProof/>
                <w:szCs w:val="20"/>
              </w:rPr>
              <w:t>(229)</w:t>
            </w:r>
            <w:r w:rsidR="009C1D40" w:rsidRPr="00662E8C">
              <w:rPr>
                <w:rFonts w:cs="Times New Roman"/>
                <w:szCs w:val="20"/>
              </w:rPr>
              <w:fldChar w:fldCharType="end"/>
            </w:r>
            <w:r w:rsidR="00341E0D" w:rsidRPr="00662E8C">
              <w:rPr>
                <w:rFonts w:cs="Times New Roman"/>
                <w:szCs w:val="20"/>
              </w:rPr>
              <w:t xml:space="preserve">. </w:t>
            </w:r>
            <w:r w:rsidR="00FD1026" w:rsidRPr="00662E8C">
              <w:rPr>
                <w:rFonts w:cs="Times New Roman"/>
                <w:szCs w:val="20"/>
              </w:rPr>
              <w:t xml:space="preserve">The </w:t>
            </w:r>
            <w:r w:rsidR="00B4714E" w:rsidRPr="00662E8C">
              <w:rPr>
                <w:rFonts w:cs="Times New Roman"/>
                <w:szCs w:val="20"/>
              </w:rPr>
              <w:t>2014/15 survey</w:t>
            </w:r>
            <w:r w:rsidR="00B4714E" w:rsidRPr="0091450A">
              <w:rPr>
                <w:rFonts w:cs="Times New Roman"/>
                <w:szCs w:val="20"/>
              </w:rPr>
              <w:t xml:space="preserve"> conducted biomedi</w:t>
            </w:r>
            <w:r w:rsidR="00341E0D" w:rsidRPr="0091450A">
              <w:rPr>
                <w:rFonts w:cs="Times New Roman"/>
                <w:szCs w:val="20"/>
              </w:rPr>
              <w:t>cal tests on a sub-sample (aim</w:t>
            </w:r>
            <w:r w:rsidR="00B4714E" w:rsidRPr="0091450A">
              <w:rPr>
                <w:rFonts w:cs="Times New Roman"/>
                <w:szCs w:val="20"/>
              </w:rPr>
              <w:t xml:space="preserve"> 5000) adult</w:t>
            </w:r>
            <w:r w:rsidR="00341E0D" w:rsidRPr="0091450A">
              <w:rPr>
                <w:rFonts w:cs="Times New Roman"/>
                <w:szCs w:val="20"/>
              </w:rPr>
              <w:t>s 15+ years, total, HDL cholest</w:t>
            </w:r>
            <w:r w:rsidR="00B4714E" w:rsidRPr="0091450A">
              <w:rPr>
                <w:rFonts w:cs="Times New Roman"/>
                <w:szCs w:val="20"/>
              </w:rPr>
              <w:t>er</w:t>
            </w:r>
            <w:r w:rsidR="00341E0D" w:rsidRPr="0091450A">
              <w:rPr>
                <w:rFonts w:cs="Times New Roman"/>
                <w:szCs w:val="20"/>
              </w:rPr>
              <w:t>o</w:t>
            </w:r>
            <w:r w:rsidR="00B4714E" w:rsidRPr="0091450A">
              <w:rPr>
                <w:rFonts w:cs="Times New Roman"/>
                <w:szCs w:val="20"/>
              </w:rPr>
              <w:t>l; glycated haemoglobin; indicators of kidney di</w:t>
            </w:r>
            <w:r w:rsidR="00341E0D" w:rsidRPr="0091450A">
              <w:rPr>
                <w:rFonts w:cs="Times New Roman"/>
                <w:szCs w:val="20"/>
              </w:rPr>
              <w:t>s</w:t>
            </w:r>
            <w:r w:rsidR="00B4714E" w:rsidRPr="0091450A">
              <w:rPr>
                <w:rFonts w:cs="Times New Roman"/>
                <w:szCs w:val="20"/>
              </w:rPr>
              <w:t>eases and liver function; folate (blood), iodine, sodium, potassium (urine) (</w:t>
            </w:r>
            <w:r w:rsidR="00341E0D" w:rsidRPr="0091450A">
              <w:rPr>
                <w:rFonts w:cs="Times New Roman"/>
                <w:szCs w:val="20"/>
              </w:rPr>
              <w:t xml:space="preserve">survey </w:t>
            </w:r>
            <w:r w:rsidR="00B4714E" w:rsidRPr="0091450A">
              <w:rPr>
                <w:rFonts w:cs="Times New Roman"/>
                <w:szCs w:val="20"/>
              </w:rPr>
              <w:t>content guide)</w:t>
            </w:r>
            <w:r w:rsidR="0060515A"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Health","given":"","non-dropping-particle":"","parse-names":false,"suffix":""}],"id":"ITEM-1","issued":{"date-parts":[["2015"]]},"publisher":"Ministry of Health","publisher-place":"Wellington","title":"Content Guide 2014/15: New Zealand Health Survey","type":"report"},"uris":["http://www.mendeley.com/documents/?uuid=309213ac-dece-3691-8c11-f68806b9072d","http://www.mendeley.com/documents/?uuid=4fa3d340-4f5d-46fb-b66f-4c916209cc18"]}],"mendeley":{"formattedCitation":"(238)","plainTextFormattedCitation":"(238)","previouslyFormattedCitation":"(238)"},"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(238)</w:t>
            </w:r>
            <w:r w:rsidR="003C2ABF" w:rsidRPr="0091450A">
              <w:rPr>
                <w:rFonts w:cs="Times New Roman"/>
                <w:szCs w:val="20"/>
              </w:rPr>
              <w:fldChar w:fldCharType="end"/>
            </w:r>
            <w:r w:rsidR="003C2ABF" w:rsidRPr="0091450A">
              <w:rPr>
                <w:rFonts w:cs="Times New Roman"/>
                <w:szCs w:val="20"/>
              </w:rPr>
              <w:t>.</w:t>
            </w:r>
            <w:r w:rsidR="000E1942">
              <w:rPr>
                <w:rFonts w:cs="Times New Roman"/>
                <w:szCs w:val="20"/>
              </w:rPr>
              <w:t xml:space="preserve"> These results are set to be released in 2020.</w:t>
            </w:r>
          </w:p>
          <w:p w14:paraId="3C4348F5" w14:textId="7FD6575B" w:rsidR="00834F33" w:rsidRPr="0091450A" w:rsidRDefault="00834F33"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Blood pressure is measured among adults in NZ health surveys</w:t>
            </w:r>
            <w:r w:rsidR="0060515A"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{"citationItems":[{"id":"ITEM-1","itemData":{"URL":"http://www.health.govt.nz/nz-health-statistics/national-collections-and-surveys/surveys/current-recent-surveys/new-zealand-health-survey?mega=Health statistics&amp;title=NZ Health Survey#published","author":[{"dropping-particle":"","family":"Ministry of Health","given":"","non-dropping-particle":"","parse-names":false,"suffix":""}],"id":"ITEM-1","issue":"3/12/2016","issued":{"date-parts":[["2016"]]},"title":"New Zealand Health Survey  ","type":"webpage"},"uris":["http://www.mendeley.com/documents/?uuid=14b6ff52-d185-4640-9f3d-f2918ba2f002","http://www.mendeley.com/documents/?uuid=49070f80-ffe0-3172-b184-06a51354652e"]}],"mendeley":{"formattedCitation":"(229)","plainTextFormattedCitation":"(229)","previouslyFormattedCitation":"(229)"},"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(229)</w:t>
            </w:r>
            <w:r w:rsidR="003C2ABF" w:rsidRPr="0091450A">
              <w:rPr>
                <w:rFonts w:cs="Times New Roman"/>
                <w:szCs w:val="20"/>
              </w:rPr>
              <w:fldChar w:fldCharType="end"/>
            </w:r>
            <w:r w:rsidRPr="0091450A">
              <w:rPr>
                <w:rFonts w:cs="Times New Roman"/>
                <w:szCs w:val="20"/>
              </w:rPr>
              <w:t xml:space="preserve">, </w:t>
            </w:r>
            <w:r w:rsidR="00342AED" w:rsidRPr="0091450A">
              <w:rPr>
                <w:rFonts w:cs="Times New Roman"/>
                <w:szCs w:val="20"/>
              </w:rPr>
              <w:t xml:space="preserve">‘Doctor-diagnosed’ </w:t>
            </w:r>
            <w:r w:rsidRPr="0091450A">
              <w:rPr>
                <w:rFonts w:cs="Times New Roman"/>
                <w:szCs w:val="20"/>
              </w:rPr>
              <w:t>Heart disease, stroke, diabetes, asthma, arthritis, mental health conditions, chronic pain, high blood pressure, high blood cholesterol are self-reported.</w:t>
            </w:r>
            <w:r w:rsidR="00991DEC" w:rsidRPr="0091450A">
              <w:rPr>
                <w:rFonts w:cs="Times New Roman"/>
                <w:szCs w:val="20"/>
              </w:rPr>
              <w:t xml:space="preserve"> </w:t>
            </w:r>
          </w:p>
          <w:p w14:paraId="7C52A68F" w14:textId="49B3D139" w:rsidR="002711BA" w:rsidRPr="0091450A" w:rsidRDefault="002C1960"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The Mortality Collection (MORT) classifies the underlying cause of death for all deaths registered in New Zealand, and all registerable stillbirths (foetal deaths), using the ICD-10-AM 6th Edition and the WHO Rules and Guidelines for Mortality Coding. Deaths registered in New Zealand from 1988 onwards are held in the Mortality database</w:t>
            </w:r>
            <w:r w:rsidR="003C2ABF"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{"citationItems":[{"id":"ITEM-1","itemData":{"URL":"http://www.health.govt.nz/nz-health-statistics/national-collections-and-surveys/collections/mortality-collection","author":[{"dropping-particle":"","family":"Ministry of Health","given":"","non-dropping-particle":"","parse-names":false,"suffix":""}],"id":"ITEM-1","issue":"18/06/2013","issued":{"date-parts":[["0"]]},"title":"Mortality Collection","type":"webpage"},"uris":["http://www.mendeley.com/documents/?uuid=3a7913d8-cfbd-38f1-8a4b-ee2b8a85afdf","http://www.mendeley.com/documents/?uuid=ea3a1f06-8068-4a53-9935-b5f0c19393bf"]}],"mendeley":{"formattedCitation":"(239)","plainTextFormattedCitation":"(239)","previouslyFormattedCitation":"(239)"},"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(239)</w:t>
            </w:r>
            <w:r w:rsidR="003C2ABF" w:rsidRPr="0091450A">
              <w:rPr>
                <w:rFonts w:cs="Times New Roman"/>
                <w:szCs w:val="20"/>
              </w:rPr>
              <w:fldChar w:fldCharType="end"/>
            </w:r>
            <w:r w:rsidRPr="0091450A">
              <w:rPr>
                <w:rFonts w:cs="Times New Roman"/>
                <w:szCs w:val="20"/>
              </w:rPr>
              <w:t>. The National Minimum Dataset (NMDS) is a national collection of public and private hospital discharge information, including coded clinical data for inpatients and day patients</w:t>
            </w:r>
            <w:r w:rsidR="003954F7"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{"citationItems":[{"id":"ITEM-1","itemData":{"URL":"http://www.health.govt.nz/nz-health-statistics/national-collections-and-surveys/collections/national-minimum-dataset-hospital-events","author":[{"dropping-particle":"","family":"Ministry of Health","given":"","non-dropping-particle":"","parse-names":false,"suffix":""}],"id":"ITEM-1","issue":"18/06/2013","issued":{"date-parts":[["0"]]},"title":"National Minimum Dataset (hospital events)","type":"webpage"},"uris":["http://www.mendeley.com/documents/?uuid=e26a0de4-bed1-3dbb-895d-04cfe94dfd34","http://www.mendeley.com/documents/?uuid=1471b8e2-2c70-45d5-a483-b1a3283e0104"]}],"mendeley":{"formattedCitation":"(240)","plainTextFormattedCitation":"(240)","previouslyFormattedCitation":"(240)"},"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(240)</w:t>
            </w:r>
            <w:r w:rsidR="003C2ABF" w:rsidRPr="0091450A">
              <w:rPr>
                <w:rFonts w:cs="Times New Roman"/>
                <w:szCs w:val="20"/>
              </w:rPr>
              <w:fldChar w:fldCharType="end"/>
            </w:r>
            <w:r w:rsidRPr="0091450A">
              <w:rPr>
                <w:rFonts w:cs="Times New Roman"/>
                <w:szCs w:val="20"/>
              </w:rPr>
              <w:t xml:space="preserve">. </w:t>
            </w:r>
            <w:r w:rsidR="00FD1026" w:rsidRPr="0091450A">
              <w:rPr>
                <w:rFonts w:cs="Times New Roman"/>
                <w:szCs w:val="20"/>
              </w:rPr>
              <w:t>It is updated annually and</w:t>
            </w:r>
            <w:r w:rsidR="004918CE" w:rsidRPr="0091450A">
              <w:rPr>
                <w:rFonts w:cs="Times New Roman"/>
                <w:szCs w:val="20"/>
              </w:rPr>
              <w:t xml:space="preserve"> includes leading causes of death, demographics and historical trends in mortality</w:t>
            </w:r>
            <w:r w:rsidR="00341E0D" w:rsidRPr="0091450A">
              <w:rPr>
                <w:rFonts w:cs="Times New Roman"/>
                <w:szCs w:val="20"/>
              </w:rPr>
              <w:t>.</w:t>
            </w:r>
          </w:p>
          <w:p w14:paraId="09CCA7B3" w14:textId="12D1AFE4" w:rsidR="002711BA" w:rsidRPr="0091450A" w:rsidRDefault="002C1960"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The New Zealand Cancer Registry (NZCR) is a population-based register of all primary malignant diseases diagnosed in New Zealand, excluding squamous and basal cell skin cancers</w:t>
            </w:r>
            <w:r w:rsidR="0060515A"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{"citationItems":[{"id":"ITEM-1","itemData":{"URL":"http://www.health.govt.nz/nz-health-statistics/national-collections-and-surveys/collections/new-zealand-cancer-registry-nzcr","author":[{"dropping-particle":"","family":"Ministry of Health","given":"","non-dropping-particle":"","parse-names":false,"suffix":""}],"id":"ITEM-1","issue":"18/06/2013","issued":{"date-parts":[["0"]]},"title":"New Zealand Cancer Registry (NZCR)","type":"webpage"},"uris":["http://www.mendeley.com/documents/?uuid=eb429afb-6b2c-30bb-acf6-dfbe6640b03e","http://www.mendeley.com/documents/?uuid=9dbacdb6-86d2-4a9b-a4f9-0ad5b077c268"]}],"mendeley":{"formattedCitation":"(241)","plainTextFormattedCitation":"(241)","previouslyFormattedCitation":"(241)"},"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(241)</w:t>
            </w:r>
            <w:r w:rsidR="003C2ABF" w:rsidRPr="0091450A">
              <w:rPr>
                <w:rFonts w:cs="Times New Roman"/>
                <w:szCs w:val="20"/>
              </w:rPr>
              <w:fldChar w:fldCharType="end"/>
            </w:r>
            <w:r w:rsidRPr="0091450A">
              <w:rPr>
                <w:rFonts w:cs="Times New Roman"/>
                <w:szCs w:val="20"/>
              </w:rPr>
              <w:t xml:space="preserve">. </w:t>
            </w:r>
            <w:r w:rsidR="004918CE" w:rsidRPr="0091450A">
              <w:rPr>
                <w:rFonts w:cs="Times New Roman"/>
                <w:szCs w:val="20"/>
              </w:rPr>
              <w:t xml:space="preserve">Updated annually, </w:t>
            </w:r>
            <w:r w:rsidR="000A63B0">
              <w:rPr>
                <w:rFonts w:cs="Times New Roman"/>
                <w:szCs w:val="20"/>
              </w:rPr>
              <w:t xml:space="preserve">it </w:t>
            </w:r>
            <w:r w:rsidR="004918CE" w:rsidRPr="0091450A">
              <w:rPr>
                <w:rFonts w:cs="Times New Roman"/>
                <w:szCs w:val="20"/>
              </w:rPr>
              <w:t>includes cancer registrations, deaths from cancer, most common cancers, leading causes of death.</w:t>
            </w:r>
          </w:p>
          <w:p w14:paraId="0B4A394D" w14:textId="18D7E09D" w:rsidR="002C1960" w:rsidRPr="0091450A" w:rsidRDefault="002C1960"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 xml:space="preserve">The </w:t>
            </w:r>
            <w:hyperlink r:id="rId27" w:history="1">
              <w:r w:rsidRPr="0091450A">
                <w:rPr>
                  <w:rStyle w:val="Hyperlink"/>
                  <w:rFonts w:cs="Times New Roman"/>
                  <w:color w:val="auto"/>
                  <w:szCs w:val="20"/>
                  <w:u w:val="none"/>
                </w:rPr>
                <w:t>New Zealand Burden of Disease, Injury and Risk Study 2006-2016</w:t>
              </w:r>
            </w:hyperlink>
            <w:r w:rsidRPr="0091450A">
              <w:rPr>
                <w:rFonts w:cs="Times New Roman"/>
                <w:szCs w:val="20"/>
              </w:rPr>
              <w:t xml:space="preserve"> (NZBD)</w:t>
            </w:r>
            <w:r w:rsidR="0060515A"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Health","given":"","non-dropping-particle":"","parse-names":false,"suffix":""}],"id":"ITEM-1","issued":{"date-parts":[["2013"]]},"publisher":"Ministry of Health","publisher-place":"Wellington","title":"Health Loss in New Zealand: A report from the New Zealand Burden of Diseases, Injuries and Risk Factors Study 2006–2016","type":"report"},"uris":["http://www.mendeley.com/documents/?uuid=10131e43-1212-319b-90d2-a8dfe4b1a607","http://www.mendeley.com/documents/?uuid=c941a4a5-6ec0-4441-88ed-6f8b0dc6da42"]}],"mendeley":{"formattedCitation":"(242)","plainTextFormattedCitation":"(242)","previouslyFormattedCitation":"(242)"},"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(242)</w:t>
            </w:r>
            <w:r w:rsidR="003C2ABF" w:rsidRPr="0091450A">
              <w:rPr>
                <w:rFonts w:cs="Times New Roman"/>
                <w:szCs w:val="20"/>
              </w:rPr>
              <w:fldChar w:fldCharType="end"/>
            </w:r>
            <w:r w:rsidRPr="0091450A">
              <w:rPr>
                <w:rFonts w:cs="Times New Roman"/>
                <w:szCs w:val="20"/>
              </w:rPr>
              <w:t xml:space="preserve"> </w:t>
            </w:r>
            <w:r w:rsidR="00320228" w:rsidRPr="0091450A">
              <w:rPr>
                <w:rFonts w:cs="Times New Roman"/>
                <w:szCs w:val="20"/>
              </w:rPr>
              <w:t>was</w:t>
            </w:r>
            <w:r w:rsidRPr="0091450A">
              <w:rPr>
                <w:rFonts w:cs="Times New Roman"/>
                <w:szCs w:val="20"/>
              </w:rPr>
              <w:t xml:space="preserve"> a systematic analysis of health loss by cause for New Zealanders of all ages, both sexes and both major ethnic groups. It includes estimates of fatal and nonfatal health losses from 217 diseases and injuries and 31 biological and </w:t>
            </w:r>
            <w:r w:rsidRPr="0091450A">
              <w:rPr>
                <w:rFonts w:cs="Times New Roman"/>
                <w:szCs w:val="20"/>
              </w:rPr>
              <w:lastRenderedPageBreak/>
              <w:t>behavioural risk factors. This information is intended to support health policy and planning.</w:t>
            </w:r>
            <w:r w:rsidR="00342AED" w:rsidRPr="0091450A">
              <w:rPr>
                <w:rFonts w:cs="Times New Roman"/>
                <w:szCs w:val="20"/>
              </w:rPr>
              <w:t xml:space="preserve"> It includes estimates of health loss due to diet and high BMI.</w:t>
            </w:r>
            <w:r w:rsidR="00991DEC" w:rsidRPr="0091450A">
              <w:rPr>
                <w:rFonts w:cs="Times New Roman"/>
                <w:szCs w:val="20"/>
              </w:rPr>
              <w:t xml:space="preserve"> </w:t>
            </w:r>
          </w:p>
          <w:p w14:paraId="3984E616" w14:textId="04DD349E" w:rsidR="004E04F5" w:rsidRPr="0091450A" w:rsidRDefault="004E04F5"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There is a virtual national diabetes register based on data from primary care.</w:t>
            </w:r>
            <w:r w:rsidR="00B4714E" w:rsidRPr="0091450A">
              <w:rPr>
                <w:rFonts w:cs="Times New Roman"/>
                <w:szCs w:val="20"/>
              </w:rPr>
              <w:t xml:space="preserve"> </w:t>
            </w:r>
            <w:r w:rsidR="00E14067" w:rsidRPr="0091450A">
              <w:rPr>
                <w:rFonts w:cs="Times New Roman"/>
                <w:szCs w:val="20"/>
              </w:rPr>
              <w:t>The diabetes register is colla</w:t>
            </w:r>
            <w:r w:rsidR="00B4714E" w:rsidRPr="0091450A">
              <w:rPr>
                <w:rFonts w:cs="Times New Roman"/>
                <w:szCs w:val="20"/>
              </w:rPr>
              <w:t xml:space="preserve">ted annually </w:t>
            </w:r>
            <w:r w:rsidR="00E14067" w:rsidRPr="0091450A">
              <w:rPr>
                <w:rFonts w:cs="Times New Roman"/>
                <w:szCs w:val="20"/>
              </w:rPr>
              <w:t xml:space="preserve">and is an estimate </w:t>
            </w:r>
            <w:r w:rsidR="00193D5E">
              <w:rPr>
                <w:rFonts w:cs="Times New Roman"/>
                <w:szCs w:val="20"/>
              </w:rPr>
              <w:t>of</w:t>
            </w:r>
            <w:r w:rsidR="00E14067" w:rsidRPr="0091450A">
              <w:rPr>
                <w:rFonts w:cs="Times New Roman"/>
                <w:szCs w:val="20"/>
              </w:rPr>
              <w:t xml:space="preserve"> 5 national collections</w:t>
            </w:r>
            <w:r w:rsidR="001312ED"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{"citationItems":[{"id":"ITEM-1","itemData":{"URL":"http://www.health.govt.nz/our-work/diseases-and-conditions/diabetes/about-diabetes/virtual-diabetes-register-vdr","author":[{"dropping-particle":"","family":"Ministry of Health","given":"","non-dropping-particle":"","parse-names":false,"suffix":""}],"id":"ITEM-1","issue":"03/12/2016","issued":{"date-parts":[["2016"]]},"title":"Virtual Diabetes Register (VDR) ","type":"webpage"},"uris":["http://www.mendeley.com/documents/?uuid=12025a6b-6ed8-321e-b096-11b094efaa7c","http://www.mendeley.com/documents/?uuid=1fde1d10-2908-4b80-aa26-fc2191c89092"]}],"mendeley":{"formattedCitation":"(243)","plainTextFormattedCitation":"(243)","previouslyFormattedCitation":"(243)"},"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(243)</w:t>
            </w:r>
            <w:r w:rsidR="003C2ABF" w:rsidRPr="0091450A">
              <w:rPr>
                <w:rFonts w:cs="Times New Roman"/>
                <w:szCs w:val="20"/>
              </w:rPr>
              <w:fldChar w:fldCharType="end"/>
            </w:r>
            <w:r w:rsidR="00E14067" w:rsidRPr="0091450A">
              <w:rPr>
                <w:rFonts w:cs="Times New Roman"/>
                <w:szCs w:val="20"/>
              </w:rPr>
              <w:t xml:space="preserve">. </w:t>
            </w:r>
          </w:p>
          <w:p w14:paraId="617FA266" w14:textId="2DE9B648" w:rsidR="00991DEC" w:rsidRPr="0091450A" w:rsidRDefault="00991DEC" w:rsidP="002D613F">
            <w:pPr>
              <w:pStyle w:val="ListParagraph"/>
              <w:numPr>
                <w:ilvl w:val="0"/>
                <w:numId w:val="23"/>
              </w:numPr>
              <w:shd w:val="clear" w:color="auto" w:fill="FFFFFF" w:themeFill="background1"/>
              <w:ind w:left="284" w:hanging="284"/>
              <w:rPr>
                <w:rFonts w:cs="Times New Roman"/>
                <w:szCs w:val="20"/>
              </w:rPr>
            </w:pPr>
            <w:r w:rsidRPr="0091450A">
              <w:rPr>
                <w:rFonts w:cs="Times New Roman"/>
                <w:szCs w:val="20"/>
              </w:rPr>
              <w:t>Statistics NZ compiles life tables every five years with information on life expectancy including patterns of mortality, NZ life-period tables, births and deaths</w:t>
            </w:r>
            <w:r w:rsidR="001312ED" w:rsidRPr="0091450A">
              <w:rPr>
                <w:rFonts w:cs="Times New Roman"/>
                <w:szCs w:val="20"/>
              </w:rPr>
              <w:t xml:space="preserve"> </w:t>
            </w:r>
            <w:r w:rsidR="003C2ABF" w:rsidRPr="0091450A">
              <w:rPr>
                <w:rFonts w:cs="Times New Roman"/>
                <w:szCs w:val="20"/>
              </w:rPr>
              <w:fldChar w:fldCharType="begin" w:fldLock="1"/>
            </w:r>
            <w:r w:rsidR="00EC12A7">
              <w:rPr>
                <w:rFonts w:cs="Times New Roman"/>
                <w:szCs w:val="20"/>
              </w:rPr>
              <w:instrText>ADDIN CSL_CITATION {"citationItems":[{"id":"ITEM-1","itemData":{"URL":"http://www.stats.govt.nz/browse_for_stats/health/life_expectancy.aspx","author":[{"dropping-particle":"","family":"Statistics New Zealand","given":"","non-dropping-particle":"","parse-names":false,"suffix":""}],"id":"ITEM-1","issue":"22/2/2017","issued":{"date-parts":[["0"]]},"title":"Life expectancy","type":"webpage"},"uris":["http://www.mendeley.com/documents/?uuid=76b04a24-eb47-37ee-b6c7-0b4aa581553b","http://www.mendeley.com/documents/?uuid=7e675aa6-9976-4289-b370-3d9a1c0b7a87"]}],"mendeley":{"formattedCitation":"(244)","plainTextFormattedCitation":"(244)","previouslyFormattedCitation":"(244)"},"properties":{"noteIndex":0},"schema":"https://github.com/citation-style-language/schema/raw/master/csl-citation.json"}</w:instrText>
            </w:r>
            <w:r w:rsidR="003C2ABF" w:rsidRPr="0091450A">
              <w:rPr>
                <w:rFonts w:cs="Times New Roman"/>
                <w:szCs w:val="20"/>
              </w:rPr>
              <w:fldChar w:fldCharType="separate"/>
            </w:r>
            <w:r w:rsidR="009C4029" w:rsidRPr="009C4029">
              <w:rPr>
                <w:rFonts w:cs="Times New Roman"/>
                <w:noProof/>
                <w:szCs w:val="20"/>
              </w:rPr>
              <w:t>(244)</w:t>
            </w:r>
            <w:r w:rsidR="003C2ABF" w:rsidRPr="0091450A">
              <w:rPr>
                <w:rFonts w:cs="Times New Roman"/>
                <w:szCs w:val="20"/>
              </w:rPr>
              <w:fldChar w:fldCharType="end"/>
            </w:r>
            <w:r w:rsidRPr="0091450A">
              <w:rPr>
                <w:rFonts w:cs="Times New Roman"/>
                <w:szCs w:val="20"/>
              </w:rPr>
              <w:t>.</w:t>
            </w:r>
          </w:p>
          <w:p w14:paraId="3BD17B0B" w14:textId="77777777" w:rsidR="00706304" w:rsidRPr="0091450A" w:rsidRDefault="00706304" w:rsidP="002D613F">
            <w:pPr>
              <w:pStyle w:val="ListParagraph"/>
              <w:shd w:val="clear" w:color="auto" w:fill="FFFFFF" w:themeFill="background1"/>
              <w:ind w:left="284"/>
              <w:rPr>
                <w:rFonts w:cs="Times New Roman"/>
                <w:szCs w:val="20"/>
              </w:rPr>
            </w:pPr>
          </w:p>
          <w:p w14:paraId="48772008" w14:textId="368E13A3" w:rsidR="00C04080" w:rsidRPr="0091450A" w:rsidRDefault="00C04080" w:rsidP="002D613F">
            <w:pPr>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6BC91E63" w14:textId="00F6E081" w:rsidR="00D25895" w:rsidRPr="0091450A" w:rsidRDefault="00D25895" w:rsidP="002D613F">
            <w:pPr>
              <w:pStyle w:val="ListParagraph"/>
              <w:numPr>
                <w:ilvl w:val="0"/>
                <w:numId w:val="80"/>
              </w:numPr>
              <w:shd w:val="clear" w:color="auto" w:fill="FFFFFF" w:themeFill="background1"/>
              <w:ind w:left="284" w:hanging="284"/>
              <w:rPr>
                <w:rFonts w:cs="Times New Roman"/>
                <w:szCs w:val="20"/>
              </w:rPr>
            </w:pPr>
            <w:r w:rsidRPr="0091450A">
              <w:rPr>
                <w:rFonts w:eastAsia="Times New Roman" w:cs="Times New Roman"/>
                <w:b/>
                <w:szCs w:val="20"/>
                <w:lang w:eastAsia="en-NZ"/>
              </w:rPr>
              <w:t>OECD countries</w:t>
            </w:r>
            <w:r w:rsidRPr="0091450A">
              <w:rPr>
                <w:rFonts w:eastAsia="Times New Roman" w:cs="Times New Roman"/>
                <w:szCs w:val="20"/>
                <w:lang w:eastAsia="en-NZ"/>
              </w:rPr>
              <w:t>: Most OECD countries</w:t>
            </w:r>
            <w:r w:rsidR="000D6441" w:rsidRPr="0091450A">
              <w:rPr>
                <w:rFonts w:eastAsia="Times New Roman" w:cs="Times New Roman"/>
                <w:szCs w:val="20"/>
                <w:lang w:eastAsia="en-NZ"/>
              </w:rPr>
              <w:t>, including New Zealand,</w:t>
            </w:r>
            <w:r w:rsidRPr="0091450A">
              <w:rPr>
                <w:rFonts w:eastAsia="Times New Roman" w:cs="Times New Roman"/>
                <w:szCs w:val="20"/>
                <w:lang w:eastAsia="en-NZ"/>
              </w:rPr>
              <w:t xml:space="preserve"> have regular and robust prevalence, incidence and mortality data for the main </w:t>
            </w:r>
            <w:r w:rsidR="00C76DA0" w:rsidRPr="0091450A">
              <w:rPr>
                <w:rFonts w:eastAsia="Times New Roman" w:cs="Times New Roman"/>
                <w:szCs w:val="20"/>
                <w:lang w:eastAsia="en-NZ"/>
              </w:rPr>
              <w:t>diet</w:t>
            </w:r>
            <w:r w:rsidR="00193D5E">
              <w:rPr>
                <w:rFonts w:eastAsia="Times New Roman" w:cs="Times New Roman"/>
                <w:szCs w:val="20"/>
                <w:lang w:eastAsia="en-NZ"/>
              </w:rPr>
              <w:t>-</w:t>
            </w:r>
            <w:r w:rsidR="00C76DA0" w:rsidRPr="0091450A">
              <w:rPr>
                <w:rFonts w:eastAsia="Times New Roman" w:cs="Times New Roman"/>
                <w:szCs w:val="20"/>
                <w:lang w:eastAsia="en-NZ"/>
              </w:rPr>
              <w:t>related</w:t>
            </w:r>
            <w:r w:rsidRPr="0091450A">
              <w:rPr>
                <w:rFonts w:eastAsia="Times New Roman" w:cs="Times New Roman"/>
                <w:szCs w:val="20"/>
                <w:lang w:eastAsia="en-NZ"/>
              </w:rPr>
              <w:t xml:space="preserve"> NCDs and NCD risk factors.</w:t>
            </w:r>
          </w:p>
        </w:tc>
      </w:tr>
    </w:tbl>
    <w:p w14:paraId="5ADA7A55" w14:textId="77777777" w:rsidR="00B72DFC" w:rsidRPr="0091450A" w:rsidRDefault="00B72DFC" w:rsidP="002D613F">
      <w:pPr>
        <w:spacing w:line="240" w:lineRule="auto"/>
      </w:pPr>
    </w:p>
    <w:tbl>
      <w:tblPr>
        <w:tblStyle w:val="TableGrid"/>
        <w:tblW w:w="9209" w:type="dxa"/>
        <w:tblLook w:val="04A0" w:firstRow="1" w:lastRow="0" w:firstColumn="1" w:lastColumn="0" w:noHBand="0" w:noVBand="1"/>
      </w:tblPr>
      <w:tblGrid>
        <w:gridCol w:w="9209"/>
      </w:tblGrid>
      <w:tr w:rsidR="002C1960" w:rsidRPr="0091450A" w14:paraId="3290A703" w14:textId="77777777" w:rsidTr="00E83F10">
        <w:tc>
          <w:tcPr>
            <w:tcW w:w="9209" w:type="dxa"/>
          </w:tcPr>
          <w:p w14:paraId="245D83A9" w14:textId="50F76E55" w:rsidR="002C1960" w:rsidRPr="0091450A" w:rsidRDefault="008C0F53" w:rsidP="002D613F">
            <w:pPr>
              <w:shd w:val="clear" w:color="auto" w:fill="FFFFFF" w:themeFill="background1"/>
              <w:spacing w:before="30" w:after="30"/>
              <w:rPr>
                <w:rFonts w:cs="Times New Roman"/>
                <w:bCs/>
                <w:szCs w:val="20"/>
              </w:rPr>
            </w:pPr>
            <w:r w:rsidRPr="0091450A">
              <w:rPr>
                <w:rFonts w:cs="Times New Roman"/>
                <w:b/>
                <w:color w:val="1F497D" w:themeColor="text2"/>
                <w:sz w:val="28"/>
                <w:szCs w:val="28"/>
              </w:rPr>
              <w:t xml:space="preserve">10 </w:t>
            </w:r>
            <w:r w:rsidR="002C1960" w:rsidRPr="0091450A">
              <w:rPr>
                <w:rFonts w:cs="Times New Roman"/>
                <w:b/>
                <w:color w:val="1F497D" w:themeColor="text2"/>
                <w:sz w:val="28"/>
                <w:szCs w:val="28"/>
              </w:rPr>
              <w:t>MONITORING</w:t>
            </w:r>
            <w:r w:rsidRPr="0091450A">
              <w:rPr>
                <w:rFonts w:cs="Times New Roman"/>
                <w:b/>
                <w:color w:val="1F497D" w:themeColor="text2"/>
                <w:sz w:val="28"/>
                <w:szCs w:val="28"/>
              </w:rPr>
              <w:t xml:space="preserve"> AND INTELLIGENCE</w:t>
            </w:r>
            <w:r w:rsidR="002C1960" w:rsidRPr="0091450A">
              <w:rPr>
                <w:rFonts w:cs="Times New Roman"/>
                <w:b/>
                <w:color w:val="1F497D" w:themeColor="text2"/>
                <w:sz w:val="28"/>
                <w:szCs w:val="28"/>
              </w:rPr>
              <w:t xml:space="preserve">: </w:t>
            </w:r>
            <w:r w:rsidR="00B84363"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193D5E">
              <w:rPr>
                <w:rFonts w:cs="Times New Roman"/>
                <w:szCs w:val="20"/>
              </w:rPr>
              <w:t>-</w:t>
            </w:r>
            <w:r w:rsidR="00C76DA0" w:rsidRPr="0091450A">
              <w:rPr>
                <w:rFonts w:cs="Times New Roman"/>
                <w:szCs w:val="20"/>
              </w:rPr>
              <w:t>related</w:t>
            </w:r>
            <w:r w:rsidR="00B84363" w:rsidRPr="0091450A">
              <w:rPr>
                <w:rFonts w:cs="Times New Roman"/>
                <w:szCs w:val="20"/>
              </w:rPr>
              <w:t xml:space="preserve"> NCDs and their inequalities, and to measure progress on achieving the goals of nutrition and health plans</w:t>
            </w:r>
            <w:r w:rsidR="00B84E85" w:rsidRPr="0091450A">
              <w:rPr>
                <w:rFonts w:cs="Times New Roman"/>
                <w:szCs w:val="20"/>
              </w:rPr>
              <w:t>.</w:t>
            </w:r>
          </w:p>
        </w:tc>
      </w:tr>
      <w:tr w:rsidR="002C1960" w:rsidRPr="0091450A" w14:paraId="7FDD9A9F" w14:textId="77777777" w:rsidTr="00E83F10">
        <w:tc>
          <w:tcPr>
            <w:tcW w:w="9209" w:type="dxa"/>
          </w:tcPr>
          <w:p w14:paraId="7263F5E7" w14:textId="60836792" w:rsidR="002C1960" w:rsidRPr="0091450A" w:rsidRDefault="00A27C87" w:rsidP="002D613F">
            <w:pPr>
              <w:shd w:val="clear" w:color="auto" w:fill="FFFFFF" w:themeFill="background1"/>
              <w:spacing w:before="30" w:after="30"/>
              <w:rPr>
                <w:rFonts w:cs="Times New Roman"/>
                <w:color w:val="000000"/>
                <w:szCs w:val="20"/>
                <w:lang w:eastAsia="en-NZ"/>
              </w:rPr>
            </w:pPr>
            <w:bookmarkStart w:id="62" w:name="_Toc31623760"/>
            <w:r w:rsidRPr="0091450A">
              <w:rPr>
                <w:rStyle w:val="Heading3Char"/>
              </w:rPr>
              <w:t>MONIT5</w:t>
            </w:r>
            <w:bookmarkEnd w:id="62"/>
            <w:r w:rsidR="002C1960" w:rsidRPr="0091450A">
              <w:rPr>
                <w:rFonts w:cs="Times New Roman"/>
                <w:b/>
                <w:color w:val="1F497D" w:themeColor="text2"/>
                <w:sz w:val="28"/>
                <w:szCs w:val="28"/>
              </w:rPr>
              <w:t xml:space="preserve">: </w:t>
            </w:r>
            <w:r w:rsidR="00B84363" w:rsidRPr="0091450A">
              <w:rPr>
                <w:rFonts w:cs="Times New Roman"/>
                <w:b/>
                <w:szCs w:val="20"/>
              </w:rPr>
              <w:t xml:space="preserve">There is sufficient evaluation of major programs and policies to assess effectiveness and contribution to achieving the goals of </w:t>
            </w:r>
            <w:r w:rsidR="00B84E85" w:rsidRPr="0091450A">
              <w:rPr>
                <w:rFonts w:cs="Times New Roman"/>
                <w:b/>
                <w:szCs w:val="20"/>
              </w:rPr>
              <w:t>the nutrition and health plans.</w:t>
            </w:r>
          </w:p>
        </w:tc>
      </w:tr>
      <w:tr w:rsidR="002C1960" w:rsidRPr="0091450A" w14:paraId="742AFEDC" w14:textId="77777777" w:rsidTr="00E83F10">
        <w:tc>
          <w:tcPr>
            <w:tcW w:w="9209" w:type="dxa"/>
          </w:tcPr>
          <w:p w14:paraId="5E8583E0" w14:textId="3B95FFAF" w:rsidR="0020485F" w:rsidRPr="0091450A" w:rsidRDefault="0020485F" w:rsidP="002D613F">
            <w:pPr>
              <w:spacing w:before="30" w:after="3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082F08C" w14:textId="228A6656" w:rsidR="00341E0D" w:rsidRPr="0091450A" w:rsidRDefault="001204B9" w:rsidP="002D613F">
            <w:pPr>
              <w:pStyle w:val="ListParagraph"/>
              <w:widowControl w:val="0"/>
              <w:numPr>
                <w:ilvl w:val="0"/>
                <w:numId w:val="32"/>
              </w:numPr>
              <w:shd w:val="clear" w:color="auto" w:fill="FFFFFF" w:themeFill="background1"/>
              <w:autoSpaceDE w:val="0"/>
              <w:autoSpaceDN w:val="0"/>
              <w:adjustRightInd w:val="0"/>
              <w:spacing w:before="30" w:after="30"/>
              <w:ind w:left="284" w:hanging="284"/>
              <w:contextualSpacing w:val="0"/>
            </w:pPr>
            <w:r w:rsidRPr="0091450A">
              <w:rPr>
                <w:rFonts w:cs="Times New Roman"/>
                <w:szCs w:val="20"/>
              </w:rPr>
              <w:t>There is n</w:t>
            </w:r>
            <w:r w:rsidR="00342AED" w:rsidRPr="0091450A">
              <w:rPr>
                <w:rFonts w:cs="Times New Roman"/>
                <w:szCs w:val="20"/>
              </w:rPr>
              <w:t xml:space="preserve">o comprehensive nutrition and health plan in </w:t>
            </w:r>
            <w:r w:rsidR="0060136D" w:rsidRPr="0091450A">
              <w:rPr>
                <w:rFonts w:cs="Times New Roman"/>
                <w:szCs w:val="20"/>
              </w:rPr>
              <w:t>NZ</w:t>
            </w:r>
            <w:r w:rsidR="00342AED" w:rsidRPr="0091450A">
              <w:rPr>
                <w:rFonts w:cs="Times New Roman"/>
                <w:szCs w:val="20"/>
              </w:rPr>
              <w:t xml:space="preserve">. </w:t>
            </w:r>
            <w:r w:rsidR="00FD04DC" w:rsidRPr="0091450A">
              <w:rPr>
                <w:rFonts w:cs="Times New Roman"/>
                <w:szCs w:val="20"/>
              </w:rPr>
              <w:t xml:space="preserve">The </w:t>
            </w:r>
            <w:r w:rsidR="00EA4AD4" w:rsidRPr="0091450A">
              <w:rPr>
                <w:rFonts w:cs="Times New Roman"/>
                <w:szCs w:val="20"/>
              </w:rPr>
              <w:t xml:space="preserve">Childhood Obesity Plan </w:t>
            </w:r>
            <w:r w:rsidR="00FD04DC" w:rsidRPr="0091450A">
              <w:rPr>
                <w:rFonts w:cs="Times New Roman"/>
                <w:szCs w:val="20"/>
              </w:rPr>
              <w:t>is a package of initiatives to prevent and manage obesity in children and you</w:t>
            </w:r>
            <w:r w:rsidR="0060136D" w:rsidRPr="0091450A">
              <w:rPr>
                <w:rFonts w:cs="Times New Roman"/>
                <w:szCs w:val="20"/>
              </w:rPr>
              <w:t>th</w:t>
            </w:r>
            <w:r w:rsidR="00FD04DC" w:rsidRPr="0091450A">
              <w:rPr>
                <w:rFonts w:cs="Times New Roman"/>
                <w:szCs w:val="20"/>
              </w:rPr>
              <w:t xml:space="preserve"> up to 18 years</w:t>
            </w:r>
            <w:r w:rsidR="00651244" w:rsidRPr="0091450A">
              <w:rPr>
                <w:rFonts w:cs="Times New Roman"/>
                <w:szCs w:val="20"/>
              </w:rPr>
              <w:t xml:space="preserve">. </w:t>
            </w:r>
            <w:r w:rsidR="00FD04DC" w:rsidRPr="0091450A">
              <w:rPr>
                <w:rFonts w:cs="Times New Roman"/>
                <w:szCs w:val="20"/>
              </w:rPr>
              <w:t>Much of the initiatives</w:t>
            </w:r>
            <w:r w:rsidR="000A63B0">
              <w:rPr>
                <w:rFonts w:cs="Times New Roman"/>
                <w:szCs w:val="20"/>
              </w:rPr>
              <w:t xml:space="preserve"> already existed</w:t>
            </w:r>
            <w:r w:rsidR="00F16817" w:rsidRPr="0091450A">
              <w:rPr>
                <w:rFonts w:cs="Times New Roman"/>
                <w:szCs w:val="20"/>
              </w:rPr>
              <w:t xml:space="preserve"> at the time</w:t>
            </w:r>
            <w:r w:rsidR="00FD04DC" w:rsidRPr="0091450A">
              <w:rPr>
                <w:rFonts w:cs="Times New Roman"/>
                <w:szCs w:val="20"/>
              </w:rPr>
              <w:t xml:space="preserve"> (</w:t>
            </w:r>
            <w:r w:rsidR="00AE20D3" w:rsidRPr="0091450A">
              <w:rPr>
                <w:rFonts w:cs="Times New Roman"/>
                <w:szCs w:val="20"/>
              </w:rPr>
              <w:t>e.g.</w:t>
            </w:r>
            <w:r w:rsidR="00FD04DC" w:rsidRPr="0091450A">
              <w:rPr>
                <w:rFonts w:cs="Times New Roman"/>
                <w:szCs w:val="20"/>
              </w:rPr>
              <w:t xml:space="preserve"> Eating and Activity Guidelines) with some </w:t>
            </w:r>
            <w:r w:rsidR="000A63B0">
              <w:rPr>
                <w:rFonts w:cs="Times New Roman"/>
                <w:szCs w:val="20"/>
              </w:rPr>
              <w:t xml:space="preserve">that were </w:t>
            </w:r>
            <w:r w:rsidR="00FD04DC" w:rsidRPr="007159FF">
              <w:rPr>
                <w:rFonts w:cs="Times New Roman"/>
                <w:szCs w:val="20"/>
              </w:rPr>
              <w:t>new</w:t>
            </w:r>
            <w:r w:rsidR="000A63B0" w:rsidRPr="0091450A">
              <w:rPr>
                <w:rFonts w:cs="Times New Roman"/>
                <w:szCs w:val="20"/>
              </w:rPr>
              <w:t xml:space="preserve"> </w:t>
            </w:r>
            <w:r w:rsidR="00FD04DC" w:rsidRPr="0091450A">
              <w:rPr>
                <w:rFonts w:cs="Times New Roman"/>
                <w:szCs w:val="20"/>
              </w:rPr>
              <w:t>(</w:t>
            </w:r>
            <w:r w:rsidR="00AE20D3" w:rsidRPr="0091450A">
              <w:rPr>
                <w:rFonts w:cs="Times New Roman"/>
                <w:szCs w:val="20"/>
              </w:rPr>
              <w:t>e.g.</w:t>
            </w:r>
            <w:r w:rsidR="00FD04DC" w:rsidRPr="0091450A">
              <w:rPr>
                <w:rFonts w:cs="Times New Roman"/>
                <w:szCs w:val="20"/>
              </w:rPr>
              <w:t xml:space="preserve"> DHB healthy food policies). </w:t>
            </w:r>
            <w:r w:rsidR="00F247B2" w:rsidRPr="0091450A">
              <w:t>The Cabinet Social Policy Committee did not provide clear actions for evaluation, only that obesity would be monitored using the NZ Health Survey data</w:t>
            </w:r>
            <w:r w:rsidR="001013BC" w:rsidRPr="0091450A">
              <w:t xml:space="preserve"> </w:t>
            </w:r>
            <w:r w:rsidR="009D5D61"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{"citationItems":[{"id":"ITEM-1","itemData":{"URL":"https://www.health.govt.nz/our-work/diseases-and-conditions/obesity/childhood-obesity-plan/childhood-obesity-plan-background-information","author":[{"dropping-particle":"","family":"Ministry of Health","given":"","non-dropping-particle":"","parse-names":false,"suffix":""}],"id":"ITEM-1","issue":"4/12/2016","issued":{"date-parts":[["2016"]]},"title":"Childhood obesity plan: background information ","type":"webpage"},"uris":["http://www.mendeley.com/documents/?uuid=4787275d-14e7-4d2a-bc27-eb2d346411ce","http://www.mendeley.com/documents/?uuid=c0d07df9-1f57-37a4-b6e6-9889fc63d527"]}],"mendeley":{"formattedCitation":"(177)","plainTextFormattedCitation":"(177)","previouslyFormattedCitation":"(177)"},"properties":{"noteIndex":0},"schema":"https://github.com/citation-style-language/schema/raw/master/csl-citation.json"}</w:instrText>
            </w:r>
            <w:r w:rsidR="009D5D61" w:rsidRPr="0091450A">
              <w:rPr>
                <w:rFonts w:cs="Times New Roman"/>
                <w:szCs w:val="20"/>
              </w:rPr>
              <w:fldChar w:fldCharType="separate"/>
            </w:r>
            <w:r w:rsidR="009C4029" w:rsidRPr="009C4029">
              <w:rPr>
                <w:rFonts w:cs="Times New Roman"/>
                <w:noProof/>
                <w:szCs w:val="20"/>
              </w:rPr>
              <w:t>(177)</w:t>
            </w:r>
            <w:r w:rsidR="009D5D61" w:rsidRPr="0091450A">
              <w:rPr>
                <w:rFonts w:cs="Times New Roman"/>
                <w:szCs w:val="20"/>
              </w:rPr>
              <w:fldChar w:fldCharType="end"/>
            </w:r>
            <w:r w:rsidR="00F247B2" w:rsidRPr="0091450A">
              <w:rPr>
                <w:rFonts w:cs="Times New Roman"/>
                <w:szCs w:val="20"/>
              </w:rPr>
              <w:t>.</w:t>
            </w:r>
            <w:r w:rsidR="00F247B2" w:rsidRPr="0091450A">
              <w:t xml:space="preserve"> </w:t>
            </w:r>
            <w:r w:rsidR="00FD04DC" w:rsidRPr="0091450A">
              <w:rPr>
                <w:rFonts w:cs="Times New Roman"/>
                <w:szCs w:val="20"/>
              </w:rPr>
              <w:t xml:space="preserve">One of the </w:t>
            </w:r>
            <w:r w:rsidR="00FD04DC" w:rsidRPr="007159FF">
              <w:t>initiatives</w:t>
            </w:r>
            <w:r w:rsidR="00FD04DC" w:rsidRPr="0091450A">
              <w:rPr>
                <w:rFonts w:cs="Times New Roman"/>
                <w:szCs w:val="20"/>
              </w:rPr>
              <w:t xml:space="preserve"> has a health target ‘</w:t>
            </w:r>
            <w:r w:rsidR="00FD04DC" w:rsidRPr="0091450A">
              <w:t xml:space="preserve">95% of obese children identified in the Before School Check (B4SC) programme will be offered a referral to a health professional for clinical assessment and </w:t>
            </w:r>
            <w:r w:rsidR="00C76DA0" w:rsidRPr="0091450A">
              <w:rPr>
                <w:rFonts w:cs="Times New Roman"/>
                <w:szCs w:val="20"/>
              </w:rPr>
              <w:t>family</w:t>
            </w:r>
            <w:r w:rsidR="00C76DA0" w:rsidRPr="0091450A">
              <w:t>-based</w:t>
            </w:r>
            <w:r w:rsidR="00FD04DC" w:rsidRPr="0091450A">
              <w:t xml:space="preserve"> nutrition, activity and lifestyle interventions’.</w:t>
            </w:r>
            <w:r w:rsidR="00341E0D" w:rsidRPr="0091450A">
              <w:t xml:space="preserve"> </w:t>
            </w:r>
            <w:r w:rsidR="009906FF" w:rsidRPr="0091450A">
              <w:t>An u</w:t>
            </w:r>
            <w:r w:rsidR="009D2FCD" w:rsidRPr="0091450A">
              <w:t xml:space="preserve">pdate </w:t>
            </w:r>
            <w:r w:rsidR="009906FF" w:rsidRPr="0091450A">
              <w:t xml:space="preserve">on the </w:t>
            </w:r>
            <w:r w:rsidR="00EA4AD4" w:rsidRPr="0091450A">
              <w:rPr>
                <w:rFonts w:cs="Times New Roman"/>
                <w:szCs w:val="20"/>
              </w:rPr>
              <w:t>Childhood Obesity Plan</w:t>
            </w:r>
            <w:r w:rsidR="00EA4AD4" w:rsidRPr="0091450A">
              <w:t xml:space="preserve"> </w:t>
            </w:r>
            <w:r w:rsidR="009906FF" w:rsidRPr="0091450A">
              <w:t>(</w:t>
            </w:r>
            <w:r w:rsidR="009D2FCD" w:rsidRPr="0091450A">
              <w:t>Oct 2016</w:t>
            </w:r>
            <w:r w:rsidR="009906FF" w:rsidRPr="0091450A">
              <w:t>)</w:t>
            </w:r>
            <w:r w:rsidR="009D2FCD" w:rsidRPr="0091450A">
              <w:t xml:space="preserve"> report</w:t>
            </w:r>
            <w:r w:rsidR="00F16817" w:rsidRPr="0091450A">
              <w:t>ed</w:t>
            </w:r>
            <w:r w:rsidR="009D2FCD" w:rsidRPr="0091450A">
              <w:t xml:space="preserve"> progress made on 14 initiatives</w:t>
            </w:r>
            <w:r w:rsidRPr="0091450A">
              <w:t xml:space="preserve"> </w:t>
            </w:r>
            <w:r w:rsidR="009D5D61" w:rsidRPr="0091450A">
              <w:rPr>
                <w:rFonts w:cs="Times New Roman"/>
                <w:szCs w:val="20"/>
              </w:rPr>
              <w:fldChar w:fldCharType="begin" w:fldLock="1"/>
            </w:r>
            <w:r w:rsidR="00EC12A7">
              <w:rPr>
                <w:rFonts w:cs="Times New Roman"/>
                <w:szCs w:val="20"/>
              </w:rPr>
              <w:instrText>ADDIN CSL_CITATION {"citationItems":[{"id":"ITEM-1","itemData":{"URL":"https://www.health.govt.nz/news-media/news-items/food-and-beverage-industry-pledge-and-asa-review-update","author":[{"dropping-particle":"","family":"Ministry of Health","given":"","non-dropping-particle":"","parse-names":false,"suffix":""}],"id":"ITEM-1","issue":"22/2/2017","issued":{"date-parts":[["2016"]]},"title":"Childhood obesity plan achievements to date","type":"webpage"},"uris":["http://www.mendeley.com/documents/?uuid=3d68eb83-9c8a-3671-bce3-4d0fdcad4501","http://www.mendeley.com/documents/?uuid=5436f4b7-fd5e-4594-bf9e-0e6ad9c2e39d"]}],"mendeley":{"formattedCitation":"(245)","plainTextFormattedCitation":"(245)","previouslyFormattedCitation":"(245)"},"properties":{"noteIndex":0},"schema":"https://github.com/citation-style-language/schema/raw/master/csl-citation.json"}</w:instrText>
            </w:r>
            <w:r w:rsidR="009D5D61" w:rsidRPr="0091450A">
              <w:rPr>
                <w:rFonts w:cs="Times New Roman"/>
                <w:szCs w:val="20"/>
              </w:rPr>
              <w:fldChar w:fldCharType="separate"/>
            </w:r>
            <w:r w:rsidR="009C4029" w:rsidRPr="009C4029">
              <w:rPr>
                <w:rFonts w:cs="Times New Roman"/>
                <w:noProof/>
                <w:szCs w:val="20"/>
              </w:rPr>
              <w:t>(245)</w:t>
            </w:r>
            <w:r w:rsidR="009D5D61" w:rsidRPr="0091450A">
              <w:rPr>
                <w:rFonts w:cs="Times New Roman"/>
                <w:szCs w:val="20"/>
              </w:rPr>
              <w:fldChar w:fldCharType="end"/>
            </w:r>
            <w:r w:rsidR="00F16817" w:rsidRPr="0091450A">
              <w:rPr>
                <w:rFonts w:cs="Times New Roman"/>
                <w:szCs w:val="20"/>
              </w:rPr>
              <w:t xml:space="preserve"> but there have been no further reports since</w:t>
            </w:r>
            <w:r w:rsidR="009D5D61" w:rsidRPr="0091450A">
              <w:rPr>
                <w:rFonts w:cs="Times New Roman"/>
                <w:szCs w:val="20"/>
              </w:rPr>
              <w:t>.</w:t>
            </w:r>
          </w:p>
          <w:p w14:paraId="19AB4AF8" w14:textId="250812EA" w:rsidR="00C365E5" w:rsidRPr="00B67F4F" w:rsidRDefault="007D4FC1" w:rsidP="00D021AA">
            <w:pPr>
              <w:pStyle w:val="ListParagraph"/>
              <w:numPr>
                <w:ilvl w:val="0"/>
                <w:numId w:val="36"/>
              </w:numPr>
              <w:spacing w:before="30" w:after="30"/>
              <w:ind w:left="284" w:hanging="284"/>
              <w:contextualSpacing w:val="0"/>
              <w:rPr>
                <w:rFonts w:cs="Times New Roman"/>
                <w:szCs w:val="20"/>
              </w:rPr>
            </w:pPr>
            <w:r w:rsidRPr="0091450A">
              <w:t xml:space="preserve">A </w:t>
            </w:r>
            <w:r w:rsidR="00341E0D" w:rsidRPr="0091450A">
              <w:t>Healthy Families</w:t>
            </w:r>
            <w:r w:rsidR="00EA4AD4" w:rsidRPr="0091450A">
              <w:t xml:space="preserve"> </w:t>
            </w:r>
            <w:r w:rsidR="00881593" w:rsidRPr="0091450A">
              <w:t>summative evaluation report</w:t>
            </w:r>
            <w:r w:rsidRPr="0091450A">
              <w:t xml:space="preserve"> </w:t>
            </w:r>
            <w:r w:rsidR="00A21189" w:rsidRPr="0091450A">
              <w:t>was</w:t>
            </w:r>
            <w:r w:rsidRPr="0091450A">
              <w:t xml:space="preserve"> conducted by Massey University</w:t>
            </w:r>
            <w:r w:rsidR="00881593" w:rsidRPr="0091450A">
              <w:t xml:space="preserve"> in 2018 </w:t>
            </w:r>
            <w:r w:rsidR="005277BD" w:rsidRPr="0091450A">
              <w:fldChar w:fldCharType="begin" w:fldLock="1"/>
            </w:r>
            <w:r w:rsidR="00EC12A7">
              <w:instrText>ADDIN CSL_CITATION {"citationItems":[{"id":"ITEM-1","itemData":{"author":[{"dropping-particle":"","family":"Dr","given":"Gray, Rebecca","non-dropping-particle":"","parse-names":false,"suffix":""},{"dropping-particle":"","family":"Lindberg","given":"Kirstin","non-dropping-particle":"","parse-names":false,"suffix":""},{"dropping-particle":"","family":"Shanthakumar","given":"Mathangi","non-dropping-particle":"","parse-names":false,"suffix":""},{"dropping-particle":"","family":"Wehipeihana","given":"Nan","non-dropping-particle":"","parse-names":false,"suffix":""},{"dropping-particle":"","family":"Fisher","given":"Kathleen","non-dropping-particle":"","parse-names":false,"suffix":""},{"dropping-particle":"","family":"Spee","given":"Kellie","non-dropping-particle":"","parse-names":false,"suffix":""},{"dropping-particle":"","family":"Smith","given":"Roxanne","non-dropping-particle":"","parse-names":false,"suffix":""},{"dropping-particle":"","family":"Chilcott","given":"Nikki","non-dropping-particle":"","parse-names":false,"suffix":""},{"dropping-particle":"","family":"Walton","given":"Mat","non-dropping-particle":"","parse-names":false,"suffix":""}],"id":"ITEM-1","issued":{"date-parts":[["2018"]]},"title":"Healthy Families NZ Summative Evaluation Report of Healthy Families NZ","type":"report"},"uris":["http://www.mendeley.com/documents/?uuid=0a68a27d-0108-3d01-872f-a678ce9123e0","http://www.mendeley.com/documents/?uuid=a13fa9d0-b2be-40d1-90e6-d56099a94527"]}],"mendeley":{"formattedCitation":"(246)","plainTextFormattedCitation":"(246)","previouslyFormattedCitation":"(246)"},"properties":{"noteIndex":0},"schema":"https://github.com/citation-style-language/schema/raw/master/csl-citation.json"}</w:instrText>
            </w:r>
            <w:r w:rsidR="005277BD" w:rsidRPr="0091450A">
              <w:fldChar w:fldCharType="separate"/>
            </w:r>
            <w:r w:rsidR="009C4029" w:rsidRPr="009C4029">
              <w:rPr>
                <w:noProof/>
              </w:rPr>
              <w:t>(246)</w:t>
            </w:r>
            <w:r w:rsidR="005277BD" w:rsidRPr="0091450A">
              <w:fldChar w:fldCharType="end"/>
            </w:r>
            <w:r w:rsidRPr="0091450A">
              <w:t>. There is a national evaluation team that support</w:t>
            </w:r>
            <w:r w:rsidR="008E2A95">
              <w:t>ed</w:t>
            </w:r>
            <w:r w:rsidRPr="0091450A">
              <w:t xml:space="preserve"> each Healthy Families</w:t>
            </w:r>
            <w:r w:rsidR="00EA4AD4" w:rsidRPr="0091450A">
              <w:t xml:space="preserve"> NZ</w:t>
            </w:r>
            <w:r w:rsidRPr="0091450A">
              <w:t xml:space="preserve"> location to develop a local evaluation plan that will identif</w:t>
            </w:r>
            <w:r w:rsidR="00193D5E">
              <w:t>y</w:t>
            </w:r>
            <w:r w:rsidRPr="0091450A">
              <w:t xml:space="preserve"> </w:t>
            </w:r>
            <w:r w:rsidR="001204B9" w:rsidRPr="0091450A">
              <w:t xml:space="preserve">priorities for evaluation. </w:t>
            </w:r>
            <w:r w:rsidRPr="0091450A">
              <w:t>The local evaluation support</w:t>
            </w:r>
            <w:r w:rsidR="001B3292">
              <w:t>ed</w:t>
            </w:r>
            <w:r w:rsidRPr="0091450A">
              <w:t xml:space="preserve"> each location to evaluate, learn from and continuously adapt their </w:t>
            </w:r>
            <w:r w:rsidR="00B8651E" w:rsidRPr="0091450A">
              <w:t>activities. The</w:t>
            </w:r>
            <w:r w:rsidRPr="0091450A">
              <w:t xml:space="preserve"> local plans </w:t>
            </w:r>
            <w:r w:rsidR="00B8651E" w:rsidRPr="0091450A">
              <w:t>encourage</w:t>
            </w:r>
            <w:r w:rsidR="001B3292">
              <w:t>d</w:t>
            </w:r>
            <w:r w:rsidRPr="0091450A">
              <w:t xml:space="preserve"> regular review of data to provide rapid feedback.</w:t>
            </w:r>
            <w:r w:rsidR="009906FF" w:rsidRPr="0091450A">
              <w:t xml:space="preserve"> </w:t>
            </w:r>
            <w:r w:rsidRPr="0091450A">
              <w:t xml:space="preserve">The national evaluation </w:t>
            </w:r>
            <w:r w:rsidR="00BF0877">
              <w:t xml:space="preserve">found that Healthy Families continue </w:t>
            </w:r>
            <w:r w:rsidR="00152542">
              <w:t>to be strongly and successfully implemented across the 10 locations.</w:t>
            </w:r>
            <w:r w:rsidR="001116FA">
              <w:t xml:space="preserve"> Some highlights included that they noticed a shift towards organisations increasingly valuing and acting on prevention for better health outcomes</w:t>
            </w:r>
            <w:r w:rsidR="00B67F4F">
              <w:t>, leadership as a key focus of recent healthy family efforts and an increasing collaborative community approach</w:t>
            </w:r>
            <w:r w:rsidR="001116FA">
              <w:t>.</w:t>
            </w:r>
            <w:r w:rsidR="00152542">
              <w:t xml:space="preserve"> </w:t>
            </w:r>
            <w:r w:rsidR="00C365E5" w:rsidRPr="00B67F4F">
              <w:rPr>
                <w:rFonts w:cs="Times New Roman"/>
                <w:szCs w:val="20"/>
              </w:rPr>
              <w:t>As always in evaluation, there are limitations when expecting to see change in long-term health conditions</w:t>
            </w:r>
            <w:r w:rsidR="008E2A95">
              <w:rPr>
                <w:rFonts w:cs="Times New Roman"/>
                <w:szCs w:val="20"/>
              </w:rPr>
              <w:t xml:space="preserve"> and no change has yet been seen this early</w:t>
            </w:r>
            <w:r w:rsidR="00C365E5" w:rsidRPr="00B67F4F">
              <w:rPr>
                <w:rFonts w:cs="Times New Roman"/>
                <w:szCs w:val="20"/>
              </w:rPr>
              <w:t xml:space="preserve">. </w:t>
            </w:r>
            <w:r w:rsidR="001204B9" w:rsidRPr="00B67F4F">
              <w:rPr>
                <w:rFonts w:cs="Times New Roman"/>
                <w:szCs w:val="20"/>
              </w:rPr>
              <w:t xml:space="preserve">The </w:t>
            </w:r>
            <w:r w:rsidR="00651244" w:rsidRPr="00B67F4F">
              <w:rPr>
                <w:rFonts w:cs="Times New Roman"/>
                <w:szCs w:val="20"/>
              </w:rPr>
              <w:t>available</w:t>
            </w:r>
            <w:r w:rsidR="001204B9" w:rsidRPr="00B67F4F">
              <w:rPr>
                <w:rFonts w:cs="Times New Roman"/>
                <w:szCs w:val="20"/>
              </w:rPr>
              <w:t xml:space="preserve"> f</w:t>
            </w:r>
            <w:r w:rsidR="00C365E5" w:rsidRPr="00B67F4F">
              <w:rPr>
                <w:rFonts w:cs="Times New Roman"/>
                <w:szCs w:val="20"/>
              </w:rPr>
              <w:t xml:space="preserve">unding </w:t>
            </w:r>
            <w:r w:rsidR="00A2227A">
              <w:rPr>
                <w:rFonts w:cs="Times New Roman"/>
                <w:szCs w:val="20"/>
              </w:rPr>
              <w:t>is currently $9,403,000 per annum which was the same as the 2016/17 financial year</w:t>
            </w:r>
            <w:r w:rsidR="00403291">
              <w:rPr>
                <w:rFonts w:cs="Times New Roman"/>
                <w:szCs w:val="20"/>
              </w:rPr>
              <w:t xml:space="preserve"> (OIA request, MoH)</w:t>
            </w:r>
            <w:r w:rsidR="00C365E5" w:rsidRPr="00B67F4F">
              <w:rPr>
                <w:rFonts w:cs="Times New Roman"/>
                <w:szCs w:val="20"/>
              </w:rPr>
              <w:t xml:space="preserve">. </w:t>
            </w:r>
          </w:p>
          <w:p w14:paraId="69CEAB07" w14:textId="4D1218E6" w:rsidR="0065525B" w:rsidRPr="003943B6" w:rsidRDefault="00ED48EA" w:rsidP="00836DC3">
            <w:pPr>
              <w:pStyle w:val="ListParagraph"/>
              <w:numPr>
                <w:ilvl w:val="0"/>
                <w:numId w:val="36"/>
              </w:numPr>
              <w:spacing w:before="30" w:after="30"/>
              <w:ind w:left="284" w:hanging="284"/>
              <w:contextualSpacing w:val="0"/>
              <w:rPr>
                <w:rFonts w:cs="Times New Roman"/>
                <w:szCs w:val="20"/>
              </w:rPr>
            </w:pPr>
            <w:r w:rsidRPr="0091450A">
              <w:rPr>
                <w:szCs w:val="20"/>
              </w:rPr>
              <w:t>The ‘</w:t>
            </w:r>
            <w:r w:rsidRPr="003943B6">
              <w:rPr>
                <w:bCs/>
                <w:szCs w:val="20"/>
              </w:rPr>
              <w:t>National</w:t>
            </w:r>
            <w:r w:rsidRPr="0091450A">
              <w:rPr>
                <w:b/>
                <w:bCs/>
                <w:szCs w:val="20"/>
              </w:rPr>
              <w:t xml:space="preserve"> </w:t>
            </w:r>
            <w:r w:rsidRPr="0091450A">
              <w:rPr>
                <w:szCs w:val="20"/>
              </w:rPr>
              <w:t xml:space="preserve">Healthy Food and Drink Policy’ will be evaluated by the University of Auckland with funding from the Healthier Lives National Science Challenge. The aim of the research is to find out how well the </w:t>
            </w:r>
            <w:r w:rsidR="00193D5E">
              <w:rPr>
                <w:szCs w:val="20"/>
              </w:rPr>
              <w:t>p</w:t>
            </w:r>
            <w:r w:rsidRPr="0091450A">
              <w:rPr>
                <w:szCs w:val="20"/>
              </w:rPr>
              <w:t>olicy has been implemented, and its impact on food availability and purchases. It will explore resources required to support the further implementation of the policy and maximise its adoption by public sector institution</w:t>
            </w:r>
            <w:r w:rsidR="00836DC3">
              <w:rPr>
                <w:szCs w:val="20"/>
              </w:rPr>
              <w:t xml:space="preserve">s </w:t>
            </w:r>
            <w:r w:rsidR="00836DC3">
              <w:rPr>
                <w:szCs w:val="20"/>
              </w:rPr>
              <w:fldChar w:fldCharType="begin" w:fldLock="1"/>
            </w:r>
            <w:r w:rsidR="00EC12A7">
              <w:rPr>
                <w:szCs w:val="20"/>
              </w:rPr>
              <w:instrText>ADDIN CSL_CITATION {"citationItems":[{"id":"ITEM-1","itemData":{"URL":"https://healthierlives.co.nz/2019/12/16/new-research-on-national-healthy-food-and-drink-policy/","accessed":{"date-parts":[["2020","2","5"]]},"author":[{"dropping-particle":"","family":"National Science Challenges","given":"","non-dropping-particle":"","parse-names":false,"suffix":""}],"container-title":"Healthier Lives","id":"ITEM-1","issued":{"date-parts":[["2019"]]},"title":"New research on National Healthy Food and Drink Policy – Healthier Lives","type":"webpage"},"uris":["http://www.mendeley.com/documents/?uuid=9d24c88b-93d5-368d-a058-b10066a1f313"]}],"mendeley":{"formattedCitation":"(247)","plainTextFormattedCitation":"(247)","previouslyFormattedCitation":"(247)"},"properties":{"noteIndex":0},"schema":"https://github.com/citation-style-language/schema/raw/master/csl-citation.json"}</w:instrText>
            </w:r>
            <w:r w:rsidR="00836DC3">
              <w:rPr>
                <w:szCs w:val="20"/>
              </w:rPr>
              <w:fldChar w:fldCharType="separate"/>
            </w:r>
            <w:r w:rsidR="009C4029" w:rsidRPr="009C4029">
              <w:rPr>
                <w:noProof/>
                <w:szCs w:val="20"/>
              </w:rPr>
              <w:t>(247)</w:t>
            </w:r>
            <w:r w:rsidR="00836DC3">
              <w:rPr>
                <w:szCs w:val="20"/>
              </w:rPr>
              <w:fldChar w:fldCharType="end"/>
            </w:r>
            <w:r w:rsidR="003943B6">
              <w:rPr>
                <w:szCs w:val="20"/>
              </w:rPr>
              <w:t>.</w:t>
            </w:r>
          </w:p>
          <w:p w14:paraId="42358422" w14:textId="77777777" w:rsidR="003943B6" w:rsidRPr="003943B6" w:rsidRDefault="003943B6" w:rsidP="003943B6">
            <w:pPr>
              <w:spacing w:before="30" w:after="30"/>
              <w:rPr>
                <w:rFonts w:cs="Times New Roman"/>
                <w:szCs w:val="20"/>
              </w:rPr>
            </w:pPr>
          </w:p>
          <w:p w14:paraId="549D0A7F" w14:textId="2FBC1B38" w:rsidR="00C04080" w:rsidRPr="0091450A" w:rsidRDefault="00C04080" w:rsidP="002D613F">
            <w:pPr>
              <w:spacing w:before="30" w:after="3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12522390" w14:textId="53491E88" w:rsidR="00923311" w:rsidRPr="0091450A" w:rsidRDefault="00D25895" w:rsidP="002D613F">
            <w:pPr>
              <w:pStyle w:val="ListParagraph"/>
              <w:numPr>
                <w:ilvl w:val="0"/>
                <w:numId w:val="81"/>
              </w:numPr>
              <w:shd w:val="clear" w:color="auto" w:fill="FFFFFF" w:themeFill="background1"/>
              <w:spacing w:before="30" w:after="30"/>
              <w:ind w:left="284" w:hanging="284"/>
              <w:contextualSpacing w:val="0"/>
              <w:rPr>
                <w:rFonts w:cs="Times New Roman"/>
                <w:b/>
                <w:color w:val="1F497D" w:themeColor="text2"/>
                <w:szCs w:val="20"/>
              </w:rPr>
            </w:pPr>
            <w:r w:rsidRPr="0091450A">
              <w:rPr>
                <w:rFonts w:eastAsia="Times New Roman" w:cs="Times New Roman"/>
                <w:b/>
                <w:szCs w:val="20"/>
                <w:lang w:eastAsia="en-NZ"/>
              </w:rPr>
              <w:t>US</w:t>
            </w:r>
            <w:r w:rsidRPr="0091450A">
              <w:rPr>
                <w:rFonts w:eastAsia="Times New Roman" w:cs="Times New Roman"/>
                <w:szCs w:val="20"/>
                <w:lang w:eastAsia="en-NZ"/>
              </w:rPr>
              <w:t>: The National Institutes for Health provide funding for rapid assessments of natural experiments. The funding establishes an accelerated review/award process to support time-sensitive research to evaluate a new policy or program expected to influenc</w:t>
            </w:r>
            <w:r w:rsidR="00046833" w:rsidRPr="0091450A">
              <w:rPr>
                <w:rFonts w:eastAsia="Times New Roman" w:cs="Times New Roman"/>
                <w:szCs w:val="20"/>
                <w:lang w:eastAsia="en-NZ"/>
              </w:rPr>
              <w:t>e obesity</w:t>
            </w:r>
            <w:r w:rsidR="00193D5E">
              <w:rPr>
                <w:rFonts w:eastAsia="Times New Roman" w:cs="Times New Roman"/>
                <w:szCs w:val="20"/>
                <w:lang w:eastAsia="en-NZ"/>
              </w:rPr>
              <w:t>-</w:t>
            </w:r>
            <w:r w:rsidR="00046833" w:rsidRPr="0091450A">
              <w:rPr>
                <w:rFonts w:eastAsia="Times New Roman" w:cs="Times New Roman"/>
                <w:szCs w:val="20"/>
                <w:lang w:eastAsia="en-NZ"/>
              </w:rPr>
              <w:t>related behaviours (</w:t>
            </w:r>
            <w:r w:rsidR="00AE20D3" w:rsidRPr="0091450A">
              <w:rPr>
                <w:rFonts w:eastAsia="Times New Roman" w:cs="Times New Roman"/>
                <w:szCs w:val="20"/>
                <w:lang w:eastAsia="en-NZ"/>
              </w:rPr>
              <w:t>e.g.</w:t>
            </w:r>
            <w:r w:rsidRPr="0091450A">
              <w:rPr>
                <w:rFonts w:eastAsia="Times New Roman" w:cs="Times New Roman"/>
                <w:szCs w:val="20"/>
                <w:lang w:eastAsia="en-NZ"/>
              </w:rPr>
              <w:t>, dietary intake, physical activity, or sedentary behaviour) and/or weight outcomes in an effort to prevent or reduce obesity</w:t>
            </w:r>
            <w:r w:rsidR="0060515A" w:rsidRPr="0091450A">
              <w:rPr>
                <w:rFonts w:eastAsia="Times New Roman" w:cs="Times New Roman"/>
                <w:szCs w:val="20"/>
                <w:lang w:eastAsia="en-NZ"/>
              </w:rPr>
              <w:t xml:space="preserve"> </w:t>
            </w:r>
            <w:r w:rsidR="009D5D61"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{"citationItems":[{"id":"ITEM-1","itemData":{"URL":"http://grants.nih.gov/grants/guide/pa-files/PAR-12-257.html","author":[{"dropping-particle":"","family":"US National Institutes of Health","given":"","non-dropping-particle":"","parse-names":false,"suffix":""}],"id":"ITEM-1","issue":"22/02/2016","issued":{"date-parts":[["2016"]]},"title":"Time-Sensitive Obesity Policy and Program Evaluation (R01)","type":"webpage"},"uris":["http://www.mendeley.com/documents/?uuid=08ce19c4-7c88-3d6a-955b-12ecc2c1c56d","http://www.mendeley.com/documents/?uuid=eb09b241-3f91-4382-9f3b-853162425eb0"]}],"mendeley":{"formattedCitation":"(248)","plainTextFormattedCitation":"(248)","previouslyFormattedCitation":"(248)"},"properties":{"noteIndex":0},"schema":"https://github.com/citation-style-language/schema/raw/master/csl-citation.json"}</w:instrText>
            </w:r>
            <w:r w:rsidR="009D5D61"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(248)</w:t>
            </w:r>
            <w:r w:rsidR="009D5D61" w:rsidRPr="0091450A">
              <w:rPr>
                <w:rFonts w:eastAsia="Times New Roman" w:cs="Times New Roman"/>
                <w:szCs w:val="20"/>
                <w:lang w:eastAsia="en-NZ"/>
              </w:rPr>
              <w:fldChar w:fldCharType="end"/>
            </w:r>
            <w:r w:rsidRPr="0091450A">
              <w:rPr>
                <w:rFonts w:eastAsia="Times New Roman" w:cs="Times New Roman"/>
                <w:szCs w:val="20"/>
                <w:lang w:eastAsia="en-NZ"/>
              </w:rPr>
              <w:t>.</w:t>
            </w:r>
          </w:p>
        </w:tc>
      </w:tr>
    </w:tbl>
    <w:p w14:paraId="2B5D298D" w14:textId="0FBF29A2" w:rsidR="00EE377E" w:rsidRPr="0091450A" w:rsidRDefault="00EE377E" w:rsidP="002D613F">
      <w:pPr>
        <w:spacing w:after="0" w:line="240" w:lineRule="auto"/>
      </w:pPr>
    </w:p>
    <w:tbl>
      <w:tblPr>
        <w:tblStyle w:val="TableGrid"/>
        <w:tblW w:w="9209" w:type="dxa"/>
        <w:tblLook w:val="04A0" w:firstRow="1" w:lastRow="0" w:firstColumn="1" w:lastColumn="0" w:noHBand="0" w:noVBand="1"/>
      </w:tblPr>
      <w:tblGrid>
        <w:gridCol w:w="9209"/>
      </w:tblGrid>
      <w:tr w:rsidR="00B84363" w:rsidRPr="0091450A" w14:paraId="6718D8DF" w14:textId="77777777" w:rsidTr="00E83F10">
        <w:tc>
          <w:tcPr>
            <w:tcW w:w="9209" w:type="dxa"/>
          </w:tcPr>
          <w:p w14:paraId="2DDF359F" w14:textId="33ACD789" w:rsidR="00B84363" w:rsidRPr="0091450A" w:rsidRDefault="00B84363" w:rsidP="002D613F">
            <w:pPr>
              <w:shd w:val="clear" w:color="auto" w:fill="FFFFFF" w:themeFill="background1"/>
              <w:spacing w:before="40" w:after="40"/>
              <w:rPr>
                <w:rFonts w:cs="Times New Roman"/>
                <w:bCs/>
                <w:szCs w:val="20"/>
              </w:rPr>
            </w:pPr>
            <w:r w:rsidRPr="0091450A">
              <w:rPr>
                <w:rFonts w:cs="Times New Roman"/>
                <w:b/>
                <w:color w:val="1F497D" w:themeColor="text2"/>
                <w:sz w:val="28"/>
                <w:szCs w:val="28"/>
              </w:rPr>
              <w:lastRenderedPageBreak/>
              <w:t xml:space="preserve">10 MONITORING AND INTELLIGENCE: </w:t>
            </w:r>
            <w:r w:rsidRPr="0091450A">
              <w:rPr>
                <w:rFonts w:cs="Times New Roman"/>
                <w:szCs w:val="20"/>
              </w:rPr>
              <w:t xml:space="preserve">The government’s monitoring and intelligence systems (surveillance, evaluation, research and reporting) are comprehensive and regular enough to assess the status of food environments, population nutrition and </w:t>
            </w:r>
            <w:r w:rsidR="00C76DA0" w:rsidRPr="0091450A">
              <w:rPr>
                <w:rFonts w:cs="Times New Roman"/>
                <w:szCs w:val="20"/>
              </w:rPr>
              <w:t>diet</w:t>
            </w:r>
            <w:r w:rsidR="00193D5E">
              <w:rPr>
                <w:rFonts w:cs="Times New Roman"/>
                <w:szCs w:val="20"/>
              </w:rPr>
              <w:t>-</w:t>
            </w:r>
            <w:r w:rsidR="00C76DA0" w:rsidRPr="0091450A">
              <w:rPr>
                <w:rFonts w:cs="Times New Roman"/>
                <w:szCs w:val="20"/>
              </w:rPr>
              <w:t>related</w:t>
            </w:r>
            <w:r w:rsidRPr="0091450A">
              <w:rPr>
                <w:rFonts w:cs="Times New Roman"/>
                <w:szCs w:val="20"/>
              </w:rPr>
              <w:t xml:space="preserve"> NCDs and their inequalities, and to measure progress on achieving the goals of nutrition and health plans</w:t>
            </w:r>
            <w:r w:rsidR="00B84E85" w:rsidRPr="0091450A">
              <w:rPr>
                <w:rFonts w:cs="Times New Roman"/>
                <w:szCs w:val="20"/>
              </w:rPr>
              <w:t>.</w:t>
            </w:r>
          </w:p>
        </w:tc>
      </w:tr>
      <w:tr w:rsidR="00B84363" w:rsidRPr="0091450A" w14:paraId="4BB1A17F" w14:textId="77777777" w:rsidTr="00E83F10">
        <w:tc>
          <w:tcPr>
            <w:tcW w:w="9209" w:type="dxa"/>
          </w:tcPr>
          <w:p w14:paraId="3F44C11F" w14:textId="10E1304C" w:rsidR="00B84363" w:rsidRPr="0091450A" w:rsidRDefault="00A27C87" w:rsidP="002D613F">
            <w:pPr>
              <w:shd w:val="clear" w:color="auto" w:fill="FFFFFF" w:themeFill="background1"/>
              <w:spacing w:before="40" w:after="40"/>
              <w:rPr>
                <w:rFonts w:cs="Times New Roman"/>
                <w:color w:val="000000"/>
                <w:szCs w:val="20"/>
                <w:lang w:eastAsia="en-NZ"/>
              </w:rPr>
            </w:pPr>
            <w:bookmarkStart w:id="63" w:name="_Toc31623761"/>
            <w:r w:rsidRPr="0091450A">
              <w:rPr>
                <w:rStyle w:val="Heading3Char"/>
              </w:rPr>
              <w:t>MONIT6</w:t>
            </w:r>
            <w:bookmarkEnd w:id="63"/>
            <w:r w:rsidR="00B84363" w:rsidRPr="0091450A">
              <w:rPr>
                <w:rFonts w:cs="Times New Roman"/>
                <w:b/>
                <w:color w:val="1F497D" w:themeColor="text2"/>
                <w:sz w:val="28"/>
                <w:szCs w:val="28"/>
              </w:rPr>
              <w:t xml:space="preserve">: </w:t>
            </w:r>
            <w:r w:rsidR="007D5C35" w:rsidRPr="0091450A">
              <w:rPr>
                <w:rFonts w:cs="Times New Roman"/>
                <w:b/>
                <w:szCs w:val="20"/>
              </w:rPr>
              <w:t>P</w:t>
            </w:r>
            <w:r w:rsidR="00B84363" w:rsidRPr="0091450A">
              <w:rPr>
                <w:rFonts w:cs="Times New Roman"/>
                <w:b/>
                <w:szCs w:val="20"/>
              </w:rPr>
              <w:t>rogress towards reducin</w:t>
            </w:r>
            <w:r w:rsidR="00035BE0" w:rsidRPr="0091450A">
              <w:rPr>
                <w:rFonts w:cs="Times New Roman"/>
                <w:b/>
                <w:szCs w:val="20"/>
              </w:rPr>
              <w:t>g health inequalities and societal and economic</w:t>
            </w:r>
            <w:r w:rsidR="00B84363" w:rsidRPr="0091450A">
              <w:rPr>
                <w:rFonts w:cs="Times New Roman"/>
                <w:b/>
                <w:szCs w:val="20"/>
              </w:rPr>
              <w:t xml:space="preserve"> determinants of health </w:t>
            </w:r>
            <w:r w:rsidR="00193D5E">
              <w:rPr>
                <w:rFonts w:cs="Times New Roman"/>
                <w:b/>
                <w:szCs w:val="20"/>
              </w:rPr>
              <w:t>is</w:t>
            </w:r>
            <w:r w:rsidR="00B84363" w:rsidRPr="0091450A">
              <w:rPr>
                <w:rFonts w:cs="Times New Roman"/>
                <w:b/>
                <w:szCs w:val="20"/>
              </w:rPr>
              <w:t xml:space="preserve"> regularly monitored</w:t>
            </w:r>
            <w:r w:rsidR="00B84E85" w:rsidRPr="0091450A">
              <w:rPr>
                <w:rFonts w:cs="Times New Roman"/>
                <w:b/>
                <w:szCs w:val="20"/>
              </w:rPr>
              <w:t>.</w:t>
            </w:r>
          </w:p>
        </w:tc>
      </w:tr>
      <w:tr w:rsidR="00B84363" w:rsidRPr="0091450A" w14:paraId="51A4C21C" w14:textId="77777777" w:rsidTr="00E83F10">
        <w:tc>
          <w:tcPr>
            <w:tcW w:w="9209" w:type="dxa"/>
          </w:tcPr>
          <w:p w14:paraId="66757198" w14:textId="06C200A9"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1BB176A" w14:textId="39757F99" w:rsidR="00342AED" w:rsidRPr="0091450A" w:rsidRDefault="00342AED" w:rsidP="002D613F">
            <w:pPr>
              <w:pStyle w:val="ListParagraph"/>
              <w:numPr>
                <w:ilvl w:val="0"/>
                <w:numId w:val="33"/>
              </w:numPr>
              <w:spacing w:before="40" w:after="40"/>
              <w:ind w:left="284" w:hanging="284"/>
              <w:contextualSpacing w:val="0"/>
              <w:rPr>
                <w:rFonts w:cs="Times New Roman"/>
                <w:szCs w:val="20"/>
              </w:rPr>
            </w:pPr>
            <w:r w:rsidRPr="0091450A">
              <w:rPr>
                <w:rFonts w:cs="Times New Roman"/>
                <w:szCs w:val="20"/>
              </w:rPr>
              <w:t>All Ministry of Health surveys (including the more recent nutrition and health surveys) report on estimates for different population groups particular</w:t>
            </w:r>
            <w:r w:rsidR="00947226" w:rsidRPr="0091450A">
              <w:rPr>
                <w:rFonts w:cs="Times New Roman"/>
                <w:szCs w:val="20"/>
              </w:rPr>
              <w:t xml:space="preserve">ly by </w:t>
            </w:r>
            <w:r w:rsidRPr="0091450A">
              <w:rPr>
                <w:rFonts w:cs="Times New Roman"/>
                <w:szCs w:val="20"/>
              </w:rPr>
              <w:t>ethnicity (</w:t>
            </w:r>
            <w:r w:rsidR="00947226" w:rsidRPr="0091450A">
              <w:rPr>
                <w:rFonts w:cs="Times New Roman"/>
                <w:szCs w:val="20"/>
              </w:rPr>
              <w:t>including Maori</w:t>
            </w:r>
            <w:r w:rsidRPr="0091450A">
              <w:rPr>
                <w:rFonts w:cs="Times New Roman"/>
                <w:szCs w:val="20"/>
              </w:rPr>
              <w:t xml:space="preserve"> and Pacific peoples), by age, by sex and by </w:t>
            </w:r>
            <w:proofErr w:type="spellStart"/>
            <w:r w:rsidRPr="0091450A">
              <w:rPr>
                <w:rFonts w:cs="Times New Roman"/>
                <w:szCs w:val="20"/>
              </w:rPr>
              <w:t>NZDep</w:t>
            </w:r>
            <w:proofErr w:type="spellEnd"/>
            <w:r w:rsidRPr="0091450A">
              <w:rPr>
                <w:rFonts w:cs="Times New Roman"/>
                <w:szCs w:val="20"/>
              </w:rPr>
              <w:t xml:space="preserve">). </w:t>
            </w:r>
            <w:r w:rsidR="009906FF" w:rsidRPr="0091450A">
              <w:rPr>
                <w:rFonts w:cs="Times New Roman"/>
                <w:szCs w:val="20"/>
              </w:rPr>
              <w:t>The</w:t>
            </w:r>
            <w:r w:rsidR="00FC3410" w:rsidRPr="0091450A">
              <w:rPr>
                <w:rFonts w:cs="Times New Roman"/>
                <w:szCs w:val="20"/>
              </w:rPr>
              <w:t xml:space="preserve"> NZ Health survey reports results for Asian people</w:t>
            </w:r>
            <w:r w:rsidR="00B65FD0" w:rsidRPr="0091450A">
              <w:rPr>
                <w:rFonts w:cs="Times New Roman"/>
                <w:szCs w:val="20"/>
              </w:rPr>
              <w:t xml:space="preserve"> </w:t>
            </w:r>
            <w:r w:rsidR="000276CA" w:rsidRPr="0091450A">
              <w:rPr>
                <w:rFonts w:cs="Times New Roman"/>
                <w:szCs w:val="20"/>
              </w:rPr>
              <w:fldChar w:fldCharType="begin" w:fldLock="1"/>
            </w:r>
            <w:r w:rsidR="00EC12A7">
              <w:rPr>
                <w:rFonts w:cs="Times New Roman"/>
                <w:szCs w:val="20"/>
              </w:rPr>
              <w:instrText>ADDIN CSL_CITATION {"citationItems":[{"id":"ITEM-1","itemData":{"URL":"http://www.health.govt.nz/nz-health-statistics/national-collections-and-surveys/surveys/current-recent-surveys/new-zealand-health-survey?mega=Health statistics&amp;title=NZ Health Survey#published","author":[{"dropping-particle":"","family":"Ministry of Health","given":"","non-dropping-particle":"","parse-names":false,"suffix":""}],"id":"ITEM-1","issue":"3/12/2016","issued":{"date-parts":[["2016"]]},"title":"New Zealand Health Survey  ","type":"webpage"},"uris":["http://www.mendeley.com/documents/?uuid=14b6ff52-d185-4640-9f3d-f2918ba2f002","http://www.mendeley.com/documents/?uuid=49070f80-ffe0-3172-b184-06a51354652e"]}],"mendeley":{"formattedCitation":"(229)","plainTextFormattedCitation":"(229)","previouslyFormattedCitation":"(229)"},"properties":{"noteIndex":0},"schema":"https://github.com/citation-style-language/schema/raw/master/csl-citation.json"}</w:instrText>
            </w:r>
            <w:r w:rsidR="000276CA" w:rsidRPr="0091450A">
              <w:rPr>
                <w:rFonts w:cs="Times New Roman"/>
                <w:szCs w:val="20"/>
              </w:rPr>
              <w:fldChar w:fldCharType="separate"/>
            </w:r>
            <w:r w:rsidR="009C4029" w:rsidRPr="009C4029">
              <w:rPr>
                <w:rFonts w:cs="Times New Roman"/>
                <w:noProof/>
                <w:szCs w:val="20"/>
              </w:rPr>
              <w:t>(229)</w:t>
            </w:r>
            <w:r w:rsidR="000276CA" w:rsidRPr="0091450A">
              <w:rPr>
                <w:rFonts w:cs="Times New Roman"/>
                <w:szCs w:val="20"/>
              </w:rPr>
              <w:fldChar w:fldCharType="end"/>
            </w:r>
            <w:r w:rsidR="000276CA" w:rsidRPr="0091450A">
              <w:rPr>
                <w:rFonts w:cs="Times New Roman"/>
                <w:szCs w:val="20"/>
              </w:rPr>
              <w:t>.</w:t>
            </w:r>
          </w:p>
          <w:p w14:paraId="617E26C8" w14:textId="31CEC362" w:rsidR="00EE1615" w:rsidRPr="0091450A" w:rsidRDefault="00EE1615" w:rsidP="002D613F">
            <w:pPr>
              <w:pStyle w:val="ListParagraph"/>
              <w:numPr>
                <w:ilvl w:val="0"/>
                <w:numId w:val="33"/>
              </w:numPr>
              <w:spacing w:before="40" w:after="40"/>
              <w:ind w:left="284" w:hanging="284"/>
              <w:contextualSpacing w:val="0"/>
              <w:rPr>
                <w:rFonts w:cs="Times New Roman"/>
                <w:szCs w:val="20"/>
              </w:rPr>
            </w:pPr>
            <w:r w:rsidRPr="0091450A">
              <w:rPr>
                <w:rFonts w:cs="Times New Roman"/>
                <w:szCs w:val="20"/>
              </w:rPr>
              <w:t>Ministry of Health contracts include</w:t>
            </w:r>
            <w:r w:rsidR="001D7CB6">
              <w:rPr>
                <w:rFonts w:cs="Times New Roman"/>
                <w:szCs w:val="20"/>
              </w:rPr>
              <w:t>s</w:t>
            </w:r>
            <w:r w:rsidRPr="0091450A">
              <w:rPr>
                <w:rFonts w:cs="Times New Roman"/>
                <w:szCs w:val="20"/>
              </w:rPr>
              <w:t xml:space="preserv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w:t>
            </w:r>
            <w:r w:rsidR="0060515A" w:rsidRPr="0091450A">
              <w:rPr>
                <w:rFonts w:cs="Times New Roman"/>
                <w:szCs w:val="20"/>
              </w:rPr>
              <w:t>pecific monitoring requirements</w:t>
            </w:r>
            <w:r w:rsidR="0058209A" w:rsidRPr="0091450A">
              <w:rPr>
                <w:rFonts w:cs="Times New Roman"/>
                <w:szCs w:val="20"/>
              </w:rPr>
              <w:t>”</w:t>
            </w:r>
            <w:r w:rsidR="0060515A" w:rsidRPr="0091450A">
              <w:rPr>
                <w:rFonts w:cs="Times New Roman"/>
                <w:szCs w:val="20"/>
              </w:rPr>
              <w:t>.</w:t>
            </w:r>
            <w:r w:rsidR="00FC3410" w:rsidRPr="0091450A">
              <w:rPr>
                <w:rFonts w:cs="Times New Roman"/>
                <w:szCs w:val="20"/>
              </w:rPr>
              <w:t xml:space="preserve"> </w:t>
            </w:r>
          </w:p>
          <w:p w14:paraId="498986BD" w14:textId="77777777" w:rsidR="00B84363" w:rsidRPr="0091450A" w:rsidRDefault="00B84363" w:rsidP="002D613F">
            <w:pPr>
              <w:shd w:val="clear" w:color="auto" w:fill="FFFFFF" w:themeFill="background1"/>
              <w:spacing w:before="40" w:after="40"/>
              <w:jc w:val="both"/>
              <w:rPr>
                <w:rFonts w:cs="Times New Roman"/>
                <w:szCs w:val="20"/>
              </w:rPr>
            </w:pPr>
          </w:p>
          <w:p w14:paraId="5BA00525" w14:textId="767D9461"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5E21CC3A" w14:textId="4B632395" w:rsidR="00D25895" w:rsidRPr="0091450A" w:rsidRDefault="00D25895" w:rsidP="002D613F">
            <w:pPr>
              <w:pStyle w:val="ListParagraph"/>
              <w:numPr>
                <w:ilvl w:val="0"/>
                <w:numId w:val="82"/>
              </w:numPr>
              <w:shd w:val="clear" w:color="auto" w:fill="FFFFFF" w:themeFill="background1"/>
              <w:spacing w:before="40" w:after="40"/>
              <w:ind w:left="284" w:hanging="284"/>
              <w:contextualSpacing w:val="0"/>
              <w:jc w:val="both"/>
              <w:rPr>
                <w:rFonts w:cs="Times New Roman"/>
                <w:szCs w:val="20"/>
              </w:rPr>
            </w:pPr>
            <w:r w:rsidRPr="0091450A">
              <w:rPr>
                <w:rFonts w:eastAsia="Times New Roman" w:cs="Times New Roman"/>
                <w:b/>
                <w:szCs w:val="20"/>
                <w:lang w:eastAsia="en-NZ"/>
              </w:rPr>
              <w:t>New Zealand</w:t>
            </w:r>
            <w:r w:rsidRPr="0091450A">
              <w:rPr>
                <w:rFonts w:eastAsia="Times New Roman" w:cs="Times New Roman"/>
                <w:szCs w:val="20"/>
                <w:lang w:eastAsia="en-NZ"/>
              </w:rPr>
              <w:t xml:space="preserve">: All annual Ministry of Health Surveys report estimates by subpopulations </w:t>
            </w:r>
            <w:r w:rsidR="0091450A" w:rsidRPr="0091450A">
              <w:rPr>
                <w:rFonts w:eastAsia="Times New Roman" w:cs="Times New Roman"/>
                <w:szCs w:val="20"/>
                <w:lang w:eastAsia="en-NZ"/>
              </w:rPr>
              <w:t>by</w:t>
            </w:r>
            <w:r w:rsidRPr="0091450A">
              <w:rPr>
                <w:rFonts w:eastAsia="Times New Roman" w:cs="Times New Roman"/>
                <w:szCs w:val="20"/>
                <w:lang w:eastAsia="en-NZ"/>
              </w:rPr>
              <w:t xml:space="preserve"> ethnicity (including Maori and Pacific peoples), by age, by gender, and by New Zealand area deprivation.</w:t>
            </w:r>
          </w:p>
        </w:tc>
      </w:tr>
    </w:tbl>
    <w:p w14:paraId="496C1D92" w14:textId="39E5C829" w:rsidR="004304C1" w:rsidRPr="0091450A" w:rsidRDefault="004304C1" w:rsidP="002D613F">
      <w:pPr>
        <w:spacing w:after="0" w:line="240" w:lineRule="auto"/>
      </w:pPr>
    </w:p>
    <w:tbl>
      <w:tblPr>
        <w:tblStyle w:val="TableGrid"/>
        <w:tblW w:w="9209" w:type="dxa"/>
        <w:tblLook w:val="04A0" w:firstRow="1" w:lastRow="0" w:firstColumn="1" w:lastColumn="0" w:noHBand="0" w:noVBand="1"/>
      </w:tblPr>
      <w:tblGrid>
        <w:gridCol w:w="9209"/>
      </w:tblGrid>
      <w:tr w:rsidR="002C1960" w:rsidRPr="0091450A" w14:paraId="13FA48D0" w14:textId="77777777" w:rsidTr="00E83F10">
        <w:tc>
          <w:tcPr>
            <w:tcW w:w="9209" w:type="dxa"/>
          </w:tcPr>
          <w:p w14:paraId="444486F5" w14:textId="25184389" w:rsidR="002C1960" w:rsidRPr="0091450A" w:rsidRDefault="008C0F53" w:rsidP="002D613F">
            <w:pPr>
              <w:shd w:val="clear" w:color="auto" w:fill="FFFFFF" w:themeFill="background1"/>
              <w:spacing w:before="40" w:after="40"/>
              <w:rPr>
                <w:rFonts w:cs="Times New Roman"/>
                <w:szCs w:val="20"/>
              </w:rPr>
            </w:pPr>
            <w:bookmarkStart w:id="64" w:name="_Toc31623762"/>
            <w:r w:rsidRPr="0091450A">
              <w:rPr>
                <w:rStyle w:val="Heading2Char"/>
              </w:rPr>
              <w:t xml:space="preserve">11 </w:t>
            </w:r>
            <w:r w:rsidR="002C1960" w:rsidRPr="0091450A">
              <w:rPr>
                <w:rStyle w:val="Heading2Char"/>
              </w:rPr>
              <w:t>FUNDING</w:t>
            </w:r>
            <w:r w:rsidRPr="0091450A">
              <w:rPr>
                <w:rStyle w:val="Heading2Char"/>
              </w:rPr>
              <w:t xml:space="preserve"> AND RESOURCES</w:t>
            </w:r>
            <w:bookmarkEnd w:id="64"/>
            <w:r w:rsidR="002C1960" w:rsidRPr="0091450A">
              <w:rPr>
                <w:rFonts w:cs="Times New Roman"/>
                <w:b/>
                <w:color w:val="1F497D" w:themeColor="text2"/>
                <w:sz w:val="28"/>
                <w:szCs w:val="28"/>
              </w:rPr>
              <w:t xml:space="preserve">: </w:t>
            </w:r>
            <w:r w:rsidR="00B84363" w:rsidRPr="0091450A">
              <w:rPr>
                <w:rFonts w:cs="Times New Roman"/>
                <w:szCs w:val="20"/>
              </w:rPr>
              <w:t xml:space="preserve">Sufficient funding is invested in ‘Population Nutrition Promotion’ to create healthy food environments, improved population nutrition, reductions in obesity, </w:t>
            </w:r>
            <w:r w:rsidR="00C76DA0" w:rsidRPr="0091450A">
              <w:rPr>
                <w:rFonts w:cs="Times New Roman"/>
                <w:szCs w:val="20"/>
              </w:rPr>
              <w:t>diet</w:t>
            </w:r>
            <w:r w:rsidR="001D7CB6">
              <w:rPr>
                <w:rFonts w:cs="Times New Roman"/>
                <w:szCs w:val="20"/>
              </w:rPr>
              <w:t>-</w:t>
            </w:r>
            <w:r w:rsidR="00C76DA0" w:rsidRPr="0091450A">
              <w:rPr>
                <w:rFonts w:cs="Times New Roman"/>
                <w:szCs w:val="20"/>
              </w:rPr>
              <w:t>related</w:t>
            </w:r>
            <w:r w:rsidR="00B84363" w:rsidRPr="0091450A">
              <w:rPr>
                <w:rFonts w:cs="Times New Roman"/>
                <w:szCs w:val="20"/>
              </w:rPr>
              <w:t xml:space="preserve"> NCDs and their related inequalities</w:t>
            </w:r>
            <w:r w:rsidR="00B84E85" w:rsidRPr="0091450A">
              <w:rPr>
                <w:rFonts w:cs="Times New Roman"/>
                <w:szCs w:val="20"/>
              </w:rPr>
              <w:t>.</w:t>
            </w:r>
          </w:p>
        </w:tc>
      </w:tr>
      <w:tr w:rsidR="002C1960" w:rsidRPr="0091450A" w14:paraId="2B725FED" w14:textId="77777777" w:rsidTr="00E83F10">
        <w:tc>
          <w:tcPr>
            <w:tcW w:w="9209" w:type="dxa"/>
          </w:tcPr>
          <w:p w14:paraId="03C804F2" w14:textId="5FEF1ED4" w:rsidR="002C1960" w:rsidRPr="0091450A" w:rsidRDefault="00D921CC" w:rsidP="002D613F">
            <w:pPr>
              <w:shd w:val="clear" w:color="auto" w:fill="FFFFFF" w:themeFill="background1"/>
              <w:spacing w:before="40" w:after="40"/>
              <w:rPr>
                <w:rFonts w:cs="Times New Roman"/>
                <w:color w:val="000000"/>
                <w:szCs w:val="20"/>
                <w:lang w:eastAsia="en-NZ"/>
              </w:rPr>
            </w:pPr>
            <w:bookmarkStart w:id="65" w:name="_Toc31623763"/>
            <w:r w:rsidRPr="0091450A">
              <w:rPr>
                <w:rStyle w:val="Heading3Char"/>
              </w:rPr>
              <w:t>FUND1</w:t>
            </w:r>
            <w:bookmarkEnd w:id="65"/>
            <w:r w:rsidR="002C1960" w:rsidRPr="0091450A">
              <w:rPr>
                <w:rFonts w:cs="Times New Roman"/>
                <w:b/>
                <w:color w:val="1F497D" w:themeColor="text2"/>
                <w:sz w:val="28"/>
                <w:szCs w:val="28"/>
              </w:rPr>
              <w:t xml:space="preserve">: </w:t>
            </w:r>
            <w:r w:rsidR="00B84363" w:rsidRPr="0091450A">
              <w:rPr>
                <w:rFonts w:cs="Times New Roman"/>
                <w:b/>
                <w:szCs w:val="20"/>
              </w:rPr>
              <w:t>The ‘Population Nutrition Promotion’ budget, as a proportion of total health spending and/or in relation to the diet-related NCD burden</w:t>
            </w:r>
            <w:r w:rsidR="001D7CB6">
              <w:rPr>
                <w:rFonts w:cs="Times New Roman"/>
                <w:b/>
                <w:szCs w:val="20"/>
              </w:rPr>
              <w:t>,</w:t>
            </w:r>
            <w:r w:rsidR="00B84363" w:rsidRPr="0091450A">
              <w:rPr>
                <w:rFonts w:cs="Times New Roman"/>
                <w:b/>
                <w:szCs w:val="20"/>
              </w:rPr>
              <w:t xml:space="preserve"> is sufficient to reduce diet-related NCDs.</w:t>
            </w:r>
            <w:r w:rsidR="00001361" w:rsidRPr="0091450A">
              <w:rPr>
                <w:rFonts w:cs="Times New Roman"/>
                <w:b/>
                <w:szCs w:val="20"/>
              </w:rPr>
              <w:t xml:space="preserve"> Section to be updated after all OIAs received</w:t>
            </w:r>
            <w:r w:rsidR="00B84E85" w:rsidRPr="0091450A">
              <w:rPr>
                <w:rFonts w:cs="Times New Roman"/>
                <w:b/>
                <w:szCs w:val="20"/>
              </w:rPr>
              <w:t>.</w:t>
            </w:r>
          </w:p>
        </w:tc>
      </w:tr>
      <w:tr w:rsidR="002C1960" w:rsidRPr="0091450A" w14:paraId="1DEE3FAA" w14:textId="77777777" w:rsidTr="00AE27FF">
        <w:trPr>
          <w:trHeight w:val="4243"/>
        </w:trPr>
        <w:tc>
          <w:tcPr>
            <w:tcW w:w="9209" w:type="dxa"/>
          </w:tcPr>
          <w:p w14:paraId="4293D4B9" w14:textId="7E9A117A"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A643EE1" w14:textId="57BC3E3C" w:rsidR="001013BC" w:rsidRPr="00FA1E77" w:rsidRDefault="001013BC" w:rsidP="002D613F">
            <w:pPr>
              <w:pStyle w:val="ListParagraph"/>
              <w:numPr>
                <w:ilvl w:val="0"/>
                <w:numId w:val="16"/>
              </w:numPr>
              <w:shd w:val="clear" w:color="auto" w:fill="FFFFFF" w:themeFill="background1"/>
              <w:spacing w:before="40" w:after="40"/>
              <w:ind w:left="284" w:hanging="284"/>
              <w:contextualSpacing w:val="0"/>
              <w:rPr>
                <w:rFonts w:cs="Times New Roman"/>
                <w:bCs/>
                <w:szCs w:val="20"/>
              </w:rPr>
            </w:pPr>
            <w:r w:rsidRPr="0091450A">
              <w:rPr>
                <w:rFonts w:cs="Times New Roman"/>
                <w:bCs/>
                <w:szCs w:val="20"/>
              </w:rPr>
              <w:t xml:space="preserve">Through the </w:t>
            </w:r>
            <w:r w:rsidR="00C21981">
              <w:rPr>
                <w:rFonts w:cs="Times New Roman"/>
                <w:bCs/>
                <w:szCs w:val="20"/>
              </w:rPr>
              <w:t>O</w:t>
            </w:r>
            <w:r w:rsidRPr="0091450A">
              <w:rPr>
                <w:rFonts w:cs="Times New Roman"/>
                <w:bCs/>
                <w:szCs w:val="20"/>
              </w:rPr>
              <w:t xml:space="preserve">fficial </w:t>
            </w:r>
            <w:r w:rsidR="00C21981">
              <w:rPr>
                <w:rFonts w:cs="Times New Roman"/>
                <w:bCs/>
                <w:szCs w:val="20"/>
              </w:rPr>
              <w:t>I</w:t>
            </w:r>
            <w:r w:rsidRPr="0091450A">
              <w:rPr>
                <w:rFonts w:cs="Times New Roman"/>
                <w:bCs/>
                <w:szCs w:val="20"/>
              </w:rPr>
              <w:t xml:space="preserve">nformation </w:t>
            </w:r>
            <w:r w:rsidR="00C21981">
              <w:rPr>
                <w:rFonts w:cs="Times New Roman"/>
                <w:bCs/>
                <w:szCs w:val="20"/>
              </w:rPr>
              <w:t>A</w:t>
            </w:r>
            <w:r w:rsidRPr="0091450A">
              <w:rPr>
                <w:rFonts w:cs="Times New Roman"/>
                <w:bCs/>
                <w:szCs w:val="20"/>
              </w:rPr>
              <w:t>ct 1982, information on budgets spent on population nu</w:t>
            </w:r>
            <w:r w:rsidR="00DC2143" w:rsidRPr="0091450A">
              <w:rPr>
                <w:rFonts w:cs="Times New Roman"/>
                <w:bCs/>
                <w:szCs w:val="20"/>
              </w:rPr>
              <w:t xml:space="preserve">trition promotion by MoH </w:t>
            </w:r>
            <w:r w:rsidRPr="0091450A">
              <w:rPr>
                <w:rFonts w:cs="Times New Roman"/>
                <w:bCs/>
                <w:szCs w:val="20"/>
              </w:rPr>
              <w:t xml:space="preserve">and </w:t>
            </w:r>
            <w:r w:rsidR="00FB7571">
              <w:rPr>
                <w:rFonts w:cs="Times New Roman"/>
                <w:bCs/>
                <w:szCs w:val="20"/>
              </w:rPr>
              <w:t xml:space="preserve">most of the </w:t>
            </w:r>
            <w:r w:rsidR="00DC2143" w:rsidRPr="0091450A">
              <w:rPr>
                <w:rFonts w:cs="Times New Roman"/>
                <w:bCs/>
                <w:szCs w:val="20"/>
              </w:rPr>
              <w:t>Public Health Units of DHBs</w:t>
            </w:r>
            <w:r w:rsidRPr="0091450A">
              <w:rPr>
                <w:rFonts w:cs="Times New Roman"/>
                <w:bCs/>
                <w:szCs w:val="20"/>
              </w:rPr>
              <w:t xml:space="preserve"> </w:t>
            </w:r>
            <w:r w:rsidR="00C21981">
              <w:rPr>
                <w:rFonts w:cs="Times New Roman"/>
                <w:bCs/>
                <w:szCs w:val="20"/>
              </w:rPr>
              <w:t>was</w:t>
            </w:r>
            <w:r w:rsidRPr="0091450A">
              <w:rPr>
                <w:rFonts w:cs="Times New Roman"/>
                <w:bCs/>
                <w:szCs w:val="20"/>
              </w:rPr>
              <w:t xml:space="preserve"> obtained.</w:t>
            </w:r>
            <w:r w:rsidRPr="0091450A">
              <w:rPr>
                <w:rFonts w:cs="Times New Roman"/>
                <w:szCs w:val="20"/>
              </w:rPr>
              <w:t xml:space="preserve"> </w:t>
            </w:r>
            <w:r w:rsidR="00FB7571">
              <w:rPr>
                <w:rFonts w:cs="Times New Roman"/>
                <w:szCs w:val="20"/>
              </w:rPr>
              <w:t xml:space="preserve">Three DHBs requested an extension </w:t>
            </w:r>
            <w:r w:rsidR="00FA1E77">
              <w:rPr>
                <w:rFonts w:cs="Times New Roman"/>
                <w:szCs w:val="20"/>
              </w:rPr>
              <w:t xml:space="preserve">after the due date so is not included in the figures in this booklet. </w:t>
            </w:r>
            <w:r w:rsidR="005D5171" w:rsidRPr="0091450A">
              <w:rPr>
                <w:rFonts w:cs="Times New Roman"/>
                <w:color w:val="000000"/>
                <w:szCs w:val="20"/>
              </w:rPr>
              <w:t>The spending of the Ministry of Education on population nutrition promotion is difficult to retrieve so has not been included.</w:t>
            </w:r>
            <w:r w:rsidR="007051D2" w:rsidRPr="0091450A">
              <w:rPr>
                <w:rFonts w:cs="Times New Roman"/>
                <w:szCs w:val="20"/>
              </w:rPr>
              <w:t xml:space="preserve"> </w:t>
            </w:r>
          </w:p>
          <w:p w14:paraId="7AE014E1" w14:textId="4B846825" w:rsidR="00F507C7" w:rsidRDefault="00FA1E77" w:rsidP="00706F41">
            <w:pPr>
              <w:pStyle w:val="ListParagraph"/>
              <w:numPr>
                <w:ilvl w:val="0"/>
                <w:numId w:val="45"/>
              </w:numPr>
              <w:shd w:val="clear" w:color="auto" w:fill="FFFFFF" w:themeFill="background1"/>
              <w:spacing w:before="40" w:after="40"/>
              <w:ind w:left="284" w:hanging="284"/>
              <w:contextualSpacing w:val="0"/>
              <w:rPr>
                <w:rFonts w:cs="Times New Roman"/>
                <w:color w:val="000000"/>
                <w:szCs w:val="20"/>
              </w:rPr>
            </w:pPr>
            <w:r w:rsidRPr="00FA1E77">
              <w:rPr>
                <w:rFonts w:cs="Times New Roman"/>
                <w:bCs/>
                <w:szCs w:val="20"/>
              </w:rPr>
              <w:t xml:space="preserve">Many of </w:t>
            </w:r>
            <w:r w:rsidRPr="00FA1E77">
              <w:rPr>
                <w:lang w:val="en-AU"/>
              </w:rPr>
              <w:t xml:space="preserve">the OIA responses from DHBs indicated the difficulty in separating out nutrition funding, often population health nutrition included physical activity funding. For a few of the DHBs the figures included Raising Healthy Kids and breastfeeding promotion. Healthy Families was not included as this is directly funded by the Ministry of Health. </w:t>
            </w:r>
            <w:r>
              <w:rPr>
                <w:lang w:val="en-AU"/>
              </w:rPr>
              <w:t>Generally the funding included public health units, NGOs funded by the DHB but not Green Prescription</w:t>
            </w:r>
            <w:r w:rsidR="00C21981">
              <w:rPr>
                <w:lang w:val="en-AU"/>
              </w:rPr>
              <w:t xml:space="preserve"> (as focused on indiv</w:t>
            </w:r>
            <w:r w:rsidR="005125E7">
              <w:rPr>
                <w:lang w:val="en-AU"/>
              </w:rPr>
              <w:t>i</w:t>
            </w:r>
            <w:r w:rsidR="00C21981">
              <w:rPr>
                <w:lang w:val="en-AU"/>
              </w:rPr>
              <w:t>duals)</w:t>
            </w:r>
            <w:r>
              <w:rPr>
                <w:lang w:val="en-AU"/>
              </w:rPr>
              <w:t xml:space="preserve">. </w:t>
            </w:r>
            <w:r w:rsidRPr="00FA1E77">
              <w:rPr>
                <w:lang w:val="en-AU"/>
              </w:rPr>
              <w:t xml:space="preserve">Some DHBs estimated the nutrition component of contracts with external providers (for example, 25%). </w:t>
            </w:r>
            <w:r w:rsidR="005D5171" w:rsidRPr="00FA1E77">
              <w:rPr>
                <w:rFonts w:cs="Times New Roman"/>
                <w:color w:val="000000"/>
                <w:szCs w:val="20"/>
              </w:rPr>
              <w:t>The budget for</w:t>
            </w:r>
            <w:r w:rsidR="007051D2" w:rsidRPr="00FA1E77">
              <w:rPr>
                <w:rFonts w:cs="Times New Roman"/>
                <w:color w:val="000000"/>
                <w:szCs w:val="20"/>
              </w:rPr>
              <w:t xml:space="preserve"> DHBs</w:t>
            </w:r>
            <w:r w:rsidRPr="00FA1E77">
              <w:rPr>
                <w:rFonts w:cs="Times New Roman"/>
                <w:color w:val="000000"/>
                <w:szCs w:val="20"/>
              </w:rPr>
              <w:t xml:space="preserve"> (excluding the 3 DHBs who did not respond)</w:t>
            </w:r>
            <w:r w:rsidR="007051D2" w:rsidRPr="00FA1E77">
              <w:rPr>
                <w:rFonts w:cs="Times New Roman"/>
                <w:color w:val="000000"/>
                <w:szCs w:val="20"/>
              </w:rPr>
              <w:t xml:space="preserve"> </w:t>
            </w:r>
            <w:r w:rsidRPr="00FA1E77">
              <w:rPr>
                <w:rFonts w:cs="Times New Roman"/>
                <w:color w:val="000000"/>
                <w:szCs w:val="20"/>
              </w:rPr>
              <w:t xml:space="preserve">during 2017/18 to 2019/20 was $4 million per annum and during </w:t>
            </w:r>
            <w:r w:rsidR="007051D2" w:rsidRPr="00FA1E77">
              <w:rPr>
                <w:rFonts w:cs="Times New Roman"/>
                <w:color w:val="000000"/>
                <w:szCs w:val="20"/>
              </w:rPr>
              <w:t>2014/15-20</w:t>
            </w:r>
            <w:r w:rsidR="005D5171" w:rsidRPr="00FA1E77">
              <w:rPr>
                <w:rFonts w:cs="Times New Roman"/>
                <w:color w:val="000000"/>
                <w:szCs w:val="20"/>
              </w:rPr>
              <w:t>16/17</w:t>
            </w:r>
            <w:r w:rsidR="00DC2143" w:rsidRPr="00FA1E77">
              <w:rPr>
                <w:rFonts w:cs="Times New Roman"/>
                <w:color w:val="000000"/>
                <w:szCs w:val="20"/>
              </w:rPr>
              <w:t xml:space="preserve"> was</w:t>
            </w:r>
            <w:r w:rsidR="005D5171" w:rsidRPr="00FA1E77">
              <w:rPr>
                <w:rFonts w:cs="Times New Roman"/>
                <w:color w:val="000000"/>
                <w:szCs w:val="20"/>
              </w:rPr>
              <w:t xml:space="preserve"> </w:t>
            </w:r>
            <w:r w:rsidRPr="00FA1E77">
              <w:rPr>
                <w:rFonts w:cs="Times New Roman"/>
                <w:color w:val="000000"/>
                <w:szCs w:val="20"/>
              </w:rPr>
              <w:t xml:space="preserve">$4.8 million per annum </w:t>
            </w:r>
            <w:r w:rsidR="00B9313E" w:rsidRPr="00FA1E77">
              <w:rPr>
                <w:rFonts w:cs="Times New Roman"/>
                <w:color w:val="000000"/>
                <w:szCs w:val="20"/>
              </w:rPr>
              <w:t xml:space="preserve">$ </w:t>
            </w:r>
            <w:r w:rsidR="00442075" w:rsidRPr="00FA1E77">
              <w:rPr>
                <w:rFonts w:cs="Times New Roman"/>
                <w:color w:val="000000"/>
                <w:szCs w:val="20"/>
              </w:rPr>
              <w:t xml:space="preserve">(response to </w:t>
            </w:r>
            <w:r w:rsidR="00F507C7" w:rsidRPr="00FA1E77">
              <w:rPr>
                <w:rFonts w:cs="Times New Roman"/>
                <w:color w:val="000000"/>
                <w:szCs w:val="20"/>
              </w:rPr>
              <w:t>OIA</w:t>
            </w:r>
            <w:r w:rsidR="00442075" w:rsidRPr="00FA1E77">
              <w:rPr>
                <w:rFonts w:cs="Times New Roman"/>
                <w:color w:val="000000"/>
                <w:szCs w:val="20"/>
              </w:rPr>
              <w:t xml:space="preserve"> request</w:t>
            </w:r>
            <w:r w:rsidRPr="00FA1E77">
              <w:rPr>
                <w:rFonts w:cs="Times New Roman"/>
                <w:color w:val="000000"/>
                <w:szCs w:val="20"/>
              </w:rPr>
              <w:t>s</w:t>
            </w:r>
            <w:r w:rsidR="00F507C7" w:rsidRPr="00FA1E77">
              <w:rPr>
                <w:rFonts w:cs="Times New Roman"/>
                <w:color w:val="000000"/>
                <w:szCs w:val="20"/>
              </w:rPr>
              <w:t>).</w:t>
            </w:r>
            <w:r w:rsidR="00DC2143" w:rsidRPr="00FA1E77">
              <w:rPr>
                <w:rFonts w:cs="Times New Roman"/>
                <w:color w:val="000000"/>
                <w:szCs w:val="20"/>
              </w:rPr>
              <w:t xml:space="preserve"> </w:t>
            </w:r>
          </w:p>
          <w:p w14:paraId="3839778F" w14:textId="36E9B31B" w:rsidR="005B63D3" w:rsidRPr="00FA1E77" w:rsidRDefault="005B63D3" w:rsidP="00706F41">
            <w:pPr>
              <w:pStyle w:val="ListParagraph"/>
              <w:numPr>
                <w:ilvl w:val="0"/>
                <w:numId w:val="45"/>
              </w:numPr>
              <w:shd w:val="clear" w:color="auto" w:fill="FFFFFF" w:themeFill="background1"/>
              <w:spacing w:before="40" w:after="40"/>
              <w:ind w:left="284" w:hanging="284"/>
              <w:contextualSpacing w:val="0"/>
              <w:rPr>
                <w:rFonts w:cs="Times New Roman"/>
                <w:color w:val="000000"/>
                <w:szCs w:val="20"/>
              </w:rPr>
            </w:pPr>
            <w:r>
              <w:rPr>
                <w:rFonts w:cs="Times New Roman"/>
                <w:bCs/>
                <w:szCs w:val="20"/>
              </w:rPr>
              <w:t>HPA’s budget for the Nutrition and Physical Activity Programme is $1.022 Million (inclusive of overheads to deliver the programme). Given that e</w:t>
            </w:r>
            <w:r w:rsidRPr="00E53A38">
              <w:t xml:space="preserve">mpowering our </w:t>
            </w:r>
            <w:proofErr w:type="spellStart"/>
            <w:r w:rsidRPr="00E53A38">
              <w:t>whānau</w:t>
            </w:r>
            <w:proofErr w:type="spellEnd"/>
            <w:r w:rsidRPr="00E53A38">
              <w:t xml:space="preserve"> with young </w:t>
            </w:r>
            <w:proofErr w:type="spellStart"/>
            <w:r w:rsidRPr="00E53A38">
              <w:t>tamariki</w:t>
            </w:r>
            <w:proofErr w:type="spellEnd"/>
            <w:r w:rsidRPr="00E53A38">
              <w:t xml:space="preserve"> to</w:t>
            </w:r>
            <w:r>
              <w:t xml:space="preserve"> have</w:t>
            </w:r>
            <w:r w:rsidRPr="00E53A38">
              <w:t xml:space="preserve"> </w:t>
            </w:r>
            <w:r>
              <w:t xml:space="preserve">a </w:t>
            </w:r>
            <w:r w:rsidRPr="00E53A38">
              <w:t xml:space="preserve">healthy lifestyle is a </w:t>
            </w:r>
            <w:r>
              <w:t>key objective for HPA, nutrition and physical activity messages are also incorporated into other HPA programmes. For example in the mental health programmes, healthy food and exercise are promoted as a way of enhancing wellbeing. (personal communication, HPA, 2020)</w:t>
            </w:r>
          </w:p>
          <w:p w14:paraId="6F0204C3" w14:textId="402E3505" w:rsidR="00F507C7" w:rsidRPr="00403291" w:rsidRDefault="00FA1E77" w:rsidP="002D613F">
            <w:pPr>
              <w:pStyle w:val="ListParagraph"/>
              <w:numPr>
                <w:ilvl w:val="0"/>
                <w:numId w:val="45"/>
              </w:numPr>
              <w:spacing w:before="40" w:after="40"/>
              <w:ind w:left="284" w:hanging="284"/>
              <w:contextualSpacing w:val="0"/>
              <w:rPr>
                <w:rFonts w:cs="Times New Roman"/>
                <w:color w:val="000000"/>
                <w:szCs w:val="20"/>
              </w:rPr>
            </w:pPr>
            <w:r w:rsidRPr="00403291">
              <w:rPr>
                <w:rFonts w:cs="Times New Roman"/>
                <w:color w:val="000000"/>
                <w:szCs w:val="20"/>
              </w:rPr>
              <w:t>The total spending by the MoH on population nutrition promotion was $</w:t>
            </w:r>
            <w:r>
              <w:rPr>
                <w:rFonts w:cs="Times New Roman"/>
                <w:color w:val="000000"/>
                <w:szCs w:val="20"/>
              </w:rPr>
              <w:t>39</w:t>
            </w:r>
            <w:r w:rsidRPr="00403291">
              <w:rPr>
                <w:rFonts w:cs="Times New Roman"/>
                <w:color w:val="000000"/>
                <w:szCs w:val="20"/>
              </w:rPr>
              <w:t xml:space="preserve"> million in 201</w:t>
            </w:r>
            <w:r>
              <w:rPr>
                <w:rFonts w:cs="Times New Roman"/>
                <w:color w:val="000000"/>
                <w:szCs w:val="20"/>
              </w:rPr>
              <w:t>7</w:t>
            </w:r>
            <w:r w:rsidRPr="00403291">
              <w:rPr>
                <w:rFonts w:cs="Times New Roman"/>
                <w:color w:val="000000"/>
                <w:szCs w:val="20"/>
              </w:rPr>
              <w:t>/1</w:t>
            </w:r>
            <w:r>
              <w:rPr>
                <w:rFonts w:cs="Times New Roman"/>
                <w:color w:val="000000"/>
                <w:szCs w:val="20"/>
              </w:rPr>
              <w:t>8</w:t>
            </w:r>
            <w:r w:rsidRPr="00403291">
              <w:rPr>
                <w:rFonts w:cs="Times New Roman"/>
                <w:color w:val="000000"/>
                <w:szCs w:val="20"/>
              </w:rPr>
              <w:t>, $</w:t>
            </w:r>
            <w:r>
              <w:rPr>
                <w:rFonts w:cs="Times New Roman"/>
                <w:color w:val="000000"/>
                <w:szCs w:val="20"/>
              </w:rPr>
              <w:t>38.4</w:t>
            </w:r>
            <w:r w:rsidRPr="00403291">
              <w:rPr>
                <w:rFonts w:cs="Times New Roman"/>
                <w:color w:val="000000"/>
                <w:szCs w:val="20"/>
              </w:rPr>
              <w:t xml:space="preserve"> million in 201</w:t>
            </w:r>
            <w:r>
              <w:rPr>
                <w:rFonts w:cs="Times New Roman"/>
                <w:color w:val="000000"/>
                <w:szCs w:val="20"/>
              </w:rPr>
              <w:t>8</w:t>
            </w:r>
            <w:r w:rsidRPr="00403291">
              <w:rPr>
                <w:rFonts w:cs="Times New Roman"/>
                <w:color w:val="000000"/>
                <w:szCs w:val="20"/>
              </w:rPr>
              <w:t>/1</w:t>
            </w:r>
            <w:r>
              <w:rPr>
                <w:rFonts w:cs="Times New Roman"/>
                <w:color w:val="000000"/>
                <w:szCs w:val="20"/>
              </w:rPr>
              <w:t>9</w:t>
            </w:r>
            <w:r w:rsidRPr="00403291">
              <w:rPr>
                <w:rFonts w:cs="Times New Roman"/>
                <w:color w:val="000000"/>
                <w:szCs w:val="20"/>
              </w:rPr>
              <w:t xml:space="preserve"> and $</w:t>
            </w:r>
            <w:r>
              <w:rPr>
                <w:rFonts w:cs="Times New Roman"/>
                <w:color w:val="000000"/>
                <w:szCs w:val="20"/>
              </w:rPr>
              <w:t>38.4</w:t>
            </w:r>
            <w:r w:rsidRPr="00403291">
              <w:rPr>
                <w:rFonts w:cs="Times New Roman"/>
                <w:color w:val="000000"/>
                <w:szCs w:val="20"/>
              </w:rPr>
              <w:t xml:space="preserve"> million in 201</w:t>
            </w:r>
            <w:r>
              <w:rPr>
                <w:rFonts w:cs="Times New Roman"/>
                <w:color w:val="000000"/>
                <w:szCs w:val="20"/>
              </w:rPr>
              <w:t>9</w:t>
            </w:r>
            <w:r w:rsidRPr="00403291">
              <w:rPr>
                <w:rFonts w:cs="Times New Roman"/>
                <w:color w:val="000000"/>
                <w:szCs w:val="20"/>
              </w:rPr>
              <w:t>/</w:t>
            </w:r>
            <w:r>
              <w:rPr>
                <w:rFonts w:cs="Times New Roman"/>
                <w:color w:val="000000"/>
                <w:szCs w:val="20"/>
              </w:rPr>
              <w:t xml:space="preserve">20. </w:t>
            </w:r>
            <w:r w:rsidR="00AE27FF">
              <w:rPr>
                <w:rFonts w:cs="Times New Roman"/>
                <w:color w:val="000000"/>
                <w:szCs w:val="20"/>
              </w:rPr>
              <w:t xml:space="preserve">This was 1.2%, 1.1% and 1.0% of the total non-departmental expense funding (excluding capital and DHB baseline funding and MOH departmental funding). </w:t>
            </w:r>
            <w:r w:rsidR="005D5171" w:rsidRPr="00403291">
              <w:rPr>
                <w:rFonts w:cs="Times New Roman"/>
                <w:color w:val="000000"/>
                <w:szCs w:val="20"/>
              </w:rPr>
              <w:t xml:space="preserve">The total spending by the MoH on population nutrition promotion </w:t>
            </w:r>
            <w:r w:rsidR="00C21981">
              <w:rPr>
                <w:rFonts w:cs="Times New Roman"/>
                <w:color w:val="000000"/>
                <w:szCs w:val="20"/>
              </w:rPr>
              <w:t xml:space="preserve">was </w:t>
            </w:r>
            <w:r w:rsidR="005D5171" w:rsidRPr="00403291">
              <w:rPr>
                <w:rFonts w:cs="Times New Roman"/>
                <w:color w:val="000000"/>
                <w:szCs w:val="20"/>
              </w:rPr>
              <w:t>$40.</w:t>
            </w:r>
            <w:r w:rsidR="007051D2" w:rsidRPr="00403291">
              <w:rPr>
                <w:rFonts w:cs="Times New Roman"/>
                <w:color w:val="000000"/>
                <w:szCs w:val="20"/>
              </w:rPr>
              <w:t>2</w:t>
            </w:r>
            <w:r w:rsidR="005D5171" w:rsidRPr="00403291">
              <w:rPr>
                <w:rFonts w:cs="Times New Roman"/>
                <w:color w:val="000000"/>
                <w:szCs w:val="20"/>
              </w:rPr>
              <w:t xml:space="preserve"> million in 2016/17</w:t>
            </w:r>
            <w:r w:rsidR="00AE27FF">
              <w:rPr>
                <w:rFonts w:cs="Times New Roman"/>
                <w:color w:val="000000"/>
                <w:szCs w:val="20"/>
              </w:rPr>
              <w:t xml:space="preserve"> (</w:t>
            </w:r>
            <w:r w:rsidR="007051D2" w:rsidRPr="00403291">
              <w:rPr>
                <w:rFonts w:cs="Times New Roman"/>
                <w:color w:val="000000"/>
                <w:szCs w:val="20"/>
              </w:rPr>
              <w:t>1.38%</w:t>
            </w:r>
            <w:r w:rsidR="00AE27FF">
              <w:rPr>
                <w:rFonts w:cs="Times New Roman"/>
                <w:color w:val="000000"/>
                <w:szCs w:val="20"/>
              </w:rPr>
              <w:t>)</w:t>
            </w:r>
            <w:r w:rsidR="00F507C7" w:rsidRPr="00403291">
              <w:rPr>
                <w:rFonts w:cs="Times New Roman"/>
                <w:color w:val="000000"/>
                <w:szCs w:val="20"/>
              </w:rPr>
              <w:t xml:space="preserve">. </w:t>
            </w:r>
            <w:r w:rsidR="007051D2" w:rsidRPr="00403291">
              <w:rPr>
                <w:rFonts w:cs="Times New Roman"/>
                <w:color w:val="000000"/>
                <w:szCs w:val="20"/>
              </w:rPr>
              <w:t>The b</w:t>
            </w:r>
            <w:r w:rsidR="00F507C7" w:rsidRPr="00403291">
              <w:rPr>
                <w:rFonts w:cs="Times New Roman"/>
                <w:color w:val="000000"/>
                <w:szCs w:val="20"/>
              </w:rPr>
              <w:t xml:space="preserve">udget for physical activity is included as </w:t>
            </w:r>
            <w:r w:rsidR="00BD4DE6" w:rsidRPr="00403291">
              <w:rPr>
                <w:rFonts w:cs="Times New Roman"/>
                <w:color w:val="000000"/>
                <w:szCs w:val="20"/>
              </w:rPr>
              <w:t xml:space="preserve">it </w:t>
            </w:r>
            <w:r w:rsidR="00F507C7" w:rsidRPr="00403291">
              <w:rPr>
                <w:rFonts w:cs="Times New Roman"/>
                <w:color w:val="000000"/>
                <w:szCs w:val="20"/>
              </w:rPr>
              <w:t>could not be separated.</w:t>
            </w:r>
          </w:p>
          <w:p w14:paraId="571E4B26" w14:textId="4C53BCDD" w:rsidR="00FB7571" w:rsidRPr="00403291" w:rsidRDefault="00FB7571" w:rsidP="002D613F">
            <w:pPr>
              <w:pStyle w:val="ListParagraph"/>
              <w:numPr>
                <w:ilvl w:val="0"/>
                <w:numId w:val="45"/>
              </w:numPr>
              <w:spacing w:before="40" w:after="40"/>
              <w:ind w:left="284" w:hanging="284"/>
              <w:contextualSpacing w:val="0"/>
              <w:rPr>
                <w:rFonts w:cs="Times New Roman"/>
                <w:color w:val="000000"/>
                <w:szCs w:val="20"/>
              </w:rPr>
            </w:pPr>
            <w:r w:rsidRPr="0091450A">
              <w:rPr>
                <w:rFonts w:cs="Times New Roman"/>
                <w:szCs w:val="20"/>
              </w:rPr>
              <w:t xml:space="preserve">The </w:t>
            </w:r>
            <w:r w:rsidR="00AE27FF">
              <w:rPr>
                <w:rFonts w:cs="Times New Roman"/>
                <w:szCs w:val="20"/>
              </w:rPr>
              <w:t>Ministry of Health</w:t>
            </w:r>
            <w:r w:rsidRPr="0091450A">
              <w:rPr>
                <w:rFonts w:cs="Times New Roman"/>
                <w:szCs w:val="20"/>
              </w:rPr>
              <w:t xml:space="preserve"> budget</w:t>
            </w:r>
            <w:r w:rsidR="00AE27FF">
              <w:rPr>
                <w:rFonts w:cs="Times New Roman"/>
                <w:szCs w:val="20"/>
              </w:rPr>
              <w:t xml:space="preserve"> (below)</w:t>
            </w:r>
            <w:r w:rsidRPr="0091450A">
              <w:rPr>
                <w:rFonts w:cs="Times New Roman"/>
                <w:szCs w:val="20"/>
              </w:rPr>
              <w:t xml:space="preserve"> exclude</w:t>
            </w:r>
            <w:r w:rsidR="00AE27FF">
              <w:rPr>
                <w:rFonts w:cs="Times New Roman"/>
                <w:szCs w:val="20"/>
              </w:rPr>
              <w:t>s</w:t>
            </w:r>
            <w:r w:rsidRPr="0091450A">
              <w:rPr>
                <w:rFonts w:cs="Times New Roman"/>
                <w:szCs w:val="20"/>
              </w:rPr>
              <w:t xml:space="preserve"> all individual health promotion, primary care, B4 school checks, </w:t>
            </w:r>
            <w:proofErr w:type="spellStart"/>
            <w:r w:rsidRPr="0091450A">
              <w:rPr>
                <w:rFonts w:cs="Times New Roman"/>
                <w:szCs w:val="20"/>
              </w:rPr>
              <w:t>Wellchild</w:t>
            </w:r>
            <w:proofErr w:type="spellEnd"/>
            <w:r w:rsidRPr="0091450A">
              <w:rPr>
                <w:rFonts w:cs="Times New Roman"/>
                <w:szCs w:val="20"/>
              </w:rPr>
              <w:t xml:space="preserve">, </w:t>
            </w:r>
            <w:proofErr w:type="spellStart"/>
            <w:r w:rsidRPr="0091450A">
              <w:rPr>
                <w:rFonts w:cs="Times New Roman"/>
                <w:szCs w:val="20"/>
              </w:rPr>
              <w:t>Plunketline</w:t>
            </w:r>
            <w:proofErr w:type="spellEnd"/>
            <w:r w:rsidRPr="0091450A">
              <w:rPr>
                <w:rFonts w:cs="Times New Roman"/>
                <w:szCs w:val="20"/>
              </w:rPr>
              <w:t xml:space="preserve">, Telehealth, antenatal services, maternal and child nursing services, food </w:t>
            </w:r>
            <w:r w:rsidRPr="0091450A">
              <w:rPr>
                <w:rFonts w:cs="Times New Roman"/>
                <w:szCs w:val="20"/>
              </w:rPr>
              <w:lastRenderedPageBreak/>
              <w:t>safety, micronutrient deficiencies, breastfeeding promotion and under nutrition programmes. Note that some of the above may include other services outside nutrition when paid as part of other services, including nutrition as the primary service.</w:t>
            </w:r>
          </w:p>
          <w:p w14:paraId="0D78EB73" w14:textId="3011C778" w:rsidR="00403291" w:rsidRPr="00FB7571" w:rsidRDefault="00403291" w:rsidP="00403291">
            <w:pPr>
              <w:spacing w:before="40" w:after="40"/>
              <w:rPr>
                <w:rFonts w:cs="Times New Roman"/>
                <w:color w:val="000000"/>
                <w:szCs w:val="20"/>
              </w:rPr>
            </w:pPr>
          </w:p>
          <w:tbl>
            <w:tblPr>
              <w:tblStyle w:val="TableGrid"/>
              <w:tblW w:w="0" w:type="auto"/>
              <w:tblLook w:val="04A0" w:firstRow="1" w:lastRow="0" w:firstColumn="1" w:lastColumn="0" w:noHBand="0" w:noVBand="1"/>
            </w:tblPr>
            <w:tblGrid>
              <w:gridCol w:w="4553"/>
              <w:gridCol w:w="1418"/>
              <w:gridCol w:w="1559"/>
              <w:gridCol w:w="1453"/>
            </w:tblGrid>
            <w:tr w:rsidR="00403291" w14:paraId="6EDAE989" w14:textId="29A38C4E" w:rsidTr="00403291">
              <w:tc>
                <w:tcPr>
                  <w:tcW w:w="4553" w:type="dxa"/>
                </w:tcPr>
                <w:p w14:paraId="63326B0B" w14:textId="553DAFFE" w:rsidR="00403291" w:rsidRPr="00AE27FF" w:rsidRDefault="00FB7571" w:rsidP="00403291">
                  <w:pPr>
                    <w:spacing w:before="40" w:after="40"/>
                    <w:rPr>
                      <w:rFonts w:cs="Times New Roman"/>
                      <w:b/>
                      <w:bCs/>
                      <w:color w:val="000000"/>
                      <w:szCs w:val="20"/>
                    </w:rPr>
                  </w:pPr>
                  <w:r w:rsidRPr="00AE27FF">
                    <w:rPr>
                      <w:rFonts w:cs="Times New Roman"/>
                      <w:b/>
                      <w:bCs/>
                      <w:color w:val="000000"/>
                      <w:szCs w:val="20"/>
                    </w:rPr>
                    <w:t xml:space="preserve">Ministry of Health </w:t>
                  </w:r>
                  <w:r w:rsidR="00AE27FF" w:rsidRPr="00AE27FF">
                    <w:rPr>
                      <w:rFonts w:cs="Times New Roman"/>
                      <w:b/>
                      <w:bCs/>
                      <w:color w:val="000000"/>
                      <w:szCs w:val="20"/>
                    </w:rPr>
                    <w:t>nutrition budget</w:t>
                  </w:r>
                </w:p>
              </w:tc>
              <w:tc>
                <w:tcPr>
                  <w:tcW w:w="1418" w:type="dxa"/>
                </w:tcPr>
                <w:p w14:paraId="204179D0" w14:textId="67F9AC40" w:rsidR="00403291" w:rsidRPr="00AE27FF" w:rsidRDefault="00403291" w:rsidP="00403291">
                  <w:pPr>
                    <w:spacing w:before="40" w:after="40"/>
                    <w:rPr>
                      <w:rFonts w:cs="Times New Roman"/>
                      <w:b/>
                      <w:bCs/>
                      <w:color w:val="000000"/>
                      <w:szCs w:val="20"/>
                    </w:rPr>
                  </w:pPr>
                  <w:r w:rsidRPr="00AE27FF">
                    <w:rPr>
                      <w:rFonts w:cs="Times New Roman"/>
                      <w:b/>
                      <w:bCs/>
                      <w:color w:val="000000"/>
                      <w:szCs w:val="20"/>
                    </w:rPr>
                    <w:t>2017/18</w:t>
                  </w:r>
                </w:p>
              </w:tc>
              <w:tc>
                <w:tcPr>
                  <w:tcW w:w="1559" w:type="dxa"/>
                </w:tcPr>
                <w:p w14:paraId="0AEADADC" w14:textId="73389D52" w:rsidR="00403291" w:rsidRPr="00AE27FF" w:rsidRDefault="00403291" w:rsidP="00403291">
                  <w:pPr>
                    <w:spacing w:before="40" w:after="40"/>
                    <w:rPr>
                      <w:rFonts w:cs="Times New Roman"/>
                      <w:b/>
                      <w:bCs/>
                      <w:color w:val="000000"/>
                      <w:szCs w:val="20"/>
                    </w:rPr>
                  </w:pPr>
                  <w:r w:rsidRPr="00AE27FF">
                    <w:rPr>
                      <w:rFonts w:cs="Times New Roman"/>
                      <w:b/>
                      <w:bCs/>
                      <w:color w:val="000000"/>
                      <w:szCs w:val="20"/>
                    </w:rPr>
                    <w:t>2018/19</w:t>
                  </w:r>
                </w:p>
              </w:tc>
              <w:tc>
                <w:tcPr>
                  <w:tcW w:w="1453" w:type="dxa"/>
                </w:tcPr>
                <w:p w14:paraId="024A4775" w14:textId="697811BF" w:rsidR="00403291" w:rsidRPr="00AE27FF" w:rsidRDefault="00403291" w:rsidP="00403291">
                  <w:pPr>
                    <w:spacing w:before="40" w:after="40"/>
                    <w:rPr>
                      <w:rFonts w:cs="Times New Roman"/>
                      <w:b/>
                      <w:bCs/>
                      <w:color w:val="000000"/>
                      <w:szCs w:val="20"/>
                    </w:rPr>
                  </w:pPr>
                  <w:r w:rsidRPr="00AE27FF">
                    <w:rPr>
                      <w:rFonts w:cs="Times New Roman"/>
                      <w:b/>
                      <w:bCs/>
                      <w:color w:val="000000"/>
                      <w:szCs w:val="20"/>
                    </w:rPr>
                    <w:t>2019/20</w:t>
                  </w:r>
                </w:p>
              </w:tc>
            </w:tr>
            <w:tr w:rsidR="00403291" w14:paraId="519F62E6" w14:textId="76A4130A" w:rsidTr="00403291">
              <w:tc>
                <w:tcPr>
                  <w:tcW w:w="4553" w:type="dxa"/>
                </w:tcPr>
                <w:p w14:paraId="5F3E0EC6" w14:textId="5924B76A" w:rsidR="00403291" w:rsidRPr="00403291" w:rsidRDefault="00403291" w:rsidP="00403291">
                  <w:pPr>
                    <w:spacing w:before="40" w:after="40"/>
                    <w:rPr>
                      <w:rFonts w:cs="Times New Roman"/>
                      <w:color w:val="000000"/>
                      <w:szCs w:val="20"/>
                    </w:rPr>
                  </w:pPr>
                </w:p>
              </w:tc>
              <w:tc>
                <w:tcPr>
                  <w:tcW w:w="1418" w:type="dxa"/>
                </w:tcPr>
                <w:p w14:paraId="6AC9B23F" w14:textId="7C7284AF" w:rsidR="00403291" w:rsidRPr="00403291" w:rsidRDefault="00403291" w:rsidP="00403291">
                  <w:pPr>
                    <w:spacing w:before="40" w:after="40"/>
                    <w:jc w:val="right"/>
                    <w:rPr>
                      <w:rFonts w:cs="Times New Roman"/>
                      <w:color w:val="000000"/>
                      <w:szCs w:val="20"/>
                    </w:rPr>
                  </w:pPr>
                  <w:r>
                    <w:rPr>
                      <w:rFonts w:cs="Times New Roman"/>
                      <w:color w:val="000000"/>
                      <w:szCs w:val="20"/>
                    </w:rPr>
                    <w:t>$000</w:t>
                  </w:r>
                </w:p>
              </w:tc>
              <w:tc>
                <w:tcPr>
                  <w:tcW w:w="1559" w:type="dxa"/>
                </w:tcPr>
                <w:p w14:paraId="56C7FF70" w14:textId="08F5B97F" w:rsidR="00403291" w:rsidRPr="00403291" w:rsidRDefault="00403291" w:rsidP="00403291">
                  <w:pPr>
                    <w:spacing w:before="40" w:after="40"/>
                    <w:jc w:val="right"/>
                    <w:rPr>
                      <w:rFonts w:cs="Times New Roman"/>
                      <w:color w:val="000000"/>
                      <w:szCs w:val="20"/>
                    </w:rPr>
                  </w:pPr>
                  <w:r>
                    <w:rPr>
                      <w:rFonts w:cs="Times New Roman"/>
                      <w:color w:val="000000"/>
                      <w:szCs w:val="20"/>
                    </w:rPr>
                    <w:t>$000</w:t>
                  </w:r>
                </w:p>
              </w:tc>
              <w:tc>
                <w:tcPr>
                  <w:tcW w:w="1453" w:type="dxa"/>
                </w:tcPr>
                <w:p w14:paraId="0F7B680A" w14:textId="20F1191F" w:rsidR="00403291" w:rsidRPr="00403291" w:rsidRDefault="00403291" w:rsidP="00403291">
                  <w:pPr>
                    <w:spacing w:before="40" w:after="40"/>
                    <w:jc w:val="right"/>
                    <w:rPr>
                      <w:rFonts w:cs="Times New Roman"/>
                      <w:color w:val="000000"/>
                      <w:szCs w:val="20"/>
                    </w:rPr>
                  </w:pPr>
                  <w:r>
                    <w:rPr>
                      <w:rFonts w:cs="Times New Roman"/>
                      <w:color w:val="000000"/>
                      <w:szCs w:val="20"/>
                    </w:rPr>
                    <w:t>$000</w:t>
                  </w:r>
                </w:p>
              </w:tc>
            </w:tr>
            <w:tr w:rsidR="00403291" w14:paraId="1AFF2B90" w14:textId="0C53065A" w:rsidTr="00403291">
              <w:tc>
                <w:tcPr>
                  <w:tcW w:w="4553" w:type="dxa"/>
                </w:tcPr>
                <w:p w14:paraId="6AA1EB04" w14:textId="31CCD457" w:rsidR="00403291" w:rsidRPr="00403291" w:rsidRDefault="00403291" w:rsidP="00403291">
                  <w:pPr>
                    <w:spacing w:before="40" w:after="40"/>
                    <w:rPr>
                      <w:rFonts w:cs="Times New Roman"/>
                      <w:color w:val="000000"/>
                      <w:szCs w:val="20"/>
                    </w:rPr>
                  </w:pPr>
                  <w:r>
                    <w:rPr>
                      <w:rFonts w:cs="Times New Roman"/>
                      <w:color w:val="000000"/>
                      <w:szCs w:val="20"/>
                    </w:rPr>
                    <w:t>Education Setting</w:t>
                  </w:r>
                </w:p>
              </w:tc>
              <w:tc>
                <w:tcPr>
                  <w:tcW w:w="1418" w:type="dxa"/>
                </w:tcPr>
                <w:p w14:paraId="60C1F402" w14:textId="741333C1" w:rsidR="00403291" w:rsidRPr="00403291" w:rsidRDefault="00403291" w:rsidP="00403291">
                  <w:pPr>
                    <w:spacing w:before="40" w:after="40"/>
                    <w:jc w:val="right"/>
                    <w:rPr>
                      <w:rFonts w:cs="Times New Roman"/>
                      <w:color w:val="000000"/>
                      <w:szCs w:val="20"/>
                    </w:rPr>
                  </w:pPr>
                  <w:r>
                    <w:rPr>
                      <w:rFonts w:cs="Times New Roman"/>
                      <w:color w:val="000000"/>
                      <w:szCs w:val="20"/>
                    </w:rPr>
                    <w:t>1,498</w:t>
                  </w:r>
                </w:p>
              </w:tc>
              <w:tc>
                <w:tcPr>
                  <w:tcW w:w="1559" w:type="dxa"/>
                </w:tcPr>
                <w:p w14:paraId="0BBADEBA" w14:textId="2CB9EA5F" w:rsidR="00403291" w:rsidRPr="00403291" w:rsidRDefault="00403291" w:rsidP="00403291">
                  <w:pPr>
                    <w:spacing w:before="40" w:after="40"/>
                    <w:jc w:val="right"/>
                    <w:rPr>
                      <w:rFonts w:cs="Times New Roman"/>
                      <w:color w:val="000000"/>
                      <w:szCs w:val="20"/>
                    </w:rPr>
                  </w:pPr>
                  <w:r>
                    <w:rPr>
                      <w:rFonts w:cs="Times New Roman"/>
                      <w:color w:val="000000"/>
                      <w:szCs w:val="20"/>
                    </w:rPr>
                    <w:t>1,498</w:t>
                  </w:r>
                </w:p>
              </w:tc>
              <w:tc>
                <w:tcPr>
                  <w:tcW w:w="1453" w:type="dxa"/>
                </w:tcPr>
                <w:p w14:paraId="68275F71" w14:textId="4D358909" w:rsidR="00403291" w:rsidRPr="00403291" w:rsidRDefault="00403291" w:rsidP="00403291">
                  <w:pPr>
                    <w:spacing w:before="40" w:after="40"/>
                    <w:jc w:val="right"/>
                    <w:rPr>
                      <w:rFonts w:cs="Times New Roman"/>
                      <w:color w:val="000000"/>
                      <w:szCs w:val="20"/>
                    </w:rPr>
                  </w:pPr>
                  <w:r>
                    <w:rPr>
                      <w:rFonts w:cs="Times New Roman"/>
                      <w:color w:val="000000"/>
                      <w:szCs w:val="20"/>
                    </w:rPr>
                    <w:t>1,498</w:t>
                  </w:r>
                </w:p>
              </w:tc>
            </w:tr>
            <w:tr w:rsidR="00403291" w14:paraId="790E4713" w14:textId="49856D75" w:rsidTr="00403291">
              <w:tc>
                <w:tcPr>
                  <w:tcW w:w="4553" w:type="dxa"/>
                </w:tcPr>
                <w:p w14:paraId="4A36EA4F" w14:textId="45A237D8" w:rsidR="00403291" w:rsidRPr="00403291" w:rsidRDefault="00403291" w:rsidP="00403291">
                  <w:pPr>
                    <w:spacing w:before="40" w:after="40"/>
                    <w:rPr>
                      <w:rFonts w:cs="Times New Roman"/>
                      <w:color w:val="000000"/>
                      <w:szCs w:val="20"/>
                    </w:rPr>
                  </w:pPr>
                  <w:r>
                    <w:rPr>
                      <w:rFonts w:cs="Times New Roman"/>
                      <w:color w:val="000000"/>
                      <w:szCs w:val="20"/>
                    </w:rPr>
                    <w:t>Food Industry</w:t>
                  </w:r>
                </w:p>
              </w:tc>
              <w:tc>
                <w:tcPr>
                  <w:tcW w:w="1418" w:type="dxa"/>
                </w:tcPr>
                <w:p w14:paraId="37C7BEFA" w14:textId="5BE88E21" w:rsidR="00403291" w:rsidRPr="00403291" w:rsidRDefault="00403291" w:rsidP="00403291">
                  <w:pPr>
                    <w:spacing w:before="40" w:after="40"/>
                    <w:jc w:val="right"/>
                    <w:rPr>
                      <w:rFonts w:cs="Times New Roman"/>
                      <w:color w:val="000000"/>
                      <w:szCs w:val="20"/>
                    </w:rPr>
                  </w:pPr>
                  <w:r>
                    <w:rPr>
                      <w:rFonts w:cs="Times New Roman"/>
                      <w:color w:val="000000"/>
                      <w:szCs w:val="20"/>
                    </w:rPr>
                    <w:t>918</w:t>
                  </w:r>
                </w:p>
              </w:tc>
              <w:tc>
                <w:tcPr>
                  <w:tcW w:w="1559" w:type="dxa"/>
                </w:tcPr>
                <w:p w14:paraId="04F65457" w14:textId="7360FDD3" w:rsidR="00403291" w:rsidRPr="00403291" w:rsidRDefault="00403291" w:rsidP="00403291">
                  <w:pPr>
                    <w:spacing w:before="40" w:after="40"/>
                    <w:jc w:val="right"/>
                    <w:rPr>
                      <w:rFonts w:cs="Times New Roman"/>
                      <w:color w:val="000000"/>
                      <w:szCs w:val="20"/>
                    </w:rPr>
                  </w:pPr>
                  <w:r>
                    <w:rPr>
                      <w:rFonts w:cs="Times New Roman"/>
                      <w:color w:val="000000"/>
                      <w:szCs w:val="20"/>
                    </w:rPr>
                    <w:t>918</w:t>
                  </w:r>
                </w:p>
              </w:tc>
              <w:tc>
                <w:tcPr>
                  <w:tcW w:w="1453" w:type="dxa"/>
                </w:tcPr>
                <w:p w14:paraId="1EC50190" w14:textId="19D708BF" w:rsidR="00403291" w:rsidRPr="00403291" w:rsidRDefault="00403291" w:rsidP="00403291">
                  <w:pPr>
                    <w:spacing w:before="40" w:after="40"/>
                    <w:jc w:val="right"/>
                    <w:rPr>
                      <w:rFonts w:cs="Times New Roman"/>
                      <w:color w:val="000000"/>
                      <w:szCs w:val="20"/>
                    </w:rPr>
                  </w:pPr>
                  <w:r>
                    <w:rPr>
                      <w:rFonts w:cs="Times New Roman"/>
                      <w:color w:val="000000"/>
                      <w:szCs w:val="20"/>
                    </w:rPr>
                    <w:t>918</w:t>
                  </w:r>
                </w:p>
              </w:tc>
            </w:tr>
            <w:tr w:rsidR="00403291" w14:paraId="45170525" w14:textId="06D9C5E9" w:rsidTr="00403291">
              <w:tc>
                <w:tcPr>
                  <w:tcW w:w="4553" w:type="dxa"/>
                </w:tcPr>
                <w:p w14:paraId="33C989F5" w14:textId="051BFE38" w:rsidR="00403291" w:rsidRPr="00403291" w:rsidRDefault="00403291" w:rsidP="00403291">
                  <w:pPr>
                    <w:spacing w:before="40" w:after="40"/>
                    <w:rPr>
                      <w:rFonts w:cs="Times New Roman"/>
                      <w:color w:val="000000"/>
                      <w:szCs w:val="20"/>
                    </w:rPr>
                  </w:pPr>
                  <w:r>
                    <w:rPr>
                      <w:rFonts w:cs="Times New Roman"/>
                      <w:color w:val="000000"/>
                      <w:szCs w:val="20"/>
                    </w:rPr>
                    <w:t>Fruit in Schools</w:t>
                  </w:r>
                </w:p>
              </w:tc>
              <w:tc>
                <w:tcPr>
                  <w:tcW w:w="1418" w:type="dxa"/>
                </w:tcPr>
                <w:p w14:paraId="55BE3EC4" w14:textId="146581BE" w:rsidR="00403291" w:rsidRPr="00403291" w:rsidRDefault="00403291" w:rsidP="00403291">
                  <w:pPr>
                    <w:spacing w:before="40" w:after="40"/>
                    <w:jc w:val="right"/>
                    <w:rPr>
                      <w:rFonts w:cs="Times New Roman"/>
                      <w:color w:val="000000"/>
                      <w:szCs w:val="20"/>
                    </w:rPr>
                  </w:pPr>
                  <w:r>
                    <w:rPr>
                      <w:rFonts w:cs="Times New Roman"/>
                      <w:color w:val="000000"/>
                      <w:szCs w:val="20"/>
                    </w:rPr>
                    <w:t>8,125</w:t>
                  </w:r>
                </w:p>
              </w:tc>
              <w:tc>
                <w:tcPr>
                  <w:tcW w:w="1559" w:type="dxa"/>
                </w:tcPr>
                <w:p w14:paraId="7E7AB8F8" w14:textId="6AF67425" w:rsidR="00403291" w:rsidRPr="00403291" w:rsidRDefault="00403291" w:rsidP="00403291">
                  <w:pPr>
                    <w:spacing w:before="40" w:after="40"/>
                    <w:jc w:val="right"/>
                    <w:rPr>
                      <w:rFonts w:cs="Times New Roman"/>
                      <w:color w:val="000000"/>
                      <w:szCs w:val="20"/>
                    </w:rPr>
                  </w:pPr>
                  <w:r>
                    <w:rPr>
                      <w:rFonts w:cs="Times New Roman"/>
                      <w:color w:val="000000"/>
                      <w:szCs w:val="20"/>
                    </w:rPr>
                    <w:t>8,125</w:t>
                  </w:r>
                </w:p>
              </w:tc>
              <w:tc>
                <w:tcPr>
                  <w:tcW w:w="1453" w:type="dxa"/>
                </w:tcPr>
                <w:p w14:paraId="6B8A31E4" w14:textId="69773F22" w:rsidR="00403291" w:rsidRPr="00403291" w:rsidRDefault="00403291" w:rsidP="00403291">
                  <w:pPr>
                    <w:spacing w:before="40" w:after="40"/>
                    <w:jc w:val="right"/>
                    <w:rPr>
                      <w:rFonts w:cs="Times New Roman"/>
                      <w:color w:val="000000"/>
                      <w:szCs w:val="20"/>
                    </w:rPr>
                  </w:pPr>
                  <w:r>
                    <w:rPr>
                      <w:rFonts w:cs="Times New Roman"/>
                      <w:color w:val="000000"/>
                      <w:szCs w:val="20"/>
                    </w:rPr>
                    <w:t>8,125</w:t>
                  </w:r>
                </w:p>
              </w:tc>
            </w:tr>
            <w:tr w:rsidR="00403291" w14:paraId="58B60AF8" w14:textId="2FA8E526" w:rsidTr="00403291">
              <w:tc>
                <w:tcPr>
                  <w:tcW w:w="4553" w:type="dxa"/>
                </w:tcPr>
                <w:p w14:paraId="1F2D2A72" w14:textId="31F25C63" w:rsidR="00403291" w:rsidRPr="00403291" w:rsidRDefault="00403291" w:rsidP="00403291">
                  <w:pPr>
                    <w:spacing w:before="40" w:after="40"/>
                    <w:rPr>
                      <w:rFonts w:cs="Times New Roman"/>
                      <w:color w:val="000000"/>
                      <w:szCs w:val="20"/>
                    </w:rPr>
                  </w:pPr>
                  <w:r>
                    <w:rPr>
                      <w:rFonts w:cs="Times New Roman"/>
                      <w:color w:val="000000"/>
                      <w:szCs w:val="20"/>
                    </w:rPr>
                    <w:t>Health promotion and advertising</w:t>
                  </w:r>
                  <w:r w:rsidR="00315462">
                    <w:rPr>
                      <w:rFonts w:cs="Times New Roman"/>
                      <w:color w:val="000000"/>
                      <w:szCs w:val="20"/>
                    </w:rPr>
                    <w:t xml:space="preserve"> (Health Promotion Agency)</w:t>
                  </w:r>
                </w:p>
              </w:tc>
              <w:tc>
                <w:tcPr>
                  <w:tcW w:w="1418" w:type="dxa"/>
                </w:tcPr>
                <w:p w14:paraId="22C20E44" w14:textId="06D9E6EF" w:rsidR="00403291" w:rsidRPr="00403291" w:rsidRDefault="00403291" w:rsidP="00403291">
                  <w:pPr>
                    <w:spacing w:before="40" w:after="40"/>
                    <w:jc w:val="right"/>
                    <w:rPr>
                      <w:rFonts w:cs="Times New Roman"/>
                      <w:color w:val="000000"/>
                      <w:szCs w:val="20"/>
                    </w:rPr>
                  </w:pPr>
                  <w:r>
                    <w:rPr>
                      <w:rFonts w:cs="Times New Roman"/>
                      <w:color w:val="000000"/>
                      <w:szCs w:val="20"/>
                    </w:rPr>
                    <w:t>7,290</w:t>
                  </w:r>
                </w:p>
              </w:tc>
              <w:tc>
                <w:tcPr>
                  <w:tcW w:w="1559" w:type="dxa"/>
                </w:tcPr>
                <w:p w14:paraId="09A9F8AF" w14:textId="0BD2B03F" w:rsidR="00403291" w:rsidRPr="00403291" w:rsidRDefault="00403291" w:rsidP="00403291">
                  <w:pPr>
                    <w:spacing w:before="40" w:after="40"/>
                    <w:jc w:val="right"/>
                    <w:rPr>
                      <w:rFonts w:cs="Times New Roman"/>
                      <w:color w:val="000000"/>
                      <w:szCs w:val="20"/>
                    </w:rPr>
                  </w:pPr>
                  <w:r>
                    <w:rPr>
                      <w:rFonts w:cs="Times New Roman"/>
                      <w:color w:val="000000"/>
                      <w:szCs w:val="20"/>
                    </w:rPr>
                    <w:t>7,290</w:t>
                  </w:r>
                </w:p>
              </w:tc>
              <w:tc>
                <w:tcPr>
                  <w:tcW w:w="1453" w:type="dxa"/>
                </w:tcPr>
                <w:p w14:paraId="7D6BBD3D" w14:textId="1EBDDA96" w:rsidR="00403291" w:rsidRPr="00403291" w:rsidRDefault="00403291" w:rsidP="00403291">
                  <w:pPr>
                    <w:spacing w:before="40" w:after="40"/>
                    <w:jc w:val="right"/>
                    <w:rPr>
                      <w:rFonts w:cs="Times New Roman"/>
                      <w:color w:val="000000"/>
                      <w:szCs w:val="20"/>
                    </w:rPr>
                  </w:pPr>
                  <w:r>
                    <w:rPr>
                      <w:rFonts w:cs="Times New Roman"/>
                      <w:color w:val="000000"/>
                      <w:szCs w:val="20"/>
                    </w:rPr>
                    <w:t>7,290</w:t>
                  </w:r>
                </w:p>
              </w:tc>
            </w:tr>
            <w:tr w:rsidR="00403291" w14:paraId="34B91F8A" w14:textId="2947D695" w:rsidTr="00403291">
              <w:tc>
                <w:tcPr>
                  <w:tcW w:w="4553" w:type="dxa"/>
                </w:tcPr>
                <w:p w14:paraId="5ACFAB2D" w14:textId="7C9E00B7" w:rsidR="00403291" w:rsidRPr="00403291" w:rsidRDefault="00403291" w:rsidP="00403291">
                  <w:pPr>
                    <w:spacing w:before="40" w:after="40"/>
                    <w:rPr>
                      <w:rFonts w:cs="Times New Roman"/>
                      <w:color w:val="000000"/>
                      <w:szCs w:val="20"/>
                    </w:rPr>
                  </w:pPr>
                  <w:r>
                    <w:rPr>
                      <w:rFonts w:cs="Times New Roman"/>
                      <w:color w:val="000000"/>
                      <w:szCs w:val="20"/>
                    </w:rPr>
                    <w:t>Health Star Rating</w:t>
                  </w:r>
                </w:p>
              </w:tc>
              <w:tc>
                <w:tcPr>
                  <w:tcW w:w="1418" w:type="dxa"/>
                </w:tcPr>
                <w:p w14:paraId="6BE6CA71" w14:textId="07969A9B" w:rsidR="00403291" w:rsidRPr="00403291" w:rsidRDefault="00403291" w:rsidP="00403291">
                  <w:pPr>
                    <w:spacing w:before="40" w:after="40"/>
                    <w:jc w:val="right"/>
                    <w:rPr>
                      <w:rFonts w:cs="Times New Roman"/>
                      <w:color w:val="000000"/>
                      <w:szCs w:val="20"/>
                    </w:rPr>
                  </w:pPr>
                  <w:r>
                    <w:rPr>
                      <w:rFonts w:cs="Times New Roman"/>
                      <w:color w:val="000000"/>
                      <w:szCs w:val="20"/>
                    </w:rPr>
                    <w:t>667</w:t>
                  </w:r>
                </w:p>
              </w:tc>
              <w:tc>
                <w:tcPr>
                  <w:tcW w:w="1559" w:type="dxa"/>
                </w:tcPr>
                <w:p w14:paraId="0FF13CE0" w14:textId="1775F44D" w:rsidR="00403291" w:rsidRPr="00403291" w:rsidRDefault="00403291" w:rsidP="00403291">
                  <w:pPr>
                    <w:spacing w:before="40" w:after="40"/>
                    <w:jc w:val="right"/>
                    <w:rPr>
                      <w:rFonts w:cs="Times New Roman"/>
                      <w:color w:val="000000"/>
                      <w:szCs w:val="20"/>
                    </w:rPr>
                  </w:pPr>
                </w:p>
              </w:tc>
              <w:tc>
                <w:tcPr>
                  <w:tcW w:w="1453" w:type="dxa"/>
                </w:tcPr>
                <w:p w14:paraId="43FFCAB3" w14:textId="2329FB3A" w:rsidR="00403291" w:rsidRPr="00403291" w:rsidRDefault="00403291" w:rsidP="00403291">
                  <w:pPr>
                    <w:spacing w:before="40" w:after="40"/>
                    <w:jc w:val="right"/>
                    <w:rPr>
                      <w:rFonts w:cs="Times New Roman"/>
                      <w:color w:val="000000"/>
                      <w:szCs w:val="20"/>
                    </w:rPr>
                  </w:pPr>
                </w:p>
              </w:tc>
            </w:tr>
            <w:tr w:rsidR="00403291" w14:paraId="2C97AB00" w14:textId="47101430" w:rsidTr="00403291">
              <w:tc>
                <w:tcPr>
                  <w:tcW w:w="4553" w:type="dxa"/>
                </w:tcPr>
                <w:p w14:paraId="3CFBB385" w14:textId="4DF85655" w:rsidR="00403291" w:rsidRPr="00403291" w:rsidRDefault="00403291" w:rsidP="00403291">
                  <w:pPr>
                    <w:spacing w:before="40" w:after="40"/>
                    <w:rPr>
                      <w:rFonts w:cs="Times New Roman"/>
                      <w:color w:val="000000"/>
                      <w:szCs w:val="20"/>
                    </w:rPr>
                  </w:pPr>
                  <w:r>
                    <w:rPr>
                      <w:rFonts w:cs="Times New Roman"/>
                      <w:color w:val="000000"/>
                      <w:szCs w:val="20"/>
                    </w:rPr>
                    <w:t>Healthy Families NZ</w:t>
                  </w:r>
                </w:p>
              </w:tc>
              <w:tc>
                <w:tcPr>
                  <w:tcW w:w="1418" w:type="dxa"/>
                </w:tcPr>
                <w:p w14:paraId="1F22CC9C" w14:textId="4DB722D7" w:rsidR="00403291" w:rsidRPr="00403291" w:rsidRDefault="00403291" w:rsidP="00403291">
                  <w:pPr>
                    <w:spacing w:before="40" w:after="40"/>
                    <w:jc w:val="right"/>
                    <w:rPr>
                      <w:rFonts w:cs="Times New Roman"/>
                      <w:color w:val="000000"/>
                      <w:szCs w:val="20"/>
                    </w:rPr>
                  </w:pPr>
                  <w:r>
                    <w:rPr>
                      <w:rFonts w:cs="Times New Roman"/>
                      <w:color w:val="000000"/>
                      <w:szCs w:val="20"/>
                    </w:rPr>
                    <w:t>9,403</w:t>
                  </w:r>
                </w:p>
              </w:tc>
              <w:tc>
                <w:tcPr>
                  <w:tcW w:w="1559" w:type="dxa"/>
                </w:tcPr>
                <w:p w14:paraId="1510479A" w14:textId="613E756B" w:rsidR="00403291" w:rsidRPr="00403291" w:rsidRDefault="00403291" w:rsidP="00403291">
                  <w:pPr>
                    <w:spacing w:before="40" w:after="40"/>
                    <w:jc w:val="right"/>
                    <w:rPr>
                      <w:rFonts w:cs="Times New Roman"/>
                      <w:color w:val="000000"/>
                      <w:szCs w:val="20"/>
                    </w:rPr>
                  </w:pPr>
                  <w:r>
                    <w:rPr>
                      <w:rFonts w:cs="Times New Roman"/>
                      <w:color w:val="000000"/>
                      <w:szCs w:val="20"/>
                    </w:rPr>
                    <w:t>9,403</w:t>
                  </w:r>
                </w:p>
              </w:tc>
              <w:tc>
                <w:tcPr>
                  <w:tcW w:w="1453" w:type="dxa"/>
                </w:tcPr>
                <w:p w14:paraId="4EE34323" w14:textId="27A2E57A" w:rsidR="00403291" w:rsidRPr="00403291" w:rsidRDefault="00403291" w:rsidP="00403291">
                  <w:pPr>
                    <w:spacing w:before="40" w:after="40"/>
                    <w:jc w:val="right"/>
                    <w:rPr>
                      <w:rFonts w:cs="Times New Roman"/>
                      <w:color w:val="000000"/>
                      <w:szCs w:val="20"/>
                    </w:rPr>
                  </w:pPr>
                  <w:r>
                    <w:rPr>
                      <w:rFonts w:cs="Times New Roman"/>
                      <w:color w:val="000000"/>
                      <w:szCs w:val="20"/>
                    </w:rPr>
                    <w:t>9,403</w:t>
                  </w:r>
                </w:p>
              </w:tc>
            </w:tr>
            <w:tr w:rsidR="00403291" w14:paraId="319F0907" w14:textId="77777777" w:rsidTr="00403291">
              <w:tc>
                <w:tcPr>
                  <w:tcW w:w="4553" w:type="dxa"/>
                </w:tcPr>
                <w:p w14:paraId="43374A7A" w14:textId="63D1F94C" w:rsidR="00403291" w:rsidRDefault="00403291" w:rsidP="00403291">
                  <w:pPr>
                    <w:spacing w:before="40" w:after="40"/>
                    <w:rPr>
                      <w:rFonts w:cs="Times New Roman"/>
                      <w:color w:val="000000"/>
                      <w:szCs w:val="20"/>
                    </w:rPr>
                  </w:pPr>
                  <w:r>
                    <w:rPr>
                      <w:rFonts w:cs="Times New Roman"/>
                      <w:color w:val="000000"/>
                      <w:szCs w:val="20"/>
                    </w:rPr>
                    <w:t>Maternal and Child Nutrition</w:t>
                  </w:r>
                </w:p>
              </w:tc>
              <w:tc>
                <w:tcPr>
                  <w:tcW w:w="1418" w:type="dxa"/>
                </w:tcPr>
                <w:p w14:paraId="3B310A4E" w14:textId="6AFE02DA" w:rsidR="00403291" w:rsidRPr="00403291" w:rsidRDefault="00403291" w:rsidP="00403291">
                  <w:pPr>
                    <w:spacing w:before="40" w:after="40"/>
                    <w:jc w:val="right"/>
                    <w:rPr>
                      <w:rFonts w:cs="Times New Roman"/>
                      <w:color w:val="000000"/>
                      <w:szCs w:val="20"/>
                    </w:rPr>
                  </w:pPr>
                  <w:r>
                    <w:rPr>
                      <w:rFonts w:cs="Times New Roman"/>
                      <w:color w:val="000000"/>
                      <w:szCs w:val="20"/>
                    </w:rPr>
                    <w:t>3,347</w:t>
                  </w:r>
                </w:p>
              </w:tc>
              <w:tc>
                <w:tcPr>
                  <w:tcW w:w="1559" w:type="dxa"/>
                </w:tcPr>
                <w:p w14:paraId="63651FF6" w14:textId="342B7D56" w:rsidR="00403291" w:rsidRPr="00403291" w:rsidRDefault="00403291" w:rsidP="00403291">
                  <w:pPr>
                    <w:spacing w:before="40" w:after="40"/>
                    <w:jc w:val="right"/>
                    <w:rPr>
                      <w:rFonts w:cs="Times New Roman"/>
                      <w:color w:val="000000"/>
                      <w:szCs w:val="20"/>
                    </w:rPr>
                  </w:pPr>
                  <w:r>
                    <w:rPr>
                      <w:rFonts w:cs="Times New Roman"/>
                      <w:color w:val="000000"/>
                      <w:szCs w:val="20"/>
                    </w:rPr>
                    <w:t>3,347</w:t>
                  </w:r>
                </w:p>
              </w:tc>
              <w:tc>
                <w:tcPr>
                  <w:tcW w:w="1453" w:type="dxa"/>
                </w:tcPr>
                <w:p w14:paraId="3988011A" w14:textId="2F4A3C3C" w:rsidR="00403291" w:rsidRPr="00403291" w:rsidRDefault="00403291" w:rsidP="00403291">
                  <w:pPr>
                    <w:spacing w:before="40" w:after="40"/>
                    <w:jc w:val="right"/>
                    <w:rPr>
                      <w:rFonts w:cs="Times New Roman"/>
                      <w:color w:val="000000"/>
                      <w:szCs w:val="20"/>
                    </w:rPr>
                  </w:pPr>
                  <w:r>
                    <w:rPr>
                      <w:rFonts w:cs="Times New Roman"/>
                      <w:color w:val="000000"/>
                      <w:szCs w:val="20"/>
                    </w:rPr>
                    <w:t>3,347</w:t>
                  </w:r>
                </w:p>
              </w:tc>
            </w:tr>
            <w:tr w:rsidR="00403291" w14:paraId="3A6395A2" w14:textId="77777777" w:rsidTr="00403291">
              <w:tc>
                <w:tcPr>
                  <w:tcW w:w="4553" w:type="dxa"/>
                </w:tcPr>
                <w:p w14:paraId="3D2A2F6E" w14:textId="5D00F3EE" w:rsidR="00403291" w:rsidRDefault="00403291" w:rsidP="00403291">
                  <w:pPr>
                    <w:spacing w:before="40" w:after="40"/>
                    <w:rPr>
                      <w:rFonts w:cs="Times New Roman"/>
                      <w:color w:val="000000"/>
                      <w:szCs w:val="20"/>
                    </w:rPr>
                  </w:pPr>
                  <w:r>
                    <w:rPr>
                      <w:rFonts w:cs="Times New Roman"/>
                      <w:color w:val="000000"/>
                      <w:szCs w:val="20"/>
                    </w:rPr>
                    <w:t>Other nutrition activities</w:t>
                  </w:r>
                </w:p>
              </w:tc>
              <w:tc>
                <w:tcPr>
                  <w:tcW w:w="1418" w:type="dxa"/>
                </w:tcPr>
                <w:p w14:paraId="166A594B" w14:textId="50E9C157" w:rsidR="00403291" w:rsidRPr="00403291" w:rsidRDefault="00403291" w:rsidP="00403291">
                  <w:pPr>
                    <w:spacing w:before="40" w:after="40"/>
                    <w:jc w:val="right"/>
                    <w:rPr>
                      <w:rFonts w:cs="Times New Roman"/>
                      <w:color w:val="000000"/>
                      <w:szCs w:val="20"/>
                    </w:rPr>
                  </w:pPr>
                  <w:r>
                    <w:rPr>
                      <w:rFonts w:cs="Times New Roman"/>
                      <w:color w:val="000000"/>
                      <w:szCs w:val="20"/>
                    </w:rPr>
                    <w:t>284</w:t>
                  </w:r>
                </w:p>
              </w:tc>
              <w:tc>
                <w:tcPr>
                  <w:tcW w:w="1559" w:type="dxa"/>
                </w:tcPr>
                <w:p w14:paraId="08F04CEB" w14:textId="03742290" w:rsidR="00403291" w:rsidRPr="00403291" w:rsidRDefault="00403291" w:rsidP="00403291">
                  <w:pPr>
                    <w:spacing w:before="40" w:after="40"/>
                    <w:jc w:val="right"/>
                    <w:rPr>
                      <w:rFonts w:cs="Times New Roman"/>
                      <w:color w:val="000000"/>
                      <w:szCs w:val="20"/>
                    </w:rPr>
                  </w:pPr>
                  <w:r>
                    <w:rPr>
                      <w:rFonts w:cs="Times New Roman"/>
                      <w:color w:val="000000"/>
                      <w:szCs w:val="20"/>
                    </w:rPr>
                    <w:t>284</w:t>
                  </w:r>
                </w:p>
              </w:tc>
              <w:tc>
                <w:tcPr>
                  <w:tcW w:w="1453" w:type="dxa"/>
                </w:tcPr>
                <w:p w14:paraId="05C38F78" w14:textId="4DF58524" w:rsidR="00403291" w:rsidRPr="00403291" w:rsidRDefault="00403291" w:rsidP="00403291">
                  <w:pPr>
                    <w:spacing w:before="40" w:after="40"/>
                    <w:jc w:val="right"/>
                    <w:rPr>
                      <w:rFonts w:cs="Times New Roman"/>
                      <w:color w:val="000000"/>
                      <w:szCs w:val="20"/>
                    </w:rPr>
                  </w:pPr>
                  <w:r>
                    <w:rPr>
                      <w:rFonts w:cs="Times New Roman"/>
                      <w:color w:val="000000"/>
                      <w:szCs w:val="20"/>
                    </w:rPr>
                    <w:t>284</w:t>
                  </w:r>
                </w:p>
              </w:tc>
            </w:tr>
            <w:tr w:rsidR="00403291" w14:paraId="5E8AE0B3" w14:textId="77777777" w:rsidTr="00403291">
              <w:tc>
                <w:tcPr>
                  <w:tcW w:w="4553" w:type="dxa"/>
                </w:tcPr>
                <w:p w14:paraId="197033AF" w14:textId="59342495" w:rsidR="00403291" w:rsidRDefault="00403291" w:rsidP="00403291">
                  <w:pPr>
                    <w:spacing w:before="40" w:after="40"/>
                    <w:rPr>
                      <w:rFonts w:cs="Times New Roman"/>
                      <w:color w:val="000000"/>
                      <w:szCs w:val="20"/>
                    </w:rPr>
                  </w:pPr>
                  <w:r>
                    <w:rPr>
                      <w:rFonts w:cs="Times New Roman"/>
                      <w:color w:val="000000"/>
                      <w:szCs w:val="20"/>
                    </w:rPr>
                    <w:t>Pacific Heartbeat</w:t>
                  </w:r>
                </w:p>
              </w:tc>
              <w:tc>
                <w:tcPr>
                  <w:tcW w:w="1418" w:type="dxa"/>
                </w:tcPr>
                <w:p w14:paraId="007B6D29" w14:textId="299FBA4A" w:rsidR="00403291" w:rsidRPr="00403291" w:rsidRDefault="00403291" w:rsidP="00403291">
                  <w:pPr>
                    <w:spacing w:before="40" w:after="40"/>
                    <w:jc w:val="right"/>
                    <w:rPr>
                      <w:rFonts w:cs="Times New Roman"/>
                      <w:color w:val="000000"/>
                      <w:szCs w:val="20"/>
                    </w:rPr>
                  </w:pPr>
                  <w:r>
                    <w:rPr>
                      <w:rFonts w:cs="Times New Roman"/>
                      <w:color w:val="000000"/>
                      <w:szCs w:val="20"/>
                    </w:rPr>
                    <w:t>834</w:t>
                  </w:r>
                </w:p>
              </w:tc>
              <w:tc>
                <w:tcPr>
                  <w:tcW w:w="1559" w:type="dxa"/>
                </w:tcPr>
                <w:p w14:paraId="1A17744C" w14:textId="195EAB62" w:rsidR="00403291" w:rsidRPr="00403291" w:rsidRDefault="00403291" w:rsidP="00403291">
                  <w:pPr>
                    <w:spacing w:before="40" w:after="40"/>
                    <w:jc w:val="right"/>
                    <w:rPr>
                      <w:rFonts w:cs="Times New Roman"/>
                      <w:color w:val="000000"/>
                      <w:szCs w:val="20"/>
                    </w:rPr>
                  </w:pPr>
                  <w:r>
                    <w:rPr>
                      <w:rFonts w:cs="Times New Roman"/>
                      <w:color w:val="000000"/>
                      <w:szCs w:val="20"/>
                    </w:rPr>
                    <w:t>834</w:t>
                  </w:r>
                </w:p>
              </w:tc>
              <w:tc>
                <w:tcPr>
                  <w:tcW w:w="1453" w:type="dxa"/>
                </w:tcPr>
                <w:p w14:paraId="10D53625" w14:textId="5F018A85" w:rsidR="00403291" w:rsidRPr="00403291" w:rsidRDefault="00403291" w:rsidP="00403291">
                  <w:pPr>
                    <w:spacing w:before="40" w:after="40"/>
                    <w:jc w:val="right"/>
                    <w:rPr>
                      <w:rFonts w:cs="Times New Roman"/>
                      <w:color w:val="000000"/>
                      <w:szCs w:val="20"/>
                    </w:rPr>
                  </w:pPr>
                  <w:r>
                    <w:rPr>
                      <w:rFonts w:cs="Times New Roman"/>
                      <w:color w:val="000000"/>
                      <w:szCs w:val="20"/>
                    </w:rPr>
                    <w:t>834</w:t>
                  </w:r>
                </w:p>
              </w:tc>
            </w:tr>
            <w:tr w:rsidR="00403291" w14:paraId="3AB36971" w14:textId="77777777" w:rsidTr="00403291">
              <w:tc>
                <w:tcPr>
                  <w:tcW w:w="4553" w:type="dxa"/>
                </w:tcPr>
                <w:p w14:paraId="10DB1E84" w14:textId="1C2AEBA6" w:rsidR="00403291" w:rsidRDefault="00403291" w:rsidP="00403291">
                  <w:pPr>
                    <w:spacing w:before="40" w:after="40"/>
                    <w:rPr>
                      <w:rFonts w:cs="Times New Roman"/>
                      <w:color w:val="000000"/>
                      <w:szCs w:val="20"/>
                    </w:rPr>
                  </w:pPr>
                  <w:r>
                    <w:rPr>
                      <w:rFonts w:cs="Times New Roman"/>
                      <w:color w:val="000000"/>
                      <w:szCs w:val="20"/>
                    </w:rPr>
                    <w:t>Physical activity and nutrition</w:t>
                  </w:r>
                </w:p>
              </w:tc>
              <w:tc>
                <w:tcPr>
                  <w:tcW w:w="1418" w:type="dxa"/>
                </w:tcPr>
                <w:p w14:paraId="412E63E7" w14:textId="5B1254CD" w:rsidR="00403291" w:rsidRPr="00403291" w:rsidRDefault="00403291" w:rsidP="00403291">
                  <w:pPr>
                    <w:spacing w:before="40" w:after="40"/>
                    <w:jc w:val="right"/>
                    <w:rPr>
                      <w:rFonts w:cs="Times New Roman"/>
                      <w:color w:val="000000"/>
                      <w:szCs w:val="20"/>
                    </w:rPr>
                  </w:pPr>
                  <w:r>
                    <w:rPr>
                      <w:rFonts w:cs="Times New Roman"/>
                      <w:color w:val="000000"/>
                      <w:szCs w:val="20"/>
                    </w:rPr>
                    <w:t>5,730</w:t>
                  </w:r>
                </w:p>
              </w:tc>
              <w:tc>
                <w:tcPr>
                  <w:tcW w:w="1559" w:type="dxa"/>
                </w:tcPr>
                <w:p w14:paraId="2BBB665E" w14:textId="5FE18380" w:rsidR="00403291" w:rsidRPr="00403291" w:rsidRDefault="00403291" w:rsidP="00403291">
                  <w:pPr>
                    <w:spacing w:before="40" w:after="40"/>
                    <w:jc w:val="right"/>
                    <w:rPr>
                      <w:rFonts w:cs="Times New Roman"/>
                      <w:color w:val="000000"/>
                      <w:szCs w:val="20"/>
                    </w:rPr>
                  </w:pPr>
                  <w:r>
                    <w:rPr>
                      <w:rFonts w:cs="Times New Roman"/>
                      <w:color w:val="000000"/>
                      <w:szCs w:val="20"/>
                    </w:rPr>
                    <w:t>5,730</w:t>
                  </w:r>
                </w:p>
              </w:tc>
              <w:tc>
                <w:tcPr>
                  <w:tcW w:w="1453" w:type="dxa"/>
                </w:tcPr>
                <w:p w14:paraId="4F52E8A2" w14:textId="592C055A" w:rsidR="00403291" w:rsidRPr="00403291" w:rsidRDefault="00403291" w:rsidP="00403291">
                  <w:pPr>
                    <w:spacing w:before="40" w:after="40"/>
                    <w:jc w:val="right"/>
                    <w:rPr>
                      <w:rFonts w:cs="Times New Roman"/>
                      <w:color w:val="000000"/>
                      <w:szCs w:val="20"/>
                    </w:rPr>
                  </w:pPr>
                  <w:r>
                    <w:rPr>
                      <w:rFonts w:cs="Times New Roman"/>
                      <w:color w:val="000000"/>
                      <w:szCs w:val="20"/>
                    </w:rPr>
                    <w:t>5,730</w:t>
                  </w:r>
                </w:p>
              </w:tc>
            </w:tr>
            <w:tr w:rsidR="00403291" w14:paraId="63A279EE" w14:textId="77777777" w:rsidTr="00403291">
              <w:tc>
                <w:tcPr>
                  <w:tcW w:w="4553" w:type="dxa"/>
                </w:tcPr>
                <w:p w14:paraId="0FE0DEAF" w14:textId="7882FD2D" w:rsidR="00403291" w:rsidRDefault="00403291" w:rsidP="00403291">
                  <w:pPr>
                    <w:spacing w:before="40" w:after="40"/>
                    <w:rPr>
                      <w:rFonts w:cs="Times New Roman"/>
                      <w:color w:val="000000"/>
                      <w:szCs w:val="20"/>
                    </w:rPr>
                  </w:pPr>
                  <w:r>
                    <w:rPr>
                      <w:rFonts w:cs="Times New Roman"/>
                      <w:color w:val="000000"/>
                      <w:szCs w:val="20"/>
                    </w:rPr>
                    <w:t>Under 5 Energize</w:t>
                  </w:r>
                </w:p>
              </w:tc>
              <w:tc>
                <w:tcPr>
                  <w:tcW w:w="1418" w:type="dxa"/>
                </w:tcPr>
                <w:p w14:paraId="40CB8FC1" w14:textId="3B742C2B" w:rsidR="00403291" w:rsidRPr="00403291" w:rsidRDefault="00403291" w:rsidP="00403291">
                  <w:pPr>
                    <w:spacing w:before="40" w:after="40"/>
                    <w:jc w:val="right"/>
                    <w:rPr>
                      <w:rFonts w:cs="Times New Roman"/>
                      <w:color w:val="000000"/>
                      <w:szCs w:val="20"/>
                    </w:rPr>
                  </w:pPr>
                  <w:r>
                    <w:rPr>
                      <w:rFonts w:cs="Times New Roman"/>
                      <w:color w:val="000000"/>
                      <w:szCs w:val="20"/>
                    </w:rPr>
                    <w:t>500</w:t>
                  </w:r>
                </w:p>
              </w:tc>
              <w:tc>
                <w:tcPr>
                  <w:tcW w:w="1559" w:type="dxa"/>
                </w:tcPr>
                <w:p w14:paraId="5C56B115" w14:textId="697EA87A" w:rsidR="00403291" w:rsidRPr="00403291" w:rsidRDefault="00403291" w:rsidP="00403291">
                  <w:pPr>
                    <w:spacing w:before="40" w:after="40"/>
                    <w:jc w:val="right"/>
                    <w:rPr>
                      <w:rFonts w:cs="Times New Roman"/>
                      <w:color w:val="000000"/>
                      <w:szCs w:val="20"/>
                    </w:rPr>
                  </w:pPr>
                  <w:r>
                    <w:rPr>
                      <w:rFonts w:cs="Times New Roman"/>
                      <w:color w:val="000000"/>
                      <w:szCs w:val="20"/>
                    </w:rPr>
                    <w:t>500</w:t>
                  </w:r>
                </w:p>
              </w:tc>
              <w:tc>
                <w:tcPr>
                  <w:tcW w:w="1453" w:type="dxa"/>
                </w:tcPr>
                <w:p w14:paraId="04D467E5" w14:textId="08D64343" w:rsidR="00403291" w:rsidRPr="00403291" w:rsidRDefault="00403291" w:rsidP="00403291">
                  <w:pPr>
                    <w:spacing w:before="40" w:after="40"/>
                    <w:jc w:val="right"/>
                    <w:rPr>
                      <w:rFonts w:cs="Times New Roman"/>
                      <w:color w:val="000000"/>
                      <w:szCs w:val="20"/>
                    </w:rPr>
                  </w:pPr>
                  <w:r>
                    <w:rPr>
                      <w:rFonts w:cs="Times New Roman"/>
                      <w:color w:val="000000"/>
                      <w:szCs w:val="20"/>
                    </w:rPr>
                    <w:t>500</w:t>
                  </w:r>
                </w:p>
              </w:tc>
            </w:tr>
            <w:tr w:rsidR="00403291" w14:paraId="513F8C47" w14:textId="77777777" w:rsidTr="00403291">
              <w:tc>
                <w:tcPr>
                  <w:tcW w:w="4553" w:type="dxa"/>
                </w:tcPr>
                <w:p w14:paraId="6B2C9313" w14:textId="403B8ABF" w:rsidR="00403291" w:rsidRDefault="00403291" w:rsidP="00403291">
                  <w:pPr>
                    <w:spacing w:before="40" w:after="40"/>
                    <w:rPr>
                      <w:rFonts w:cs="Times New Roman"/>
                      <w:color w:val="000000"/>
                      <w:szCs w:val="20"/>
                    </w:rPr>
                  </w:pPr>
                  <w:r>
                    <w:rPr>
                      <w:rFonts w:cs="Times New Roman"/>
                      <w:color w:val="000000"/>
                      <w:szCs w:val="20"/>
                    </w:rPr>
                    <w:t>School health promotion</w:t>
                  </w:r>
                </w:p>
              </w:tc>
              <w:tc>
                <w:tcPr>
                  <w:tcW w:w="1418" w:type="dxa"/>
                </w:tcPr>
                <w:p w14:paraId="28132428" w14:textId="1B2EA60E" w:rsidR="00403291" w:rsidRPr="00403291" w:rsidRDefault="00403291" w:rsidP="00403291">
                  <w:pPr>
                    <w:spacing w:before="40" w:after="40"/>
                    <w:jc w:val="right"/>
                    <w:rPr>
                      <w:rFonts w:cs="Times New Roman"/>
                      <w:color w:val="000000"/>
                      <w:szCs w:val="20"/>
                    </w:rPr>
                  </w:pPr>
                  <w:r>
                    <w:rPr>
                      <w:rFonts w:cs="Times New Roman"/>
                      <w:color w:val="000000"/>
                      <w:szCs w:val="20"/>
                    </w:rPr>
                    <w:t>451</w:t>
                  </w:r>
                </w:p>
              </w:tc>
              <w:tc>
                <w:tcPr>
                  <w:tcW w:w="1559" w:type="dxa"/>
                </w:tcPr>
                <w:p w14:paraId="015EEDDF" w14:textId="3B124E80" w:rsidR="00403291" w:rsidRPr="00403291" w:rsidRDefault="00403291" w:rsidP="00403291">
                  <w:pPr>
                    <w:spacing w:before="40" w:after="40"/>
                    <w:jc w:val="right"/>
                    <w:rPr>
                      <w:rFonts w:cs="Times New Roman"/>
                      <w:color w:val="000000"/>
                      <w:szCs w:val="20"/>
                    </w:rPr>
                  </w:pPr>
                  <w:r>
                    <w:rPr>
                      <w:rFonts w:cs="Times New Roman"/>
                      <w:color w:val="000000"/>
                      <w:szCs w:val="20"/>
                    </w:rPr>
                    <w:t>451</w:t>
                  </w:r>
                </w:p>
              </w:tc>
              <w:tc>
                <w:tcPr>
                  <w:tcW w:w="1453" w:type="dxa"/>
                </w:tcPr>
                <w:p w14:paraId="31D84799" w14:textId="1EDF1498" w:rsidR="00403291" w:rsidRPr="00403291" w:rsidRDefault="00403291" w:rsidP="00403291">
                  <w:pPr>
                    <w:spacing w:before="40" w:after="40"/>
                    <w:jc w:val="right"/>
                    <w:rPr>
                      <w:rFonts w:cs="Times New Roman"/>
                      <w:color w:val="000000"/>
                      <w:szCs w:val="20"/>
                    </w:rPr>
                  </w:pPr>
                  <w:r>
                    <w:rPr>
                      <w:rFonts w:cs="Times New Roman"/>
                      <w:color w:val="000000"/>
                      <w:szCs w:val="20"/>
                    </w:rPr>
                    <w:t>451</w:t>
                  </w:r>
                </w:p>
              </w:tc>
            </w:tr>
            <w:tr w:rsidR="00403291" w14:paraId="3D2F5FB3" w14:textId="77777777" w:rsidTr="00403291">
              <w:tc>
                <w:tcPr>
                  <w:tcW w:w="4553" w:type="dxa"/>
                </w:tcPr>
                <w:p w14:paraId="0DF56104" w14:textId="46706ECA" w:rsidR="00403291" w:rsidRPr="00403291" w:rsidRDefault="00403291" w:rsidP="00403291">
                  <w:pPr>
                    <w:spacing w:before="40" w:after="40"/>
                    <w:rPr>
                      <w:rFonts w:cs="Times New Roman"/>
                      <w:b/>
                      <w:bCs/>
                      <w:color w:val="000000"/>
                      <w:szCs w:val="20"/>
                    </w:rPr>
                  </w:pPr>
                  <w:r w:rsidRPr="00403291">
                    <w:rPr>
                      <w:rFonts w:cs="Times New Roman"/>
                      <w:b/>
                      <w:bCs/>
                      <w:color w:val="000000"/>
                      <w:szCs w:val="20"/>
                    </w:rPr>
                    <w:t>Total</w:t>
                  </w:r>
                </w:p>
              </w:tc>
              <w:tc>
                <w:tcPr>
                  <w:tcW w:w="1418" w:type="dxa"/>
                </w:tcPr>
                <w:p w14:paraId="199790C0" w14:textId="160D1716" w:rsidR="00403291" w:rsidRPr="00403291" w:rsidRDefault="00403291" w:rsidP="00403291">
                  <w:pPr>
                    <w:spacing w:before="40" w:after="40"/>
                    <w:jc w:val="right"/>
                    <w:rPr>
                      <w:rFonts w:cs="Times New Roman"/>
                      <w:b/>
                      <w:bCs/>
                      <w:color w:val="000000"/>
                      <w:szCs w:val="20"/>
                    </w:rPr>
                  </w:pPr>
                  <w:r w:rsidRPr="00403291">
                    <w:rPr>
                      <w:rFonts w:cs="Times New Roman"/>
                      <w:b/>
                      <w:bCs/>
                      <w:color w:val="000000"/>
                      <w:szCs w:val="20"/>
                    </w:rPr>
                    <w:t>39,045</w:t>
                  </w:r>
                </w:p>
              </w:tc>
              <w:tc>
                <w:tcPr>
                  <w:tcW w:w="1559" w:type="dxa"/>
                </w:tcPr>
                <w:p w14:paraId="6698D55D" w14:textId="38E1A983" w:rsidR="00403291" w:rsidRPr="00403291" w:rsidRDefault="00403291" w:rsidP="00403291">
                  <w:pPr>
                    <w:spacing w:before="40" w:after="40"/>
                    <w:jc w:val="right"/>
                    <w:rPr>
                      <w:rFonts w:cs="Times New Roman"/>
                      <w:b/>
                      <w:bCs/>
                      <w:color w:val="000000"/>
                      <w:szCs w:val="20"/>
                    </w:rPr>
                  </w:pPr>
                  <w:r w:rsidRPr="00403291">
                    <w:rPr>
                      <w:rFonts w:cs="Times New Roman"/>
                      <w:b/>
                      <w:bCs/>
                      <w:color w:val="000000"/>
                      <w:szCs w:val="20"/>
                    </w:rPr>
                    <w:t>38,378</w:t>
                  </w:r>
                </w:p>
              </w:tc>
              <w:tc>
                <w:tcPr>
                  <w:tcW w:w="1453" w:type="dxa"/>
                </w:tcPr>
                <w:p w14:paraId="103E32CB" w14:textId="02C4A63B" w:rsidR="00403291" w:rsidRPr="00403291" w:rsidRDefault="00403291" w:rsidP="00403291">
                  <w:pPr>
                    <w:spacing w:before="40" w:after="40"/>
                    <w:jc w:val="right"/>
                    <w:rPr>
                      <w:rFonts w:cs="Times New Roman"/>
                      <w:b/>
                      <w:bCs/>
                      <w:color w:val="000000"/>
                      <w:szCs w:val="20"/>
                    </w:rPr>
                  </w:pPr>
                  <w:r w:rsidRPr="00403291">
                    <w:rPr>
                      <w:rFonts w:cs="Times New Roman"/>
                      <w:b/>
                      <w:bCs/>
                      <w:color w:val="000000"/>
                      <w:szCs w:val="20"/>
                    </w:rPr>
                    <w:t>38,378</w:t>
                  </w:r>
                </w:p>
              </w:tc>
            </w:tr>
            <w:tr w:rsidR="00403291" w14:paraId="065F385D" w14:textId="77777777" w:rsidTr="00403291">
              <w:tc>
                <w:tcPr>
                  <w:tcW w:w="4553" w:type="dxa"/>
                </w:tcPr>
                <w:p w14:paraId="44B895C4" w14:textId="05B6930A" w:rsidR="00403291" w:rsidRDefault="009B490C" w:rsidP="00403291">
                  <w:pPr>
                    <w:spacing w:before="40" w:after="40"/>
                    <w:rPr>
                      <w:rFonts w:cs="Times New Roman"/>
                      <w:color w:val="000000"/>
                      <w:szCs w:val="20"/>
                    </w:rPr>
                  </w:pPr>
                  <w:r>
                    <w:rPr>
                      <w:rFonts w:cs="Times New Roman"/>
                      <w:color w:val="000000"/>
                      <w:szCs w:val="20"/>
                    </w:rPr>
                    <w:t>% of total non-departmental expense funding (excluding capital and DHB baseline funding and MOH departmental funding)</w:t>
                  </w:r>
                </w:p>
              </w:tc>
              <w:tc>
                <w:tcPr>
                  <w:tcW w:w="1418" w:type="dxa"/>
                </w:tcPr>
                <w:p w14:paraId="78564F40" w14:textId="7D732740" w:rsidR="00403291" w:rsidRDefault="009B490C" w:rsidP="00403291">
                  <w:pPr>
                    <w:spacing w:before="40" w:after="40"/>
                    <w:jc w:val="right"/>
                    <w:rPr>
                      <w:rFonts w:cs="Times New Roman"/>
                      <w:color w:val="000000"/>
                      <w:szCs w:val="20"/>
                    </w:rPr>
                  </w:pPr>
                  <w:r>
                    <w:rPr>
                      <w:rFonts w:cs="Times New Roman"/>
                      <w:color w:val="000000"/>
                      <w:szCs w:val="20"/>
                    </w:rPr>
                    <w:t>1.2%</w:t>
                  </w:r>
                </w:p>
              </w:tc>
              <w:tc>
                <w:tcPr>
                  <w:tcW w:w="1559" w:type="dxa"/>
                </w:tcPr>
                <w:p w14:paraId="222B3C4B" w14:textId="274577C4" w:rsidR="00403291" w:rsidRDefault="009B490C" w:rsidP="00403291">
                  <w:pPr>
                    <w:spacing w:before="40" w:after="40"/>
                    <w:jc w:val="right"/>
                    <w:rPr>
                      <w:rFonts w:cs="Times New Roman"/>
                      <w:color w:val="000000"/>
                      <w:szCs w:val="20"/>
                    </w:rPr>
                  </w:pPr>
                  <w:r>
                    <w:rPr>
                      <w:rFonts w:cs="Times New Roman"/>
                      <w:color w:val="000000"/>
                      <w:szCs w:val="20"/>
                    </w:rPr>
                    <w:t>1.1%</w:t>
                  </w:r>
                </w:p>
              </w:tc>
              <w:tc>
                <w:tcPr>
                  <w:tcW w:w="1453" w:type="dxa"/>
                </w:tcPr>
                <w:p w14:paraId="6FB4CE67" w14:textId="166C7D12" w:rsidR="00403291" w:rsidRDefault="009B490C" w:rsidP="00403291">
                  <w:pPr>
                    <w:spacing w:before="40" w:after="40"/>
                    <w:jc w:val="right"/>
                    <w:rPr>
                      <w:rFonts w:cs="Times New Roman"/>
                      <w:color w:val="000000"/>
                      <w:szCs w:val="20"/>
                    </w:rPr>
                  </w:pPr>
                  <w:r>
                    <w:rPr>
                      <w:rFonts w:cs="Times New Roman"/>
                      <w:color w:val="000000"/>
                      <w:szCs w:val="20"/>
                    </w:rPr>
                    <w:t>1.0%</w:t>
                  </w:r>
                </w:p>
              </w:tc>
            </w:tr>
          </w:tbl>
          <w:p w14:paraId="7BFC6CFE" w14:textId="7AB4239D" w:rsidR="00D25895" w:rsidRPr="00FB7571" w:rsidRDefault="00D25895" w:rsidP="00FB7571">
            <w:pPr>
              <w:shd w:val="clear" w:color="auto" w:fill="FFFFFF" w:themeFill="background1"/>
              <w:spacing w:before="40" w:after="40"/>
              <w:rPr>
                <w:rFonts w:eastAsia="Times New Roman" w:cs="Times New Roman"/>
                <w:szCs w:val="20"/>
                <w:lang w:eastAsia="en-NZ"/>
              </w:rPr>
            </w:pPr>
          </w:p>
        </w:tc>
      </w:tr>
      <w:tr w:rsidR="00403291" w:rsidRPr="0091450A" w14:paraId="1AB576B4" w14:textId="77777777" w:rsidTr="00E83F10">
        <w:trPr>
          <w:trHeight w:val="2430"/>
        </w:trPr>
        <w:tc>
          <w:tcPr>
            <w:tcW w:w="9209" w:type="dxa"/>
          </w:tcPr>
          <w:p w14:paraId="7C4B8C1A" w14:textId="77777777" w:rsidR="00403291" w:rsidRDefault="00403291" w:rsidP="00403291">
            <w:pPr>
              <w:spacing w:before="40" w:after="40"/>
              <w:rPr>
                <w:rFonts w:cs="Times New Roman"/>
                <w:color w:val="000000"/>
                <w:szCs w:val="20"/>
                <w:highlight w:val="yellow"/>
              </w:rPr>
            </w:pPr>
          </w:p>
          <w:p w14:paraId="235E6D33" w14:textId="77777777" w:rsidR="00403291" w:rsidRPr="0091450A" w:rsidRDefault="00403291" w:rsidP="00403291">
            <w:pPr>
              <w:spacing w:before="40" w:after="40"/>
              <w:rPr>
                <w:b/>
                <w:color w:val="1F497D"/>
                <w:sz w:val="28"/>
                <w:szCs w:val="28"/>
              </w:rPr>
            </w:pPr>
            <w:r w:rsidRPr="0091450A">
              <w:rPr>
                <w:b/>
                <w:color w:val="1F497D"/>
                <w:sz w:val="28"/>
                <w:szCs w:val="28"/>
              </w:rPr>
              <w:t>International best practice examples (benchmarks)</w:t>
            </w:r>
          </w:p>
          <w:p w14:paraId="78900FB8" w14:textId="245DAC3E" w:rsidR="00403291" w:rsidRPr="009B490C" w:rsidRDefault="00403291" w:rsidP="00403291">
            <w:pPr>
              <w:pStyle w:val="ListParagraph"/>
              <w:keepNext/>
              <w:numPr>
                <w:ilvl w:val="0"/>
                <w:numId w:val="83"/>
              </w:numPr>
              <w:spacing w:before="40" w:after="40"/>
              <w:ind w:left="284" w:hanging="284"/>
              <w:contextualSpacing w:val="0"/>
            </w:pPr>
            <w:r w:rsidRPr="0091450A">
              <w:rPr>
                <w:rFonts w:eastAsia="Times New Roman" w:cs="Times New Roman"/>
                <w:b/>
                <w:szCs w:val="20"/>
                <w:lang w:eastAsia="en-NZ"/>
              </w:rPr>
              <w:t>New Zealand</w:t>
            </w:r>
            <w:r w:rsidRPr="0091450A">
              <w:rPr>
                <w:rFonts w:eastAsia="Times New Roman" w:cs="Times New Roman"/>
                <w:szCs w:val="20"/>
                <w:lang w:eastAsia="en-NZ"/>
              </w:rPr>
              <w:t>: The total funding for population nutrition was estimated at about $67 million or 0.6% of the health budget during 2008/09 Healthy Eating Healthy Action period. Dietary risk factors account for 11.4% of health loss in New Zealand.</w:t>
            </w:r>
          </w:p>
          <w:p w14:paraId="78421891" w14:textId="436C55BC" w:rsidR="00403291" w:rsidRPr="009B490C" w:rsidRDefault="009B490C" w:rsidP="009B490C">
            <w:pPr>
              <w:pStyle w:val="ListParagraph"/>
              <w:keepNext/>
              <w:numPr>
                <w:ilvl w:val="0"/>
                <w:numId w:val="83"/>
              </w:numPr>
              <w:spacing w:before="40" w:after="40"/>
              <w:ind w:left="284" w:hanging="284"/>
              <w:contextualSpacing w:val="0"/>
            </w:pPr>
            <w:r w:rsidRPr="0091450A">
              <w:rPr>
                <w:rFonts w:eastAsia="Times New Roman" w:cs="Times New Roman"/>
                <w:b/>
                <w:szCs w:val="20"/>
                <w:lang w:eastAsia="en-NZ"/>
              </w:rPr>
              <w:t>Thailand:</w:t>
            </w:r>
            <w:r w:rsidRPr="0091450A">
              <w:rPr>
                <w:rFonts w:eastAsia="Times New Roman" w:cs="Times New Roman"/>
                <w:szCs w:val="20"/>
                <w:lang w:eastAsia="en-NZ"/>
              </w:rPr>
              <w:t xml:space="preserve"> According to the most recent report on health expenditure in 2012 the government greatly increased budget spent on policies and actions related to nutrition (excluding food, hygiene and drinking water control). Total expenditure on health</w:t>
            </w:r>
            <w:r>
              <w:rPr>
                <w:rFonts w:eastAsia="Times New Roman" w:cs="Times New Roman"/>
                <w:szCs w:val="20"/>
                <w:lang w:eastAsia="en-NZ"/>
              </w:rPr>
              <w:t>-</w:t>
            </w:r>
            <w:r w:rsidRPr="0091450A">
              <w:rPr>
                <w:rFonts w:eastAsia="Times New Roman" w:cs="Times New Roman"/>
                <w:szCs w:val="20"/>
                <w:lang w:eastAsia="en-NZ"/>
              </w:rPr>
              <w:t>related to nutrition specifically from local governments was 29,434.5 million Baht (about 840 million USD) (7.57% of total health expenditure from public funding agencies), which was ten times over the budget spending on nutrition in 2011.</w:t>
            </w:r>
            <w:r w:rsidRPr="0091450A">
              <w:t xml:space="preserve"> </w:t>
            </w:r>
            <w:r w:rsidRPr="0091450A">
              <w:rPr>
                <w:rFonts w:eastAsia="Times New Roman" w:cs="Times New Roman"/>
                <w:szCs w:val="20"/>
                <w:lang w:eastAsia="en-NZ"/>
              </w:rPr>
              <w:t>Dietary risk factors account for about 10% of health loss in Thailand.</w:t>
            </w:r>
          </w:p>
        </w:tc>
      </w:tr>
    </w:tbl>
    <w:p w14:paraId="0C61EF5D" w14:textId="77777777" w:rsidR="00B84363" w:rsidRPr="0091450A" w:rsidRDefault="00B84363" w:rsidP="002D613F">
      <w:pPr>
        <w:spacing w:after="0" w:line="240" w:lineRule="auto"/>
      </w:pPr>
    </w:p>
    <w:tbl>
      <w:tblPr>
        <w:tblStyle w:val="TableGrid"/>
        <w:tblW w:w="9209" w:type="dxa"/>
        <w:tblLook w:val="04A0" w:firstRow="1" w:lastRow="0" w:firstColumn="1" w:lastColumn="0" w:noHBand="0" w:noVBand="1"/>
      </w:tblPr>
      <w:tblGrid>
        <w:gridCol w:w="9209"/>
      </w:tblGrid>
      <w:tr w:rsidR="00B84363" w:rsidRPr="0091450A" w14:paraId="3F75F834" w14:textId="77777777" w:rsidTr="00E83F10">
        <w:tc>
          <w:tcPr>
            <w:tcW w:w="9209" w:type="dxa"/>
          </w:tcPr>
          <w:p w14:paraId="24287750" w14:textId="39ED2B24" w:rsidR="00B84363" w:rsidRPr="0091450A" w:rsidRDefault="00B84363"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 xml:space="preserve">11 FUNDING AND RESOURCES: </w:t>
            </w:r>
            <w:r w:rsidRPr="0091450A">
              <w:rPr>
                <w:rFonts w:cs="Times New Roman"/>
                <w:szCs w:val="20"/>
              </w:rPr>
              <w:t xml:space="preserve">Sufficient funding is invested in ‘Population Nutrition Promotion’ to create healthy food environments, improved population nutrition, reductions in obesity, </w:t>
            </w:r>
            <w:r w:rsidR="00C76DA0" w:rsidRPr="0091450A">
              <w:rPr>
                <w:rFonts w:cs="Times New Roman"/>
                <w:szCs w:val="20"/>
              </w:rPr>
              <w:t>diet</w:t>
            </w:r>
            <w:r w:rsidR="001D7CB6">
              <w:rPr>
                <w:rFonts w:cs="Times New Roman"/>
                <w:szCs w:val="20"/>
              </w:rPr>
              <w:t>-</w:t>
            </w:r>
            <w:r w:rsidR="00C76DA0" w:rsidRPr="0091450A">
              <w:rPr>
                <w:rFonts w:cs="Times New Roman"/>
                <w:szCs w:val="20"/>
              </w:rPr>
              <w:t>related</w:t>
            </w:r>
            <w:r w:rsidRPr="0091450A">
              <w:rPr>
                <w:rFonts w:cs="Times New Roman"/>
                <w:szCs w:val="20"/>
              </w:rPr>
              <w:t xml:space="preserve"> NCDs and their related inequalities</w:t>
            </w:r>
            <w:r w:rsidR="00B84E85" w:rsidRPr="0091450A">
              <w:rPr>
                <w:rFonts w:cs="Times New Roman"/>
                <w:szCs w:val="20"/>
              </w:rPr>
              <w:t>.</w:t>
            </w:r>
          </w:p>
        </w:tc>
      </w:tr>
      <w:tr w:rsidR="00B84363" w:rsidRPr="0091450A" w14:paraId="72C145BF" w14:textId="77777777" w:rsidTr="00E83F10">
        <w:tc>
          <w:tcPr>
            <w:tcW w:w="9209" w:type="dxa"/>
          </w:tcPr>
          <w:p w14:paraId="2BBFA8F3" w14:textId="7E43396B" w:rsidR="00B84363" w:rsidRPr="0091450A" w:rsidRDefault="00D921CC" w:rsidP="002D613F">
            <w:pPr>
              <w:shd w:val="clear" w:color="auto" w:fill="FFFFFF" w:themeFill="background1"/>
              <w:spacing w:before="40" w:after="40"/>
              <w:rPr>
                <w:rFonts w:cs="Times New Roman"/>
                <w:color w:val="000000"/>
                <w:szCs w:val="20"/>
                <w:lang w:eastAsia="en-NZ"/>
              </w:rPr>
            </w:pPr>
            <w:bookmarkStart w:id="66" w:name="_Toc31623764"/>
            <w:r w:rsidRPr="0091450A">
              <w:rPr>
                <w:rStyle w:val="Heading3Char"/>
              </w:rPr>
              <w:t>FUND2</w:t>
            </w:r>
            <w:bookmarkEnd w:id="66"/>
            <w:r w:rsidR="00B84363" w:rsidRPr="0091450A">
              <w:rPr>
                <w:rFonts w:cs="Times New Roman"/>
                <w:b/>
                <w:color w:val="1F497D" w:themeColor="text2"/>
                <w:sz w:val="28"/>
                <w:szCs w:val="28"/>
              </w:rPr>
              <w:t xml:space="preserve">: </w:t>
            </w:r>
            <w:r w:rsidR="00B84363" w:rsidRPr="0091450A">
              <w:rPr>
                <w:rFonts w:cs="Times New Roman"/>
                <w:b/>
                <w:szCs w:val="20"/>
              </w:rPr>
              <w:t>Government</w:t>
            </w:r>
            <w:r w:rsidR="001D7CB6">
              <w:rPr>
                <w:rFonts w:cs="Times New Roman"/>
                <w:b/>
                <w:szCs w:val="20"/>
              </w:rPr>
              <w:t>-</w:t>
            </w:r>
            <w:r w:rsidR="00B84363" w:rsidRPr="0091450A">
              <w:rPr>
                <w:rFonts w:cs="Times New Roman"/>
                <w:b/>
                <w:szCs w:val="20"/>
              </w:rPr>
              <w:t>funded research is targeted for improving food environments, reducing obesity, NCDs and their related inequalities</w:t>
            </w:r>
            <w:r w:rsidR="00B84E85" w:rsidRPr="0091450A">
              <w:rPr>
                <w:rFonts w:cs="Times New Roman"/>
                <w:b/>
                <w:szCs w:val="20"/>
              </w:rPr>
              <w:t>.</w:t>
            </w:r>
          </w:p>
        </w:tc>
      </w:tr>
      <w:tr w:rsidR="00B84363" w:rsidRPr="0091450A" w14:paraId="76E5A989" w14:textId="77777777" w:rsidTr="00E83F10">
        <w:tc>
          <w:tcPr>
            <w:tcW w:w="9209" w:type="dxa"/>
          </w:tcPr>
          <w:p w14:paraId="7B9D978F" w14:textId="19DC9F82" w:rsidR="00B84363"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67CC4DCC" w14:textId="7A3402DD" w:rsidR="00D37399" w:rsidRPr="0091450A" w:rsidRDefault="00D37399" w:rsidP="002D613F">
            <w:pPr>
              <w:pStyle w:val="ListParagraph"/>
              <w:numPr>
                <w:ilvl w:val="0"/>
                <w:numId w:val="34"/>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All funding recipients from the Marsden Fund and the Health Research Council </w:t>
            </w:r>
            <w:r w:rsidR="00EE377E" w:rsidRPr="0091450A">
              <w:rPr>
                <w:rFonts w:cs="Times New Roman"/>
                <w:szCs w:val="20"/>
              </w:rPr>
              <w:t>NZ</w:t>
            </w:r>
            <w:r w:rsidR="003737DF" w:rsidRPr="0091450A">
              <w:rPr>
                <w:rFonts w:cs="Times New Roman"/>
                <w:szCs w:val="20"/>
              </w:rPr>
              <w:t xml:space="preserve"> were evaluated. </w:t>
            </w:r>
          </w:p>
          <w:p w14:paraId="41B3D94F" w14:textId="21B92583" w:rsidR="00D37796" w:rsidRPr="009B490C" w:rsidRDefault="00D37796" w:rsidP="002D613F">
            <w:pPr>
              <w:pStyle w:val="ListParagraph"/>
              <w:numPr>
                <w:ilvl w:val="0"/>
                <w:numId w:val="34"/>
              </w:numPr>
              <w:shd w:val="clear" w:color="auto" w:fill="FFFFFF" w:themeFill="background1"/>
              <w:spacing w:before="40" w:after="40"/>
              <w:ind w:left="284" w:hanging="284"/>
              <w:contextualSpacing w:val="0"/>
              <w:rPr>
                <w:rFonts w:cs="Times New Roman"/>
                <w:szCs w:val="20"/>
              </w:rPr>
            </w:pPr>
            <w:r w:rsidRPr="009B490C">
              <w:rPr>
                <w:rFonts w:cs="Times New Roman"/>
                <w:szCs w:val="20"/>
              </w:rPr>
              <w:t>For Marsden</w:t>
            </w:r>
            <w:r w:rsidR="007C2427" w:rsidRPr="009B490C">
              <w:rPr>
                <w:rFonts w:cs="Times New Roman"/>
                <w:szCs w:val="20"/>
              </w:rPr>
              <w:t xml:space="preserve"> </w:t>
            </w:r>
            <w:r w:rsidR="007C2427" w:rsidRPr="009B490C">
              <w:rPr>
                <w:rFonts w:cs="Times New Roman"/>
                <w:szCs w:val="20"/>
              </w:rPr>
              <w:fldChar w:fldCharType="begin" w:fldLock="1"/>
            </w:r>
            <w:r w:rsidR="00EC12A7" w:rsidRPr="009B490C">
              <w:rPr>
                <w:rFonts w:cs="Times New Roman"/>
                <w:szCs w:val="20"/>
              </w:rPr>
              <w:instrText>ADDIN CSL_CITATION {"citationItems":[{"id":"ITEM-1","itemData":{"URL":"https://www.royalsociety.org.nz/what-we-do/funds-and-opportunities/marsden/awarded-grants/marsden-awards-2017/","accessed":{"date-parts":[["2020","1","28"]]},"author":[{"dropping-particle":"","family":"Royal Society of New Zealand Te Aparangi","given":"","non-dropping-particle":"","parse-names":false,"suffix":""}],"id":"ITEM-1","issued":{"date-parts":[["2017"]]},"title":"Marsden awards","type":"webpage"},"uris":["http://www.mendeley.com/documents/?uuid=29d0dffe-6086-3c31-9500-43bf8a023ac6"]}],"mendeley":{"formattedCitation":"(249)","plainTextFormattedCitation":"(249)","previouslyFormattedCitation":"(249)"},"properties":{"noteIndex":0},"schema":"https://github.com/citation-style-language/schema/raw/master/csl-citation.json"}</w:instrText>
            </w:r>
            <w:r w:rsidR="007C2427" w:rsidRPr="009B490C">
              <w:rPr>
                <w:rFonts w:cs="Times New Roman"/>
                <w:szCs w:val="20"/>
              </w:rPr>
              <w:fldChar w:fldCharType="separate"/>
            </w:r>
            <w:r w:rsidR="009C4029" w:rsidRPr="009B490C">
              <w:rPr>
                <w:rFonts w:cs="Times New Roman"/>
                <w:noProof/>
                <w:szCs w:val="20"/>
              </w:rPr>
              <w:t>(249)</w:t>
            </w:r>
            <w:r w:rsidR="007C2427" w:rsidRPr="009B490C">
              <w:rPr>
                <w:rFonts w:cs="Times New Roman"/>
                <w:szCs w:val="20"/>
              </w:rPr>
              <w:fldChar w:fldCharType="end"/>
            </w:r>
            <w:r w:rsidRPr="009B490C">
              <w:rPr>
                <w:rFonts w:cs="Times New Roman"/>
                <w:szCs w:val="20"/>
              </w:rPr>
              <w:t>, in 201</w:t>
            </w:r>
            <w:r w:rsidR="00C96CF3" w:rsidRPr="009B490C">
              <w:rPr>
                <w:rFonts w:cs="Times New Roman"/>
                <w:szCs w:val="20"/>
              </w:rPr>
              <w:t>7</w:t>
            </w:r>
            <w:r w:rsidR="00987664" w:rsidRPr="009B490C">
              <w:rPr>
                <w:rFonts w:cs="Times New Roman"/>
                <w:szCs w:val="20"/>
              </w:rPr>
              <w:t xml:space="preserve"> (total budget</w:t>
            </w:r>
            <w:r w:rsidR="00EC3382" w:rsidRPr="009B490C">
              <w:rPr>
                <w:rFonts w:cs="Times New Roman"/>
                <w:szCs w:val="20"/>
              </w:rPr>
              <w:t xml:space="preserve"> </w:t>
            </w:r>
            <w:r w:rsidR="00987664" w:rsidRPr="009B490C">
              <w:rPr>
                <w:rFonts w:cs="Times New Roman"/>
                <w:szCs w:val="20"/>
              </w:rPr>
              <w:t>$</w:t>
            </w:r>
            <w:r w:rsidR="00FD5E5B" w:rsidRPr="009B490C">
              <w:rPr>
                <w:rFonts w:cs="Times New Roman"/>
                <w:szCs w:val="20"/>
              </w:rPr>
              <w:t>84.6m</w:t>
            </w:r>
            <w:r w:rsidR="00987664" w:rsidRPr="009B490C">
              <w:rPr>
                <w:rFonts w:cs="Times New Roman"/>
                <w:szCs w:val="20"/>
              </w:rPr>
              <w:t>), 201</w:t>
            </w:r>
            <w:r w:rsidR="00C96CF3" w:rsidRPr="009B490C">
              <w:rPr>
                <w:rFonts w:cs="Times New Roman"/>
                <w:szCs w:val="20"/>
              </w:rPr>
              <w:t>8</w:t>
            </w:r>
            <w:r w:rsidR="00987664" w:rsidRPr="009B490C">
              <w:rPr>
                <w:rFonts w:cs="Times New Roman"/>
                <w:szCs w:val="20"/>
              </w:rPr>
              <w:t xml:space="preserve"> (total budget $</w:t>
            </w:r>
            <w:r w:rsidR="00EC420C" w:rsidRPr="009B490C">
              <w:rPr>
                <w:rFonts w:cs="Times New Roman"/>
                <w:szCs w:val="20"/>
              </w:rPr>
              <w:t>85.6m</w:t>
            </w:r>
            <w:r w:rsidR="00987664" w:rsidRPr="009B490C">
              <w:rPr>
                <w:rFonts w:cs="Times New Roman"/>
                <w:szCs w:val="20"/>
              </w:rPr>
              <w:t>) and 201</w:t>
            </w:r>
            <w:r w:rsidR="00C96CF3" w:rsidRPr="009B490C">
              <w:rPr>
                <w:rFonts w:cs="Times New Roman"/>
                <w:szCs w:val="20"/>
              </w:rPr>
              <w:t>9</w:t>
            </w:r>
            <w:r w:rsidR="00987664" w:rsidRPr="009B490C">
              <w:rPr>
                <w:rFonts w:cs="Times New Roman"/>
                <w:szCs w:val="20"/>
              </w:rPr>
              <w:t xml:space="preserve"> (total budget $</w:t>
            </w:r>
            <w:r w:rsidR="00C304DD" w:rsidRPr="009B490C">
              <w:rPr>
                <w:rFonts w:cs="Times New Roman"/>
                <w:szCs w:val="20"/>
              </w:rPr>
              <w:t>83.671m</w:t>
            </w:r>
            <w:r w:rsidR="00987664" w:rsidRPr="009B490C">
              <w:rPr>
                <w:rFonts w:cs="Times New Roman"/>
                <w:szCs w:val="20"/>
              </w:rPr>
              <w:t xml:space="preserve">) </w:t>
            </w:r>
            <w:r w:rsidR="00F55797" w:rsidRPr="009B490C">
              <w:rPr>
                <w:rFonts w:cs="Times New Roman"/>
                <w:szCs w:val="20"/>
              </w:rPr>
              <w:t>the</w:t>
            </w:r>
            <w:r w:rsidR="00987664" w:rsidRPr="009B490C">
              <w:rPr>
                <w:rFonts w:cs="Times New Roman"/>
                <w:szCs w:val="20"/>
              </w:rPr>
              <w:t xml:space="preserve"> </w:t>
            </w:r>
            <w:r w:rsidR="00F55797" w:rsidRPr="009B490C">
              <w:rPr>
                <w:rFonts w:cs="Times New Roman"/>
                <w:szCs w:val="20"/>
              </w:rPr>
              <w:t>only</w:t>
            </w:r>
            <w:r w:rsidR="00987664" w:rsidRPr="009B490C">
              <w:rPr>
                <w:rFonts w:cs="Times New Roman"/>
                <w:szCs w:val="20"/>
              </w:rPr>
              <w:t xml:space="preserve"> funding for projects related to population nutrition or prevention of obesity and non-communicable disease</w:t>
            </w:r>
            <w:r w:rsidR="00F55797" w:rsidRPr="009B490C">
              <w:rPr>
                <w:rFonts w:cs="Times New Roman"/>
                <w:szCs w:val="20"/>
              </w:rPr>
              <w:t xml:space="preserve"> was</w:t>
            </w:r>
            <w:r w:rsidR="004F6217" w:rsidRPr="009B490C">
              <w:rPr>
                <w:rFonts w:cs="Times New Roman"/>
                <w:szCs w:val="20"/>
              </w:rPr>
              <w:t xml:space="preserve"> approximately</w:t>
            </w:r>
            <w:r w:rsidR="00F55797" w:rsidRPr="009B490C">
              <w:rPr>
                <w:rFonts w:cs="Times New Roman"/>
                <w:szCs w:val="20"/>
              </w:rPr>
              <w:t xml:space="preserve"> $</w:t>
            </w:r>
            <w:r w:rsidR="00EC0659" w:rsidRPr="009B490C">
              <w:rPr>
                <w:rFonts w:cs="Times New Roman"/>
                <w:szCs w:val="20"/>
              </w:rPr>
              <w:t>5.24</w:t>
            </w:r>
            <w:r w:rsidR="004F6217" w:rsidRPr="009B490C">
              <w:rPr>
                <w:rFonts w:cs="Times New Roman"/>
                <w:szCs w:val="20"/>
              </w:rPr>
              <w:t>m</w:t>
            </w:r>
            <w:r w:rsidR="00F55797" w:rsidRPr="009B490C">
              <w:rPr>
                <w:rFonts w:cs="Times New Roman"/>
                <w:szCs w:val="20"/>
              </w:rPr>
              <w:t xml:space="preserve"> </w:t>
            </w:r>
            <w:r w:rsidR="00C96CF3" w:rsidRPr="009B490C">
              <w:rPr>
                <w:rFonts w:cs="Times New Roman"/>
                <w:szCs w:val="20"/>
              </w:rPr>
              <w:t>between 2017-19</w:t>
            </w:r>
            <w:r w:rsidR="00EC420C" w:rsidRPr="009B490C">
              <w:rPr>
                <w:rFonts w:cs="Times New Roman"/>
                <w:szCs w:val="20"/>
              </w:rPr>
              <w:t xml:space="preserve"> out of a potential </w:t>
            </w:r>
            <w:r w:rsidR="001A72C4" w:rsidRPr="009B490C">
              <w:rPr>
                <w:rFonts w:cs="Times New Roman"/>
                <w:szCs w:val="20"/>
              </w:rPr>
              <w:t>$253.871m</w:t>
            </w:r>
            <w:r w:rsidR="0006190E" w:rsidRPr="009B490C">
              <w:rPr>
                <w:rFonts w:cs="Times New Roman"/>
                <w:szCs w:val="20"/>
              </w:rPr>
              <w:t xml:space="preserve">. </w:t>
            </w:r>
            <w:r w:rsidR="009906FF" w:rsidRPr="009B490C">
              <w:rPr>
                <w:rFonts w:cs="Times New Roman"/>
                <w:szCs w:val="20"/>
              </w:rPr>
              <w:t xml:space="preserve">For Marsden, both in 2012 (total budget=$54,960,000) and 2013 (total budget=$58,965,214) there was no </w:t>
            </w:r>
            <w:r w:rsidR="009906FF" w:rsidRPr="009B490C">
              <w:rPr>
                <w:rFonts w:cs="Times New Roman"/>
                <w:szCs w:val="20"/>
              </w:rPr>
              <w:lastRenderedPageBreak/>
              <w:t>funding for projects related to population nutrition or prevention of obesity and non-communicable diseases</w:t>
            </w:r>
            <w:r w:rsidR="001D7CB6" w:rsidRPr="009B490C">
              <w:rPr>
                <w:rFonts w:cs="Times New Roman"/>
                <w:szCs w:val="20"/>
              </w:rPr>
              <w:t>, therefore,</w:t>
            </w:r>
            <w:r w:rsidR="004F6217" w:rsidRPr="009B490C">
              <w:rPr>
                <w:rFonts w:cs="Times New Roman"/>
                <w:szCs w:val="20"/>
              </w:rPr>
              <w:t xml:space="preserve"> </w:t>
            </w:r>
            <w:r w:rsidR="00F16817" w:rsidRPr="009B490C">
              <w:rPr>
                <w:rFonts w:cs="Times New Roman"/>
                <w:szCs w:val="20"/>
              </w:rPr>
              <w:t>funding</w:t>
            </w:r>
            <w:r w:rsidR="004F6217" w:rsidRPr="009B490C">
              <w:rPr>
                <w:rFonts w:cs="Times New Roman"/>
                <w:szCs w:val="20"/>
              </w:rPr>
              <w:t xml:space="preserve"> has increased.</w:t>
            </w:r>
          </w:p>
          <w:p w14:paraId="39EFE770" w14:textId="5748544A" w:rsidR="00001361" w:rsidRPr="0091450A" w:rsidRDefault="00F47853" w:rsidP="002D613F">
            <w:pPr>
              <w:pStyle w:val="ListParagraph"/>
              <w:numPr>
                <w:ilvl w:val="0"/>
                <w:numId w:val="34"/>
              </w:numPr>
              <w:shd w:val="clear" w:color="auto" w:fill="FFFFFF" w:themeFill="background1"/>
              <w:spacing w:before="40" w:after="40"/>
              <w:ind w:left="284" w:hanging="284"/>
              <w:contextualSpacing w:val="0"/>
              <w:rPr>
                <w:rFonts w:eastAsia="Times New Roman" w:cs="Times New Roman"/>
                <w:color w:val="000000"/>
                <w:szCs w:val="20"/>
              </w:rPr>
            </w:pPr>
            <w:r w:rsidRPr="0091450A">
              <w:rPr>
                <w:rFonts w:cs="Times New Roman"/>
                <w:szCs w:val="20"/>
              </w:rPr>
              <w:t xml:space="preserve">For </w:t>
            </w:r>
            <w:r w:rsidRPr="0037477A">
              <w:rPr>
                <w:rFonts w:cs="Times New Roman"/>
                <w:szCs w:val="20"/>
              </w:rPr>
              <w:t xml:space="preserve">the Health Research Council </w:t>
            </w:r>
            <w:r w:rsidRPr="0037477A">
              <w:rPr>
                <w:rFonts w:cs="Times New Roman"/>
                <w:szCs w:val="20"/>
              </w:rPr>
              <w:fldChar w:fldCharType="begin" w:fldLock="1"/>
            </w:r>
            <w:r w:rsidR="00EC12A7">
              <w:rPr>
                <w:rFonts w:cs="Times New Roman"/>
                <w:szCs w:val="20"/>
              </w:rPr>
              <w:instrText>ADDIN CSL_CITATION {"citationItems":[{"id":"ITEM-1","itemData":{"URL":"https://www.hrc.govt.nz/resources/research-repository?query=","accessed":{"date-parts":[["2020","1","28"]]},"author":[{"dropping-particle":"","family":"Health Research Council of New Zealand","given":"","non-dropping-particle":"","parse-names":false,"suffix":""}],"id":"ITEM-1","issued":{"date-parts":[["2021"]]},"title":"HRC Research Repository ","type":"webpage"},"uris":["http://www.mendeley.com/documents/?uuid=66aee1e7-88cc-343e-9e76-70848f5ac22f"]}],"mendeley":{"formattedCitation":"(250)","plainTextFormattedCitation":"(250)","previouslyFormattedCitation":"(250)"},"properties":{"noteIndex":0},"schema":"https://github.com/citation-style-language/schema/raw/master/csl-citation.json"}</w:instrText>
            </w:r>
            <w:r w:rsidRPr="0037477A">
              <w:rPr>
                <w:rFonts w:cs="Times New Roman"/>
                <w:szCs w:val="20"/>
              </w:rPr>
              <w:fldChar w:fldCharType="separate"/>
            </w:r>
            <w:r w:rsidR="009C4029" w:rsidRPr="009C4029">
              <w:rPr>
                <w:rFonts w:cs="Times New Roman"/>
                <w:noProof/>
                <w:szCs w:val="20"/>
              </w:rPr>
              <w:t>(250)</w:t>
            </w:r>
            <w:r w:rsidRPr="0037477A">
              <w:rPr>
                <w:rFonts w:cs="Times New Roman"/>
                <w:szCs w:val="20"/>
              </w:rPr>
              <w:fldChar w:fldCharType="end"/>
            </w:r>
            <w:r w:rsidRPr="0037477A">
              <w:rPr>
                <w:rFonts w:cs="Times New Roman"/>
                <w:szCs w:val="20"/>
              </w:rPr>
              <w:t xml:space="preserve"> the amount</w:t>
            </w:r>
            <w:r w:rsidRPr="0091450A">
              <w:rPr>
                <w:rFonts w:cs="Times New Roman"/>
                <w:szCs w:val="20"/>
              </w:rPr>
              <w:t xml:space="preserve"> of </w:t>
            </w:r>
            <w:r w:rsidRPr="009B490C">
              <w:rPr>
                <w:rFonts w:cs="Times New Roman"/>
                <w:szCs w:val="20"/>
              </w:rPr>
              <w:t>research budget spent on population nutrition and/or prevention of obesity and non-communicable diseases was: 12 research projects in 2017 totalling $4.296m (3.4%</w:t>
            </w:r>
            <w:r w:rsidR="009B490C" w:rsidRPr="009B490C">
              <w:rPr>
                <w:rFonts w:cs="Times New Roman"/>
                <w:szCs w:val="20"/>
              </w:rPr>
              <w:t xml:space="preserve"> of total funds</w:t>
            </w:r>
            <w:r w:rsidRPr="009B490C">
              <w:rPr>
                <w:rFonts w:cs="Times New Roman"/>
                <w:szCs w:val="20"/>
              </w:rPr>
              <w:t>), 6 research projects in 2018 totalling $8.16m (6.5%) and 4 research projects in 2019 totalling $1.695m (1.3%). This comes to a total of $14.151</w:t>
            </w:r>
            <w:r w:rsidRPr="0091450A">
              <w:rPr>
                <w:rFonts w:cs="Times New Roman"/>
                <w:szCs w:val="20"/>
              </w:rPr>
              <w:t>m spent by the Health Research Council between 2017-19 relevant to these health issues.</w:t>
            </w:r>
            <w:r w:rsidR="009B490C" w:rsidRPr="0091450A">
              <w:rPr>
                <w:rFonts w:cs="Times New Roman"/>
                <w:szCs w:val="20"/>
              </w:rPr>
              <w:t xml:space="preserve"> </w:t>
            </w:r>
            <w:r w:rsidR="009B490C">
              <w:rPr>
                <w:rFonts w:cs="Times New Roman"/>
                <w:szCs w:val="20"/>
              </w:rPr>
              <w:t>I</w:t>
            </w:r>
            <w:r w:rsidR="009B490C" w:rsidRPr="0091450A">
              <w:rPr>
                <w:rFonts w:cs="Times New Roman"/>
                <w:szCs w:val="20"/>
              </w:rPr>
              <w:t>n 2015 3.9% (total budget=$73,025,001) and 2016 7.2% (total budget=$119,100,991) was spent on population nutrition and/or prevention of obesity and non-communicable diseases</w:t>
            </w:r>
          </w:p>
          <w:p w14:paraId="219E262E" w14:textId="6B4F3B6C" w:rsidR="008C61FB" w:rsidRPr="0091450A" w:rsidRDefault="008C61FB" w:rsidP="002D613F">
            <w:pPr>
              <w:pStyle w:val="ListParagraph"/>
              <w:numPr>
                <w:ilvl w:val="0"/>
                <w:numId w:val="34"/>
              </w:numPr>
              <w:shd w:val="clear" w:color="auto" w:fill="FFFFFF" w:themeFill="background1"/>
              <w:spacing w:before="40" w:after="40"/>
              <w:ind w:left="284" w:hanging="284"/>
              <w:contextualSpacing w:val="0"/>
              <w:rPr>
                <w:rFonts w:eastAsia="Times New Roman" w:cs="Times New Roman"/>
                <w:color w:val="000000"/>
                <w:szCs w:val="20"/>
              </w:rPr>
            </w:pPr>
            <w:r w:rsidRPr="0091450A">
              <w:rPr>
                <w:rFonts w:cstheme="minorHAnsi"/>
                <w:szCs w:val="20"/>
              </w:rPr>
              <w:t xml:space="preserve">MPI policy and science functions contribute to some areas of nutrition work with unspecified budget allocation. Examples include health claims and monitoring surveys </w:t>
            </w:r>
            <w:r w:rsidRPr="0091450A">
              <w:rPr>
                <w:rFonts w:cs="Times New Roman"/>
                <w:szCs w:val="20"/>
              </w:rPr>
              <w:fldChar w:fldCharType="begin" w:fldLock="1"/>
            </w:r>
            <w:r w:rsidR="00EC12A7">
              <w:rPr>
                <w:rFonts w:cs="Times New Roman"/>
                <w:szCs w:val="20"/>
              </w:rPr>
              <w:instrText>ADDIN CSL_CITATION {"citationItems":[{"id":"ITEM-1","itemData":{"URL":"http://www.hrc.govt.nz/news-and-publications/news-media#major-push-to-tackle-diabetes-with-$5.7m-research-funding","author":[{"dropping-particle":"","family":"Health Research Council","given":"","non-dropping-particle":"","parse-names":false,"suffix":""}],"id":"ITEM-1","issue":"23/2/2017","issued":{"date-parts":[["2017"]]},"title":"Major push to tackle diabetes with $5.7m research funding","type":"webpage"},"uris":["http://www.mendeley.com/documents/?uuid=60a3482f-81d7-3ebf-9e6e-4dffe338f6a7","http://www.mendeley.com/documents/?uuid=77b152ae-dbf4-4024-9ccb-17521f76ef31"]}],"mendeley":{"formattedCitation":"(251)","plainTextFormattedCitation":"(251)","previouslyFormattedCitation":"(251)"},"properties":{"noteIndex":0},"schema":"https://github.com/citation-style-language/schema/raw/master/csl-citation.json"}</w:instrText>
            </w:r>
            <w:r w:rsidRPr="0091450A">
              <w:rPr>
                <w:rFonts w:cs="Times New Roman"/>
                <w:szCs w:val="20"/>
              </w:rPr>
              <w:fldChar w:fldCharType="separate"/>
            </w:r>
            <w:r w:rsidR="009C4029" w:rsidRPr="009C4029">
              <w:rPr>
                <w:rFonts w:cs="Times New Roman"/>
                <w:noProof/>
                <w:szCs w:val="20"/>
              </w:rPr>
              <w:t>(251)</w:t>
            </w:r>
            <w:r w:rsidRPr="0091450A">
              <w:rPr>
                <w:rFonts w:cs="Times New Roman"/>
                <w:szCs w:val="20"/>
              </w:rPr>
              <w:fldChar w:fldCharType="end"/>
            </w:r>
            <w:r w:rsidRPr="0091450A">
              <w:rPr>
                <w:rFonts w:cs="Times New Roman"/>
                <w:szCs w:val="20"/>
              </w:rPr>
              <w:t>.</w:t>
            </w:r>
          </w:p>
          <w:p w14:paraId="06DECCFD" w14:textId="77777777" w:rsidR="00662599" w:rsidRPr="0091450A" w:rsidRDefault="004002EF" w:rsidP="002D613F">
            <w:pPr>
              <w:pStyle w:val="ListParagraph"/>
              <w:numPr>
                <w:ilvl w:val="0"/>
                <w:numId w:val="34"/>
              </w:numPr>
              <w:shd w:val="clear" w:color="auto" w:fill="FFFFFF" w:themeFill="background1"/>
              <w:spacing w:before="40" w:after="40"/>
              <w:ind w:left="284" w:hanging="284"/>
              <w:contextualSpacing w:val="0"/>
              <w:rPr>
                <w:rFonts w:cs="Times New Roman"/>
                <w:szCs w:val="20"/>
              </w:rPr>
            </w:pPr>
            <w:r w:rsidRPr="0091450A">
              <w:rPr>
                <w:rFonts w:cs="Times New Roman"/>
                <w:szCs w:val="20"/>
              </w:rPr>
              <w:t>The funding programmes from MPI relate to Agriculture, Forestry, Environment and Natural Resources, Biosecurity and animal welfare</w:t>
            </w:r>
            <w:r w:rsidR="00E22D20" w:rsidRPr="0091450A">
              <w:rPr>
                <w:rFonts w:cs="Times New Roman"/>
                <w:szCs w:val="20"/>
              </w:rPr>
              <w:t xml:space="preserve"> and are not considered relevant</w:t>
            </w:r>
            <w:r w:rsidRPr="0091450A">
              <w:rPr>
                <w:rFonts w:cs="Times New Roman"/>
                <w:szCs w:val="20"/>
              </w:rPr>
              <w:t>.</w:t>
            </w:r>
          </w:p>
          <w:p w14:paraId="134A5D44" w14:textId="2B0620B9" w:rsidR="00795484" w:rsidRPr="0091450A" w:rsidRDefault="00B434E5" w:rsidP="002D613F">
            <w:pPr>
              <w:pStyle w:val="ListParagraph"/>
              <w:numPr>
                <w:ilvl w:val="0"/>
                <w:numId w:val="34"/>
              </w:numPr>
              <w:shd w:val="clear" w:color="auto" w:fill="FFFFFF" w:themeFill="background1"/>
              <w:spacing w:before="40" w:after="40"/>
              <w:ind w:left="284" w:hanging="284"/>
              <w:contextualSpacing w:val="0"/>
              <w:rPr>
                <w:rFonts w:cs="Times New Roman"/>
                <w:szCs w:val="20"/>
              </w:rPr>
            </w:pPr>
            <w:r w:rsidRPr="0091450A">
              <w:rPr>
                <w:rFonts w:cs="Times New Roman"/>
                <w:szCs w:val="20"/>
              </w:rPr>
              <w:t>The</w:t>
            </w:r>
            <w:r w:rsidR="00EC3382" w:rsidRPr="0091450A">
              <w:rPr>
                <w:rFonts w:cs="Times New Roman"/>
                <w:szCs w:val="20"/>
              </w:rPr>
              <w:t xml:space="preserve"> </w:t>
            </w:r>
            <w:r w:rsidR="00662599" w:rsidRPr="0091450A">
              <w:rPr>
                <w:rFonts w:cs="Times New Roman"/>
                <w:szCs w:val="20"/>
              </w:rPr>
              <w:t>High</w:t>
            </w:r>
            <w:r w:rsidR="001D7CB6">
              <w:rPr>
                <w:rFonts w:cs="Times New Roman"/>
                <w:szCs w:val="20"/>
              </w:rPr>
              <w:t>-</w:t>
            </w:r>
            <w:r w:rsidR="00662599" w:rsidRPr="0091450A">
              <w:rPr>
                <w:rFonts w:cs="Times New Roman"/>
                <w:szCs w:val="20"/>
              </w:rPr>
              <w:t>Va</w:t>
            </w:r>
            <w:r w:rsidR="00EC3382" w:rsidRPr="0091450A">
              <w:rPr>
                <w:rFonts w:cs="Times New Roman"/>
                <w:szCs w:val="20"/>
              </w:rPr>
              <w:t>lue Nutrition Science Challenge</w:t>
            </w:r>
            <w:r w:rsidRPr="0091450A">
              <w:rPr>
                <w:rFonts w:cs="Times New Roman"/>
                <w:szCs w:val="20"/>
              </w:rPr>
              <w:t xml:space="preserve"> is</w:t>
            </w:r>
            <w:r w:rsidR="00662599" w:rsidRPr="0091450A">
              <w:rPr>
                <w:rFonts w:cs="Times New Roman"/>
                <w:szCs w:val="20"/>
              </w:rPr>
              <w:t xml:space="preserve"> focused on increasing export revenues rather than population nutrition</w:t>
            </w:r>
            <w:r w:rsidR="00526FC2" w:rsidRPr="0091450A">
              <w:rPr>
                <w:rFonts w:cs="Times New Roman"/>
                <w:szCs w:val="20"/>
              </w:rPr>
              <w:t xml:space="preserve"> in New Zealand </w:t>
            </w:r>
            <w:r w:rsidR="00A9645C" w:rsidRPr="0091450A">
              <w:rPr>
                <w:rFonts w:cs="Times New Roman"/>
                <w:szCs w:val="20"/>
              </w:rPr>
              <w:fldChar w:fldCharType="begin" w:fldLock="1"/>
            </w:r>
            <w:r w:rsidR="00EC12A7">
              <w:rPr>
                <w:rFonts w:cs="Times New Roman"/>
                <w:szCs w:val="20"/>
              </w:rPr>
              <w:instrText>ADDIN CSL_CITATION {"citationItems":[{"id":"ITEM-1","itemData":{"URL":"https://www.highvaluenutrition.co.nz/about-us/vision-matauranga/","abstract":"High-Value Nutrition (HVN) is the National Science Challenge (NSC) with the mission to grow the science excellence and knowledge New Zealand needs to create and deliver food to the world that people choose to stay healthy and well. In delivering this mission, HVN seeks to give effect to the principles of Vision Mātauranga (VM), a government policy designed to give strategic direction to research of relevance to Māori.","accessed":{"date-parts":[["2020","1","20"]]},"author":[{"dropping-particle":"","family":"National Science Challenges","given":"","non-dropping-particle":"","parse-names":false,"suffix":""}],"id":"ITEM-1","issued":{"date-parts":[["2019"]]},"title":"Vision Mātauranga","type":"webpage"},"uris":["http://www.mendeley.com/documents/?uuid=53e263a0-4688-32e5-b8cc-ddd0d969d81c","http://www.mendeley.com/documents/?uuid=069d211e-4b9f-4af0-91eb-1c4c9ef7d792"]}],"mendeley":{"formattedCitation":"(252)","plainTextFormattedCitation":"(252)","previouslyFormattedCitation":"(252)"},"properties":{"noteIndex":0},"schema":"https://github.com/citation-style-language/schema/raw/master/csl-citation.json"}</w:instrText>
            </w:r>
            <w:r w:rsidR="00A9645C" w:rsidRPr="0091450A">
              <w:rPr>
                <w:rFonts w:cs="Times New Roman"/>
                <w:szCs w:val="20"/>
              </w:rPr>
              <w:fldChar w:fldCharType="separate"/>
            </w:r>
            <w:r w:rsidR="009C4029" w:rsidRPr="009C4029">
              <w:rPr>
                <w:rFonts w:cs="Times New Roman"/>
                <w:noProof/>
                <w:szCs w:val="20"/>
              </w:rPr>
              <w:t>(252)</w:t>
            </w:r>
            <w:r w:rsidR="00A9645C" w:rsidRPr="0091450A">
              <w:rPr>
                <w:rFonts w:cs="Times New Roman"/>
                <w:szCs w:val="20"/>
              </w:rPr>
              <w:fldChar w:fldCharType="end"/>
            </w:r>
            <w:r w:rsidR="00EC3382" w:rsidRPr="0091450A">
              <w:rPr>
                <w:rFonts w:cs="Times New Roman"/>
                <w:szCs w:val="20"/>
              </w:rPr>
              <w:t xml:space="preserve">. </w:t>
            </w:r>
          </w:p>
          <w:p w14:paraId="72613536" w14:textId="77777777" w:rsidR="00F26B3A" w:rsidRPr="0091450A" w:rsidRDefault="00B434E5" w:rsidP="002D613F">
            <w:pPr>
              <w:pStyle w:val="ListParagraph"/>
              <w:numPr>
                <w:ilvl w:val="0"/>
                <w:numId w:val="34"/>
              </w:numPr>
              <w:shd w:val="clear" w:color="auto" w:fill="FFFFFF" w:themeFill="background1"/>
              <w:spacing w:before="40" w:after="40"/>
              <w:ind w:left="284" w:hanging="284"/>
              <w:contextualSpacing w:val="0"/>
              <w:rPr>
                <w:rFonts w:cs="Times New Roman"/>
                <w:szCs w:val="20"/>
              </w:rPr>
            </w:pPr>
            <w:r w:rsidRPr="0091450A">
              <w:rPr>
                <w:rFonts w:cs="Times New Roman"/>
                <w:szCs w:val="20"/>
              </w:rPr>
              <w:t>T</w:t>
            </w:r>
            <w:r w:rsidRPr="0037477A">
              <w:rPr>
                <w:rFonts w:cs="Times New Roman"/>
                <w:szCs w:val="20"/>
              </w:rPr>
              <w:t xml:space="preserve">he National Science </w:t>
            </w:r>
            <w:r w:rsidR="00EC3382" w:rsidRPr="0037477A">
              <w:rPr>
                <w:rFonts w:cs="Times New Roman"/>
                <w:szCs w:val="20"/>
              </w:rPr>
              <w:t>Challenge:</w:t>
            </w:r>
          </w:p>
          <w:p w14:paraId="32FE071A" w14:textId="18821B44" w:rsidR="00662599" w:rsidRPr="0091450A" w:rsidRDefault="00662599" w:rsidP="002D613F">
            <w:pPr>
              <w:pStyle w:val="ListParagraph"/>
              <w:numPr>
                <w:ilvl w:val="0"/>
                <w:numId w:val="122"/>
              </w:numPr>
              <w:rPr>
                <w:rFonts w:cs="Times New Roman"/>
                <w:szCs w:val="20"/>
              </w:rPr>
            </w:pPr>
            <w:r w:rsidRPr="0091450A">
              <w:rPr>
                <w:rFonts w:cs="Times New Roman"/>
                <w:i/>
                <w:szCs w:val="20"/>
              </w:rPr>
              <w:t xml:space="preserve">‘A </w:t>
            </w:r>
            <w:r w:rsidR="0059584B" w:rsidRPr="0091450A">
              <w:rPr>
                <w:rFonts w:cs="Times New Roman"/>
                <w:i/>
                <w:szCs w:val="20"/>
              </w:rPr>
              <w:t>B</w:t>
            </w:r>
            <w:r w:rsidRPr="0091450A">
              <w:rPr>
                <w:rFonts w:cs="Times New Roman"/>
                <w:i/>
                <w:szCs w:val="20"/>
              </w:rPr>
              <w:t xml:space="preserve">etter </w:t>
            </w:r>
            <w:r w:rsidR="0059584B" w:rsidRPr="0091450A">
              <w:rPr>
                <w:rFonts w:cs="Times New Roman"/>
                <w:i/>
                <w:szCs w:val="20"/>
              </w:rPr>
              <w:t>S</w:t>
            </w:r>
            <w:r w:rsidRPr="0091450A">
              <w:rPr>
                <w:rFonts w:cs="Times New Roman"/>
                <w:i/>
                <w:szCs w:val="20"/>
              </w:rPr>
              <w:t>tart’</w:t>
            </w:r>
            <w:r w:rsidR="00EC3382" w:rsidRPr="0091450A">
              <w:rPr>
                <w:rFonts w:cs="Times New Roman"/>
                <w:szCs w:val="20"/>
              </w:rPr>
              <w:t xml:space="preserve"> </w:t>
            </w:r>
            <w:r w:rsidRPr="0091450A">
              <w:rPr>
                <w:rFonts w:cs="Times New Roman"/>
                <w:szCs w:val="20"/>
              </w:rPr>
              <w:t>is working to reduce obe</w:t>
            </w:r>
            <w:r w:rsidR="00EC3382" w:rsidRPr="0091450A">
              <w:rPr>
                <w:rFonts w:cs="Times New Roman"/>
                <w:szCs w:val="20"/>
              </w:rPr>
              <w:t>s</w:t>
            </w:r>
            <w:r w:rsidRPr="0091450A">
              <w:rPr>
                <w:rFonts w:cs="Times New Roman"/>
                <w:szCs w:val="20"/>
              </w:rPr>
              <w:t>ity and improve learning skills</w:t>
            </w:r>
            <w:r w:rsidR="00EC3382" w:rsidRPr="0091450A">
              <w:rPr>
                <w:rFonts w:cs="Times New Roman"/>
                <w:szCs w:val="20"/>
              </w:rPr>
              <w:t xml:space="preserve"> and mental he</w:t>
            </w:r>
            <w:r w:rsidRPr="0091450A">
              <w:rPr>
                <w:rFonts w:cs="Times New Roman"/>
                <w:szCs w:val="20"/>
              </w:rPr>
              <w:t>a</w:t>
            </w:r>
            <w:r w:rsidR="00EC3382" w:rsidRPr="0091450A">
              <w:rPr>
                <w:rFonts w:cs="Times New Roman"/>
                <w:szCs w:val="20"/>
              </w:rPr>
              <w:t>l</w:t>
            </w:r>
            <w:r w:rsidRPr="0091450A">
              <w:rPr>
                <w:rFonts w:cs="Times New Roman"/>
                <w:szCs w:val="20"/>
              </w:rPr>
              <w:t>th in NZ children</w:t>
            </w:r>
            <w:r w:rsidR="004D2E6C" w:rsidRPr="0091450A">
              <w:rPr>
                <w:rFonts w:cs="Times New Roman"/>
                <w:szCs w:val="20"/>
              </w:rPr>
              <w:t xml:space="preserve"> </w:t>
            </w:r>
            <w:r w:rsidR="00DB63FE" w:rsidRPr="0091450A">
              <w:rPr>
                <w:rFonts w:cs="Times New Roman"/>
                <w:szCs w:val="20"/>
              </w:rPr>
              <w:fldChar w:fldCharType="begin" w:fldLock="1"/>
            </w:r>
            <w:r w:rsidR="00EC12A7">
              <w:rPr>
                <w:rFonts w:cs="Times New Roman"/>
                <w:szCs w:val="20"/>
              </w:rPr>
              <w:instrText>ADDIN CSL_CITATION {"citationItems":[{"id":"ITEM-1","itemData":{"URL":"http://www.abetterstart.nz/en/our-challenge.html","author":[{"dropping-particle":"","family":"University of Auckland","given":"","non-dropping-particle":"","parse-names":false,"suffix":""}],"container-title":"Our Challenge: What is a better start?","id":"ITEM-1","issue":"2/12/2016","issued":{"date-parts":[["0"]]},"title":"No Title","type":"webpage"},"uris":["http://www.mendeley.com/documents/?uuid=37885e7f-095f-3ae1-af1f-4a1aa038595d","http://www.mendeley.com/documents/?uuid=befda01f-9b46-45c6-9651-ec99397a1807"]}],"mendeley":{"formattedCitation":"(253)","plainTextFormattedCitation":"(253)","previouslyFormattedCitation":"(253)"},"properties":{"noteIndex":0},"schema":"https://github.com/citation-style-language/schema/raw/master/csl-citation.json"}</w:instrText>
            </w:r>
            <w:r w:rsidR="00DB63FE" w:rsidRPr="0091450A">
              <w:rPr>
                <w:rFonts w:cs="Times New Roman"/>
                <w:szCs w:val="20"/>
              </w:rPr>
              <w:fldChar w:fldCharType="separate"/>
            </w:r>
            <w:r w:rsidR="009C4029" w:rsidRPr="009C4029">
              <w:rPr>
                <w:rFonts w:cs="Times New Roman"/>
                <w:noProof/>
                <w:szCs w:val="20"/>
              </w:rPr>
              <w:t>(253)</w:t>
            </w:r>
            <w:r w:rsidR="00DB63FE" w:rsidRPr="0091450A">
              <w:rPr>
                <w:rFonts w:cs="Times New Roman"/>
                <w:szCs w:val="20"/>
              </w:rPr>
              <w:fldChar w:fldCharType="end"/>
            </w:r>
            <w:r w:rsidRPr="0091450A">
              <w:rPr>
                <w:rFonts w:cs="Times New Roman"/>
                <w:szCs w:val="20"/>
              </w:rPr>
              <w:t xml:space="preserve">. </w:t>
            </w:r>
            <w:r w:rsidR="00B434E5" w:rsidRPr="0091450A">
              <w:rPr>
                <w:rFonts w:cs="Times New Roman"/>
                <w:szCs w:val="20"/>
              </w:rPr>
              <w:t>The m</w:t>
            </w:r>
            <w:r w:rsidRPr="0091450A">
              <w:rPr>
                <w:rFonts w:cs="Times New Roman"/>
                <w:szCs w:val="20"/>
              </w:rPr>
              <w:t>ission</w:t>
            </w:r>
            <w:r w:rsidR="00795484" w:rsidRPr="0091450A">
              <w:rPr>
                <w:rFonts w:cs="Times New Roman"/>
                <w:szCs w:val="20"/>
              </w:rPr>
              <w:t xml:space="preserve"> </w:t>
            </w:r>
            <w:r w:rsidR="00B434E5" w:rsidRPr="0091450A">
              <w:rPr>
                <w:rFonts w:cs="Times New Roman"/>
                <w:szCs w:val="20"/>
              </w:rPr>
              <w:t xml:space="preserve">is </w:t>
            </w:r>
            <w:r w:rsidR="00795484" w:rsidRPr="0091450A">
              <w:rPr>
                <w:rFonts w:cs="Times New Roman"/>
                <w:szCs w:val="20"/>
              </w:rPr>
              <w:t>to find better ways to predict</w:t>
            </w:r>
            <w:r w:rsidRPr="0091450A">
              <w:rPr>
                <w:rFonts w:cs="Times New Roman"/>
                <w:szCs w:val="20"/>
              </w:rPr>
              <w:t>, prevent and treat obesity, learning and men</w:t>
            </w:r>
            <w:r w:rsidR="00613A08" w:rsidRPr="0091450A">
              <w:rPr>
                <w:rFonts w:cs="Times New Roman"/>
                <w:szCs w:val="20"/>
              </w:rPr>
              <w:t>t</w:t>
            </w:r>
            <w:r w:rsidR="00795484" w:rsidRPr="0091450A">
              <w:rPr>
                <w:rFonts w:cs="Times New Roman"/>
                <w:szCs w:val="20"/>
              </w:rPr>
              <w:t>al he</w:t>
            </w:r>
            <w:r w:rsidRPr="0091450A">
              <w:rPr>
                <w:rFonts w:cs="Times New Roman"/>
                <w:szCs w:val="20"/>
              </w:rPr>
              <w:t>a</w:t>
            </w:r>
            <w:r w:rsidR="00795484" w:rsidRPr="0091450A">
              <w:rPr>
                <w:rFonts w:cs="Times New Roman"/>
                <w:szCs w:val="20"/>
              </w:rPr>
              <w:t>l</w:t>
            </w:r>
            <w:r w:rsidRPr="0091450A">
              <w:rPr>
                <w:rFonts w:cs="Times New Roman"/>
                <w:szCs w:val="20"/>
              </w:rPr>
              <w:t xml:space="preserve">th problems in NZ children and teenagers. </w:t>
            </w:r>
            <w:r w:rsidR="00B434E5" w:rsidRPr="0091450A">
              <w:rPr>
                <w:rFonts w:cs="Times New Roman"/>
                <w:szCs w:val="20"/>
              </w:rPr>
              <w:t>The work is a c</w:t>
            </w:r>
            <w:r w:rsidR="00613A08" w:rsidRPr="0091450A">
              <w:rPr>
                <w:rFonts w:cs="Times New Roman"/>
                <w:szCs w:val="20"/>
              </w:rPr>
              <w:t xml:space="preserve">ollaboration of experts and institutions. </w:t>
            </w:r>
            <w:r w:rsidR="00B434E5" w:rsidRPr="0091450A">
              <w:rPr>
                <w:rFonts w:cs="Times New Roman"/>
                <w:szCs w:val="20"/>
              </w:rPr>
              <w:t>The focus is c</w:t>
            </w:r>
            <w:r w:rsidR="00613A08" w:rsidRPr="0091450A">
              <w:rPr>
                <w:rFonts w:cs="Times New Roman"/>
                <w:szCs w:val="20"/>
              </w:rPr>
              <w:t>hildren early in life</w:t>
            </w:r>
            <w:r w:rsidR="00795484" w:rsidRPr="0091450A">
              <w:rPr>
                <w:rFonts w:cs="Times New Roman"/>
                <w:szCs w:val="20"/>
              </w:rPr>
              <w:t xml:space="preserve"> and</w:t>
            </w:r>
            <w:r w:rsidR="00613A08" w:rsidRPr="0091450A">
              <w:rPr>
                <w:rFonts w:cs="Times New Roman"/>
                <w:szCs w:val="20"/>
              </w:rPr>
              <w:t xml:space="preserve"> most in need (M</w:t>
            </w:r>
            <w:r w:rsidR="0084185A">
              <w:rPr>
                <w:rFonts w:cs="Times New Roman"/>
                <w:szCs w:val="20"/>
                <w:lang w:val="mi-NZ"/>
              </w:rPr>
              <w:t>ā</w:t>
            </w:r>
            <w:proofErr w:type="spellStart"/>
            <w:r w:rsidR="00613A08" w:rsidRPr="0091450A">
              <w:rPr>
                <w:rFonts w:cs="Times New Roman"/>
                <w:szCs w:val="20"/>
              </w:rPr>
              <w:t>ori</w:t>
            </w:r>
            <w:proofErr w:type="spellEnd"/>
            <w:r w:rsidR="00613A08" w:rsidRPr="0091450A">
              <w:rPr>
                <w:rFonts w:cs="Times New Roman"/>
                <w:szCs w:val="20"/>
              </w:rPr>
              <w:t xml:space="preserve">, Pacific, poorer children), </w:t>
            </w:r>
            <w:r w:rsidR="00B434E5" w:rsidRPr="0091450A">
              <w:rPr>
                <w:rFonts w:cs="Times New Roman"/>
                <w:szCs w:val="20"/>
              </w:rPr>
              <w:t>to engage families and communities and</w:t>
            </w:r>
            <w:r w:rsidR="00613A08" w:rsidRPr="0091450A">
              <w:rPr>
                <w:rFonts w:cs="Times New Roman"/>
                <w:szCs w:val="20"/>
              </w:rPr>
              <w:t xml:space="preserve"> take a holistic approach to obesity, learning and mental health difficulties.</w:t>
            </w:r>
            <w:r w:rsidR="00651244" w:rsidRPr="0091450A">
              <w:rPr>
                <w:rFonts w:cs="Times New Roman"/>
                <w:szCs w:val="20"/>
              </w:rPr>
              <w:t xml:space="preserve"> </w:t>
            </w:r>
            <w:r w:rsidR="00B434E5" w:rsidRPr="0091450A">
              <w:rPr>
                <w:rFonts w:cs="Times New Roman"/>
                <w:szCs w:val="20"/>
              </w:rPr>
              <w:t>Funding is</w:t>
            </w:r>
            <w:r w:rsidR="00613A08" w:rsidRPr="0091450A">
              <w:rPr>
                <w:rFonts w:cs="Times New Roman"/>
                <w:szCs w:val="20"/>
              </w:rPr>
              <w:t xml:space="preserve"> $34.7 million over ten years 2015-2024. </w:t>
            </w:r>
            <w:r w:rsidR="00B434E5" w:rsidRPr="0091450A">
              <w:rPr>
                <w:rFonts w:cs="Times New Roman"/>
                <w:szCs w:val="20"/>
              </w:rPr>
              <w:t>It is h</w:t>
            </w:r>
            <w:r w:rsidR="00613A08" w:rsidRPr="0091450A">
              <w:rPr>
                <w:rFonts w:cs="Times New Roman"/>
                <w:szCs w:val="20"/>
              </w:rPr>
              <w:t>ost</w:t>
            </w:r>
            <w:r w:rsidR="00987664" w:rsidRPr="0091450A">
              <w:rPr>
                <w:rFonts w:cs="Times New Roman"/>
                <w:szCs w:val="20"/>
              </w:rPr>
              <w:t>e</w:t>
            </w:r>
            <w:r w:rsidR="00613A08" w:rsidRPr="0091450A">
              <w:rPr>
                <w:rFonts w:cs="Times New Roman"/>
                <w:szCs w:val="20"/>
              </w:rPr>
              <w:t xml:space="preserve">d by </w:t>
            </w:r>
            <w:proofErr w:type="spellStart"/>
            <w:r w:rsidR="00613A08" w:rsidRPr="0091450A">
              <w:rPr>
                <w:rFonts w:cs="Times New Roman"/>
                <w:szCs w:val="20"/>
              </w:rPr>
              <w:t>Liggins</w:t>
            </w:r>
            <w:proofErr w:type="spellEnd"/>
            <w:r w:rsidR="00613A08" w:rsidRPr="0091450A">
              <w:rPr>
                <w:rFonts w:cs="Times New Roman"/>
                <w:szCs w:val="20"/>
              </w:rPr>
              <w:t xml:space="preserve"> Institute.</w:t>
            </w:r>
            <w:r w:rsidR="00F55797" w:rsidRPr="0091450A">
              <w:rPr>
                <w:rFonts w:cs="Times New Roman"/>
                <w:szCs w:val="20"/>
              </w:rPr>
              <w:t xml:space="preserve"> </w:t>
            </w:r>
            <w:r w:rsidR="003D0EA9" w:rsidRPr="0091450A">
              <w:rPr>
                <w:rFonts w:cs="Times New Roman"/>
                <w:szCs w:val="20"/>
              </w:rPr>
              <w:t>Themes have recently been re</w:t>
            </w:r>
            <w:r w:rsidR="00C80E3D" w:rsidRPr="0091450A">
              <w:rPr>
                <w:rFonts w:cs="Times New Roman"/>
                <w:szCs w:val="20"/>
              </w:rPr>
              <w:t xml:space="preserve">-titled in positive, non-deficit language with obesity now </w:t>
            </w:r>
            <w:r w:rsidR="005B0FDC" w:rsidRPr="0091450A">
              <w:rPr>
                <w:rFonts w:cs="Times New Roman"/>
                <w:szCs w:val="20"/>
              </w:rPr>
              <w:t>referred to as ‘healthy weight’</w:t>
            </w:r>
            <w:r w:rsidR="00F5368E" w:rsidRPr="0091450A">
              <w:rPr>
                <w:rFonts w:cs="Times New Roman"/>
                <w:szCs w:val="20"/>
              </w:rPr>
              <w:t xml:space="preserve"> </w:t>
            </w:r>
            <w:r w:rsidR="002D005D" w:rsidRPr="0091450A">
              <w:rPr>
                <w:rFonts w:cs="Times New Roman"/>
                <w:szCs w:val="20"/>
              </w:rPr>
              <w:fldChar w:fldCharType="begin" w:fldLock="1"/>
            </w:r>
            <w:r w:rsidR="00EC12A7">
              <w:rPr>
                <w:rFonts w:cs="Times New Roman"/>
                <w:szCs w:val="20"/>
              </w:rPr>
              <w:instrText>ADDIN CSL_CITATION {"citationItems":[{"id":"ITEM-1","itemData":{"author":[{"dropping-particle":"","family":"National Science Challenges","given":"","non-dropping-particle":"","parse-names":false,"suffix":""}],"id":"ITEM-1","issued":{"date-parts":[["2019"]]},"title":"A BETTER START Future Strategy 2019-2024","type":"report"},"uris":["http://www.mendeley.com/documents/?uuid=b4ca0563-73e3-33cb-a6e3-088e1f9b16e8","http://www.mendeley.com/documents/?uuid=864f496f-d955-4145-a981-c3a5a30a9868"]}],"mendeley":{"formattedCitation":"(254)","plainTextFormattedCitation":"(254)","previouslyFormattedCitation":"(254)"},"properties":{"noteIndex":0},"schema":"https://github.com/citation-style-language/schema/raw/master/csl-citation.json"}</w:instrText>
            </w:r>
            <w:r w:rsidR="002D005D" w:rsidRPr="0091450A">
              <w:rPr>
                <w:rFonts w:cs="Times New Roman"/>
                <w:szCs w:val="20"/>
              </w:rPr>
              <w:fldChar w:fldCharType="separate"/>
            </w:r>
            <w:r w:rsidR="009C4029" w:rsidRPr="009C4029">
              <w:rPr>
                <w:rFonts w:cs="Times New Roman"/>
                <w:noProof/>
                <w:szCs w:val="20"/>
              </w:rPr>
              <w:t>(254)</w:t>
            </w:r>
            <w:r w:rsidR="002D005D" w:rsidRPr="0091450A">
              <w:rPr>
                <w:rFonts w:cs="Times New Roman"/>
                <w:szCs w:val="20"/>
              </w:rPr>
              <w:fldChar w:fldCharType="end"/>
            </w:r>
            <w:r w:rsidR="002D005D" w:rsidRPr="0091450A">
              <w:rPr>
                <w:rFonts w:cs="Times New Roman"/>
                <w:szCs w:val="20"/>
              </w:rPr>
              <w:t>.</w:t>
            </w:r>
            <w:r w:rsidR="005B0FDC" w:rsidRPr="0091450A">
              <w:rPr>
                <w:rFonts w:cs="Times New Roman"/>
                <w:szCs w:val="20"/>
              </w:rPr>
              <w:t xml:space="preserve"> </w:t>
            </w:r>
            <w:r w:rsidR="00F55797" w:rsidRPr="0091450A">
              <w:rPr>
                <w:rFonts w:cs="Times New Roman"/>
                <w:szCs w:val="20"/>
              </w:rPr>
              <w:t xml:space="preserve">In 2017, ‘A Better Start’ and Cure Kids </w:t>
            </w:r>
            <w:r w:rsidR="003F31FA" w:rsidRPr="0091450A">
              <w:rPr>
                <w:rFonts w:cs="Times New Roman"/>
                <w:szCs w:val="20"/>
              </w:rPr>
              <w:t>launched</w:t>
            </w:r>
            <w:r w:rsidR="00F55797" w:rsidRPr="0091450A">
              <w:rPr>
                <w:rFonts w:cs="Times New Roman"/>
                <w:szCs w:val="20"/>
              </w:rPr>
              <w:t xml:space="preserve"> a $2.8million pool to fund research to find better ways to reduce childhood obesity along with literacy, mental </w:t>
            </w:r>
            <w:r w:rsidR="003F31FA" w:rsidRPr="0091450A">
              <w:rPr>
                <w:rFonts w:cs="Times New Roman"/>
                <w:szCs w:val="20"/>
              </w:rPr>
              <w:t>health</w:t>
            </w:r>
            <w:r w:rsidR="00F55797" w:rsidRPr="0091450A">
              <w:rPr>
                <w:rFonts w:cs="Times New Roman"/>
                <w:szCs w:val="20"/>
              </w:rPr>
              <w:t xml:space="preserve"> and </w:t>
            </w:r>
            <w:r w:rsidR="00976CDC" w:rsidRPr="0091450A">
              <w:rPr>
                <w:rFonts w:cs="Times New Roman"/>
                <w:szCs w:val="20"/>
              </w:rPr>
              <w:t>Autism</w:t>
            </w:r>
            <w:r w:rsidR="00F55797" w:rsidRPr="0091450A">
              <w:rPr>
                <w:rFonts w:cs="Times New Roman"/>
                <w:szCs w:val="20"/>
              </w:rPr>
              <w:t xml:space="preserve"> Spectrum Disorders </w:t>
            </w:r>
            <w:r w:rsidR="00DB63FE" w:rsidRPr="0091450A">
              <w:rPr>
                <w:rFonts w:cs="Times New Roman"/>
                <w:szCs w:val="20"/>
              </w:rPr>
              <w:fldChar w:fldCharType="begin" w:fldLock="1"/>
            </w:r>
            <w:r w:rsidR="00EC12A7">
              <w:rPr>
                <w:rFonts w:cs="Times New Roman"/>
                <w:szCs w:val="20"/>
              </w:rPr>
              <w:instrText>ADDIN CSL_CITATION {"citationItems":[{"id":"ITEM-1","itemData":{"URL":"http://curekids.org.nz/news/innovative-child-health-research-fund-launches/","author":[{"dropping-particle":"","family":"Cure Kids","given":"","non-dropping-particle":"","parse-names":false,"suffix":""}],"id":"ITEM-1","issue":"21/4/2017","issued":{"date-parts":[["2017"]]},"title":"Innovative child health research fund launches","type":"webpage"},"uris":["http://www.mendeley.com/documents/?uuid=53d74c0f-629e-3d6a-ae08-508e317c20ce","http://www.mendeley.com/documents/?uuid=0b4c6ce4-d990-41ba-9ffb-b0bfbf28882c"]}],"mendeley":{"formattedCitation":"(255)","plainTextFormattedCitation":"(255)","previouslyFormattedCitation":"(255)"},"properties":{"noteIndex":0},"schema":"https://github.com/citation-style-language/schema/raw/master/csl-citation.json"}</w:instrText>
            </w:r>
            <w:r w:rsidR="00DB63FE" w:rsidRPr="0091450A">
              <w:rPr>
                <w:rFonts w:cs="Times New Roman"/>
                <w:szCs w:val="20"/>
              </w:rPr>
              <w:fldChar w:fldCharType="separate"/>
            </w:r>
            <w:r w:rsidR="009C4029" w:rsidRPr="009C4029">
              <w:rPr>
                <w:rFonts w:cs="Times New Roman"/>
                <w:noProof/>
                <w:szCs w:val="20"/>
              </w:rPr>
              <w:t>(255)</w:t>
            </w:r>
            <w:r w:rsidR="00DB63FE" w:rsidRPr="0091450A">
              <w:rPr>
                <w:rFonts w:cs="Times New Roman"/>
                <w:szCs w:val="20"/>
              </w:rPr>
              <w:fldChar w:fldCharType="end"/>
            </w:r>
            <w:r w:rsidR="007D2186" w:rsidRPr="0091450A">
              <w:rPr>
                <w:rFonts w:cs="Times New Roman"/>
                <w:szCs w:val="20"/>
              </w:rPr>
              <w:t>.</w:t>
            </w:r>
            <w:r w:rsidR="00F55797" w:rsidRPr="0091450A">
              <w:rPr>
                <w:rFonts w:cs="Times New Roman"/>
                <w:szCs w:val="20"/>
              </w:rPr>
              <w:t xml:space="preserve"> </w:t>
            </w:r>
          </w:p>
          <w:p w14:paraId="41583DF6" w14:textId="4F8CCAE8" w:rsidR="00996A7E" w:rsidRPr="0091450A" w:rsidRDefault="00B434E5" w:rsidP="002D613F">
            <w:pPr>
              <w:pStyle w:val="ListParagraph"/>
              <w:numPr>
                <w:ilvl w:val="0"/>
                <w:numId w:val="122"/>
              </w:numPr>
            </w:pPr>
            <w:r w:rsidRPr="0091450A">
              <w:t xml:space="preserve">The </w:t>
            </w:r>
            <w:r w:rsidR="00613A08" w:rsidRPr="0091450A">
              <w:t>Healthier Lives challenge is undertaking innovative research aimed at reducing death and disease burden from NCDs (cancer, CVD, diabetes, obesity)</w:t>
            </w:r>
            <w:r w:rsidR="004D2E6C" w:rsidRPr="0091450A">
              <w:t xml:space="preserve"> </w:t>
            </w:r>
            <w:r w:rsidR="007D2186" w:rsidRPr="0091450A">
              <w:fldChar w:fldCharType="begin" w:fldLock="1"/>
            </w:r>
            <w:r w:rsidR="00EC12A7">
              <w:instrText>ADDIN CSL_CITATION {"citationItems":[{"id":"ITEM-1","itemData":{"URL":"http://www.mbie.govt.nz/info-services/science-innovation/national-science-challenges/healthier-lives","author":[{"dropping-particle":"","family":"Ministry of Business","given":"Innovation and Employment","non-dropping-particle":"","parse-names":false,"suffix":""}],"id":"ITEM-1","issue":"1/12/2016","issued":{"date-parts":[["2016"]]},"title":"Healthier Lives","type":"webpage"},"uris":["http://www.mendeley.com/documents/?uuid=4517c985-4800-3421-b10a-8cf888899f9f","http://www.mendeley.com/documents/?uuid=e209123f-bbf8-4fe3-83b1-e834f019dc6a"]}],"mendeley":{"formattedCitation":"(256)","plainTextFormattedCitation":"(256)","previouslyFormattedCitation":"(256)"},"properties":{"noteIndex":0},"schema":"https://github.com/citation-style-language/schema/raw/master/csl-citation.json"}</w:instrText>
            </w:r>
            <w:r w:rsidR="007D2186" w:rsidRPr="0091450A">
              <w:fldChar w:fldCharType="separate"/>
            </w:r>
            <w:r w:rsidR="009C4029" w:rsidRPr="009C4029">
              <w:rPr>
                <w:noProof/>
              </w:rPr>
              <w:t>(256)</w:t>
            </w:r>
            <w:r w:rsidR="007D2186" w:rsidRPr="0091450A">
              <w:fldChar w:fldCharType="end"/>
            </w:r>
            <w:r w:rsidR="00367800" w:rsidRPr="0091450A">
              <w:t xml:space="preserve"> pr</w:t>
            </w:r>
            <w:r w:rsidR="00613A08" w:rsidRPr="0091450A">
              <w:t xml:space="preserve">evention and treatment. </w:t>
            </w:r>
            <w:r w:rsidRPr="0091450A">
              <w:t xml:space="preserve">There is </w:t>
            </w:r>
            <w:r w:rsidR="00843455">
              <w:t xml:space="preserve">a </w:t>
            </w:r>
            <w:r w:rsidRPr="0091450A">
              <w:t>commitment to</w:t>
            </w:r>
            <w:r w:rsidR="00613A08" w:rsidRPr="0091450A">
              <w:t xml:space="preserve"> WHO goals of reducing </w:t>
            </w:r>
            <w:r w:rsidR="00843455">
              <w:t xml:space="preserve">the </w:t>
            </w:r>
            <w:r w:rsidR="00613A08" w:rsidRPr="0091450A">
              <w:t>burden of NCDs by 25% by 2025 and reducing health inequalities between populations by 25% by 2025</w:t>
            </w:r>
            <w:r w:rsidR="00B71967" w:rsidRPr="0091450A">
              <w:t xml:space="preserve">. </w:t>
            </w:r>
            <w:r w:rsidRPr="0091450A">
              <w:t>There is f</w:t>
            </w:r>
            <w:r w:rsidR="00B71967" w:rsidRPr="0091450A">
              <w:t>unding up to $31.3 million over 10 years</w:t>
            </w:r>
            <w:r w:rsidR="00003D37" w:rsidRPr="0091450A">
              <w:t xml:space="preserve"> </w:t>
            </w:r>
            <w:r w:rsidR="007D2186" w:rsidRPr="0091450A">
              <w:fldChar w:fldCharType="begin" w:fldLock="1"/>
            </w:r>
            <w:r w:rsidR="00EC12A7">
              <w:instrText>ADDIN CSL_CITATION {"citationItems":[{"id":"ITEM-1","itemData":{"URL":"http://www.mbie.govt.nz/info-services/science-innovation/national-science-challenges/healthier-lives","author":[{"dropping-particle":"","family":"Ministry of Business","given":"Innovation and Employment","non-dropping-particle":"","parse-names":false,"suffix":""}],"id":"ITEM-1","issue":"1/12/2016","issued":{"date-parts":[["2016"]]},"title":"Healthier Lives","type":"webpage"},"uris":["http://www.mendeley.com/documents/?uuid=e209123f-bbf8-4fe3-83b1-e834f019dc6a","http://www.mendeley.com/documents/?uuid=4517c985-4800-3421-b10a-8cf888899f9f"]}],"mendeley":{"formattedCitation":"(256)","plainTextFormattedCitation":"(256)","previouslyFormattedCitation":"(256)"},"properties":{"noteIndex":0},"schema":"https://github.com/citation-style-language/schema/raw/master/csl-citation.json"}</w:instrText>
            </w:r>
            <w:r w:rsidR="007D2186" w:rsidRPr="0091450A">
              <w:fldChar w:fldCharType="separate"/>
            </w:r>
            <w:r w:rsidR="009C4029" w:rsidRPr="009C4029">
              <w:rPr>
                <w:noProof/>
              </w:rPr>
              <w:t>(256)</w:t>
            </w:r>
            <w:r w:rsidR="007D2186" w:rsidRPr="0091450A">
              <w:fldChar w:fldCharType="end"/>
            </w:r>
            <w:r w:rsidR="007D2186" w:rsidRPr="0091450A">
              <w:t>.</w:t>
            </w:r>
            <w:r w:rsidR="00001361" w:rsidRPr="0091450A">
              <w:t xml:space="preserve"> </w:t>
            </w:r>
          </w:p>
          <w:p w14:paraId="52486574" w14:textId="17F522A3" w:rsidR="007B0817" w:rsidRPr="0091450A" w:rsidRDefault="00153B6A" w:rsidP="002D613F">
            <w:pPr>
              <w:pStyle w:val="ListParagraph"/>
              <w:numPr>
                <w:ilvl w:val="0"/>
                <w:numId w:val="122"/>
              </w:numPr>
            </w:pPr>
            <w:r w:rsidRPr="00F50A2C">
              <w:rPr>
                <w:rFonts w:cs="Times New Roman"/>
                <w:i/>
                <w:szCs w:val="20"/>
              </w:rPr>
              <w:t xml:space="preserve">Ageing </w:t>
            </w:r>
            <w:r w:rsidR="0059584B" w:rsidRPr="00F50A2C">
              <w:rPr>
                <w:rFonts w:cs="Times New Roman"/>
                <w:i/>
                <w:szCs w:val="20"/>
              </w:rPr>
              <w:t>W</w:t>
            </w:r>
            <w:r w:rsidRPr="00F50A2C">
              <w:rPr>
                <w:rFonts w:cs="Times New Roman"/>
                <w:i/>
                <w:szCs w:val="20"/>
              </w:rPr>
              <w:t>ell</w:t>
            </w:r>
            <w:r w:rsidR="009E50EC" w:rsidRPr="00F50A2C">
              <w:rPr>
                <w:rFonts w:cs="Times New Roman"/>
                <w:szCs w:val="20"/>
              </w:rPr>
              <w:t xml:space="preserve"> </w:t>
            </w:r>
            <w:r w:rsidR="00390157" w:rsidRPr="00F50A2C">
              <w:rPr>
                <w:rFonts w:cs="Times New Roman"/>
                <w:szCs w:val="20"/>
              </w:rPr>
              <w:t>has a</w:t>
            </w:r>
            <w:r w:rsidR="00390157" w:rsidRPr="0091450A">
              <w:rPr>
                <w:rFonts w:cs="Times New Roman"/>
                <w:szCs w:val="20"/>
              </w:rPr>
              <w:t xml:space="preserve"> research stream </w:t>
            </w:r>
            <w:r w:rsidR="00996A7E" w:rsidRPr="0091450A">
              <w:rPr>
                <w:rFonts w:cs="Times New Roman"/>
                <w:szCs w:val="20"/>
              </w:rPr>
              <w:t>‘</w:t>
            </w:r>
            <w:r w:rsidR="009E50EC" w:rsidRPr="0091450A">
              <w:t xml:space="preserve">Staying </w:t>
            </w:r>
            <w:proofErr w:type="spellStart"/>
            <w:r w:rsidR="009E50EC" w:rsidRPr="0091450A">
              <w:t>UPright</w:t>
            </w:r>
            <w:proofErr w:type="spellEnd"/>
            <w:r w:rsidR="009E50EC" w:rsidRPr="0091450A">
              <w:t xml:space="preserve"> and Eating well</w:t>
            </w:r>
            <w:r w:rsidR="00390157" w:rsidRPr="0091450A">
              <w:t xml:space="preserve">’ </w:t>
            </w:r>
            <w:r w:rsidR="009E50EC" w:rsidRPr="0091450A">
              <w:t>(SUPER), aim</w:t>
            </w:r>
            <w:r w:rsidR="00996A7E" w:rsidRPr="0091450A">
              <w:t>ing</w:t>
            </w:r>
            <w:r w:rsidR="009E50EC" w:rsidRPr="0091450A">
              <w:t xml:space="preserve"> to test the impact and cost-effectiveness of physical activity and/or nutrition, and social group attendance, to reduce frailty and falls of older people</w:t>
            </w:r>
            <w:r w:rsidR="00B25915" w:rsidRPr="0091450A">
              <w:t xml:space="preserve"> </w:t>
            </w:r>
            <w:r w:rsidR="0054396D" w:rsidRPr="0091450A">
              <w:fldChar w:fldCharType="begin" w:fldLock="1"/>
            </w:r>
            <w:r w:rsidR="00EC12A7">
              <w:instrText>ADDIN CSL_CITATION {"citationItems":[{"id":"ITEM-1","itemData":{"URL":"https://www.ageingwellchallenge.co.nz/research/staying-upright-and-eating-well/","accessed":{"date-parts":[["2020","1","20"]]},"author":[{"dropping-particle":"","family":"National Science Challenge","given":"","non-dropping-particle":"","parse-names":false,"suffix":""}],"id":"ITEM-1","issued":{"date-parts":[["2019"]]},"title":"Staying Upright and Eating Well – Ageing Well ","type":"webpage"},"uris":["http://www.mendeley.com/documents/?uuid=0e31da90-e0e4-3023-aec6-f8c0b6e73cdb","http://www.mendeley.com/documents/?uuid=651211ee-78ea-4763-a172-2120a62740cf"]}],"mendeley":{"formattedCitation":"(257)","plainTextFormattedCitation":"(257)","previouslyFormattedCitation":"(257)"},"properties":{"noteIndex":0},"schema":"https://github.com/citation-style-language/schema/raw/master/csl-citation.json"}</w:instrText>
            </w:r>
            <w:r w:rsidR="0054396D" w:rsidRPr="0091450A">
              <w:fldChar w:fldCharType="separate"/>
            </w:r>
            <w:r w:rsidR="009C4029" w:rsidRPr="009C4029">
              <w:rPr>
                <w:noProof/>
              </w:rPr>
              <w:t>(257)</w:t>
            </w:r>
            <w:r w:rsidR="0054396D" w:rsidRPr="0091450A">
              <w:fldChar w:fldCharType="end"/>
            </w:r>
            <w:r w:rsidR="009E50EC" w:rsidRPr="0091450A">
              <w:t>.</w:t>
            </w:r>
          </w:p>
          <w:p w14:paraId="3ED1AE09" w14:textId="37FA535F" w:rsidR="00891561" w:rsidRPr="0091450A" w:rsidRDefault="0059584B" w:rsidP="002D613F">
            <w:pPr>
              <w:pStyle w:val="ListParagraph"/>
              <w:numPr>
                <w:ilvl w:val="0"/>
                <w:numId w:val="122"/>
              </w:numPr>
              <w:rPr>
                <w:rFonts w:cs="Times New Roman"/>
                <w:szCs w:val="20"/>
              </w:rPr>
            </w:pPr>
            <w:r w:rsidRPr="0091450A">
              <w:rPr>
                <w:iCs/>
              </w:rPr>
              <w:t xml:space="preserve">The </w:t>
            </w:r>
            <w:r w:rsidR="007C6B22" w:rsidRPr="0091450A">
              <w:rPr>
                <w:i/>
              </w:rPr>
              <w:t>Life Course Project</w:t>
            </w:r>
            <w:r w:rsidR="007C6B22" w:rsidRPr="0091450A">
              <w:t xml:space="preserve"> is a collaborati</w:t>
            </w:r>
            <w:r w:rsidRPr="0091450A">
              <w:t>on</w:t>
            </w:r>
            <w:r w:rsidR="007C6B22" w:rsidRPr="0091450A">
              <w:t xml:space="preserve"> with the two health and well-being National Science Challenges, Healthier Lives and Ageing Well. This initiative focuses on a life course perspective on health and well-being throughout the life span to intervene and reduce the impact of illness through early detection and prevention. The work will capture synergies across the three Challenges to form an approach to achieve a long, healthy, well-adjusted and productive life by examining early risk factors and associations for later disease, together with </w:t>
            </w:r>
            <w:r w:rsidR="00843455">
              <w:t xml:space="preserve">the </w:t>
            </w:r>
            <w:r w:rsidR="007C6B22" w:rsidRPr="0091450A">
              <w:t xml:space="preserve">prevention of major illnesses and methods to quantify the health and economic benefits of avoidance of non-communicable disease </w:t>
            </w:r>
            <w:r w:rsidR="007C6B22" w:rsidRPr="0091450A">
              <w:rPr>
                <w:rFonts w:cs="Times New Roman"/>
                <w:szCs w:val="20"/>
              </w:rPr>
              <w:fldChar w:fldCharType="begin" w:fldLock="1"/>
            </w:r>
            <w:r w:rsidR="00EC12A7">
              <w:rPr>
                <w:rFonts w:cs="Times New Roman"/>
                <w:szCs w:val="20"/>
              </w:rPr>
              <w:instrText>ADDIN CSL_CITATION {"citationItems":[{"id":"ITEM-1","itemData":{"URL":"http://www.mbie.govt.nz/info-services/science-innovation/national-science-challenges/healthier-lives","author":[{"dropping-particle":"","family":"Ministry of Business","given":"Innovation and Employment","non-dropping-particle":"","parse-names":false,"suffix":""}],"id":"ITEM-1","issue":"1/12/2016","issued":{"date-parts":[["2016"]]},"title":"Healthier Lives","type":"webpage"},"uris":["http://www.mendeley.com/documents/?uuid=e209123f-bbf8-4fe3-83b1-e834f019dc6a","http://www.mendeley.com/documents/?uuid=4517c985-4800-3421-b10a-8cf888899f9f"]}],"mendeley":{"formattedCitation":"(256)","plainTextFormattedCitation":"(256)","previouslyFormattedCitation":"(256)"},"properties":{"noteIndex":0},"schema":"https://github.com/citation-style-language/schema/raw/master/csl-citation.json"}</w:instrText>
            </w:r>
            <w:r w:rsidR="007C6B22" w:rsidRPr="0091450A">
              <w:rPr>
                <w:rFonts w:cs="Times New Roman"/>
                <w:szCs w:val="20"/>
              </w:rPr>
              <w:fldChar w:fldCharType="separate"/>
            </w:r>
            <w:r w:rsidR="009C4029" w:rsidRPr="009C4029">
              <w:rPr>
                <w:rFonts w:cs="Times New Roman"/>
                <w:noProof/>
                <w:szCs w:val="20"/>
              </w:rPr>
              <w:t>(256)</w:t>
            </w:r>
            <w:r w:rsidR="007C6B22" w:rsidRPr="0091450A">
              <w:rPr>
                <w:rFonts w:cs="Times New Roman"/>
                <w:szCs w:val="20"/>
              </w:rPr>
              <w:fldChar w:fldCharType="end"/>
            </w:r>
            <w:r w:rsidR="007C6B22" w:rsidRPr="0091450A">
              <w:rPr>
                <w:rFonts w:cs="Times New Roman"/>
                <w:szCs w:val="20"/>
              </w:rPr>
              <w:t>.</w:t>
            </w:r>
          </w:p>
          <w:p w14:paraId="0A87B782" w14:textId="2A604CEB" w:rsidR="00891561" w:rsidRPr="0091450A" w:rsidRDefault="00B434E5" w:rsidP="002D613F">
            <w:pPr>
              <w:pStyle w:val="ListParagraph"/>
              <w:numPr>
                <w:ilvl w:val="0"/>
                <w:numId w:val="34"/>
              </w:numPr>
              <w:shd w:val="clear" w:color="auto" w:fill="FFFFFF" w:themeFill="background1"/>
              <w:spacing w:before="40" w:after="40"/>
              <w:ind w:left="284" w:hanging="284"/>
              <w:contextualSpacing w:val="0"/>
              <w:rPr>
                <w:b/>
                <w:color w:val="1F497D" w:themeColor="text2"/>
              </w:rPr>
            </w:pPr>
            <w:r w:rsidRPr="0091450A">
              <w:rPr>
                <w:rFonts w:cs="Times New Roman"/>
                <w:szCs w:val="20"/>
              </w:rPr>
              <w:t xml:space="preserve">The </w:t>
            </w:r>
            <w:r w:rsidR="00EE377E" w:rsidRPr="0091450A">
              <w:rPr>
                <w:rFonts w:cs="Times New Roman"/>
                <w:szCs w:val="20"/>
              </w:rPr>
              <w:t>MoH</w:t>
            </w:r>
            <w:r w:rsidRPr="0091450A">
              <w:rPr>
                <w:rFonts w:cs="Times New Roman"/>
                <w:szCs w:val="20"/>
              </w:rPr>
              <w:t xml:space="preserve"> has a </w:t>
            </w:r>
            <w:r w:rsidR="00795484" w:rsidRPr="0091450A">
              <w:rPr>
                <w:rFonts w:cs="Times New Roman"/>
                <w:szCs w:val="20"/>
              </w:rPr>
              <w:t>Pacific Innovations Fund</w:t>
            </w:r>
            <w:r w:rsidRPr="0091450A">
              <w:rPr>
                <w:rFonts w:cs="Times New Roman"/>
                <w:szCs w:val="20"/>
              </w:rPr>
              <w:t>. In</w:t>
            </w:r>
            <w:r w:rsidR="00795484" w:rsidRPr="0091450A">
              <w:rPr>
                <w:rFonts w:cs="Times New Roman"/>
                <w:szCs w:val="20"/>
              </w:rPr>
              <w:t xml:space="preserve"> </w:t>
            </w:r>
            <w:r w:rsidR="00D1291E" w:rsidRPr="0091450A">
              <w:rPr>
                <w:rFonts w:cs="Times New Roman"/>
                <w:szCs w:val="20"/>
              </w:rPr>
              <w:t>Dec</w:t>
            </w:r>
            <w:r w:rsidR="00F50A2C">
              <w:rPr>
                <w:rFonts w:cs="Times New Roman"/>
                <w:szCs w:val="20"/>
              </w:rPr>
              <w:t>ember</w:t>
            </w:r>
            <w:r w:rsidR="00D1291E" w:rsidRPr="0091450A">
              <w:rPr>
                <w:rFonts w:cs="Times New Roman"/>
                <w:szCs w:val="20"/>
              </w:rPr>
              <w:t xml:space="preserve"> 20</w:t>
            </w:r>
            <w:r w:rsidR="00DE7561" w:rsidRPr="0091450A">
              <w:rPr>
                <w:rFonts w:cs="Times New Roman"/>
                <w:szCs w:val="20"/>
              </w:rPr>
              <w:t>19</w:t>
            </w:r>
            <w:r w:rsidR="00FD224D" w:rsidRPr="0091450A">
              <w:rPr>
                <w:rFonts w:cs="Times New Roman"/>
                <w:szCs w:val="20"/>
              </w:rPr>
              <w:t xml:space="preserve"> </w:t>
            </w:r>
            <w:r w:rsidR="00FD224D" w:rsidRPr="009B490C">
              <w:rPr>
                <w:rFonts w:cs="Times New Roman"/>
                <w:szCs w:val="20"/>
              </w:rPr>
              <w:t>almost $10</w:t>
            </w:r>
            <w:r w:rsidR="004865F6" w:rsidRPr="009B490C">
              <w:rPr>
                <w:rFonts w:cs="Times New Roman"/>
                <w:szCs w:val="20"/>
              </w:rPr>
              <w:t xml:space="preserve"> </w:t>
            </w:r>
            <w:r w:rsidR="00FD224D" w:rsidRPr="009B490C">
              <w:rPr>
                <w:rFonts w:cs="Times New Roman"/>
                <w:szCs w:val="20"/>
              </w:rPr>
              <w:t>million in</w:t>
            </w:r>
            <w:r w:rsidRPr="009B490C">
              <w:rPr>
                <w:rFonts w:cs="Times New Roman"/>
                <w:szCs w:val="20"/>
              </w:rPr>
              <w:t xml:space="preserve"> </w:t>
            </w:r>
            <w:r w:rsidR="00247CB7" w:rsidRPr="009B490C">
              <w:rPr>
                <w:rFonts w:cs="Times New Roman"/>
                <w:szCs w:val="20"/>
              </w:rPr>
              <w:t>funding</w:t>
            </w:r>
            <w:r w:rsidRPr="0091450A">
              <w:rPr>
                <w:rFonts w:cs="Times New Roman"/>
                <w:szCs w:val="20"/>
              </w:rPr>
              <w:t xml:space="preserve"> was </w:t>
            </w:r>
            <w:r w:rsidR="00FD224D" w:rsidRPr="0091450A">
              <w:rPr>
                <w:rFonts w:cs="Times New Roman"/>
                <w:szCs w:val="20"/>
              </w:rPr>
              <w:t>invested</w:t>
            </w:r>
            <w:r w:rsidR="00891561" w:rsidRPr="0091450A">
              <w:rPr>
                <w:rFonts w:cs="Times New Roman"/>
                <w:szCs w:val="20"/>
              </w:rPr>
              <w:t xml:space="preserve"> </w:t>
            </w:r>
            <w:r w:rsidR="00891561" w:rsidRPr="0091450A">
              <w:rPr>
                <w:rFonts w:cstheme="minorHAnsi"/>
                <w:szCs w:val="20"/>
                <w:shd w:val="clear" w:color="auto" w:fill="FFFFFF"/>
              </w:rPr>
              <w:t xml:space="preserve">to better resource, drive and assess innovative community health projects that improve Pacific peoples’ health and wellbeing </w:t>
            </w:r>
            <w:r w:rsidR="004865F6" w:rsidRPr="0091450A">
              <w:rPr>
                <w:rFonts w:cstheme="minorHAnsi"/>
                <w:szCs w:val="20"/>
                <w:shd w:val="clear" w:color="auto" w:fill="FFFFFF"/>
              </w:rPr>
              <w:fldChar w:fldCharType="begin" w:fldLock="1"/>
            </w:r>
            <w:r w:rsidR="00EC12A7">
              <w:rPr>
                <w:rFonts w:cstheme="minorHAnsi"/>
                <w:szCs w:val="20"/>
                <w:shd w:val="clear" w:color="auto" w:fill="FFFFFF"/>
              </w:rPr>
              <w:instrText>ADDIN CSL_CITATION {"citationItems":[{"id":"ITEM-1","itemData":{"URL":"https://www.health.govt.nz/nz-health-statistics/national-collections-and-surveys/surveys/new-zealand-health-survey/improving-health-new-zealanders","accessed":{"date-parts":[["2020","1","17"]]},"author":[{"dropping-particle":"","family":"Ministry of Health","given":"","non-dropping-particle":"","parse-names":false,"suffix":""}],"id":"ITEM-1","issued":{"date-parts":[["2019"]]},"title":"Improving the health of New Zealanders | Ministry of Health NZ","type":"webpage"},"uris":["http://www.mendeley.com/documents/?uuid=5f5988e3-a6dd-379a-b084-b447d0dfab22","http://www.mendeley.com/documents/?uuid=3f50efac-c3f4-4dae-b2cd-2741a92ef4e0"]}],"mendeley":{"formattedCitation":"(258)","plainTextFormattedCitation":"(258)","previouslyFormattedCitation":"(258)"},"properties":{"noteIndex":0},"schema":"https://github.com/citation-style-language/schema/raw/master/csl-citation.json"}</w:instrText>
            </w:r>
            <w:r w:rsidR="004865F6" w:rsidRPr="0091450A">
              <w:rPr>
                <w:rFonts w:cstheme="minorHAnsi"/>
                <w:szCs w:val="20"/>
                <w:shd w:val="clear" w:color="auto" w:fill="FFFFFF"/>
              </w:rPr>
              <w:fldChar w:fldCharType="separate"/>
            </w:r>
            <w:r w:rsidR="009C4029" w:rsidRPr="009C4029">
              <w:rPr>
                <w:rFonts w:cstheme="minorHAnsi"/>
                <w:noProof/>
                <w:szCs w:val="20"/>
                <w:shd w:val="clear" w:color="auto" w:fill="FFFFFF"/>
              </w:rPr>
              <w:t>(258)</w:t>
            </w:r>
            <w:r w:rsidR="004865F6" w:rsidRPr="0091450A">
              <w:rPr>
                <w:rFonts w:cstheme="minorHAnsi"/>
                <w:szCs w:val="20"/>
                <w:shd w:val="clear" w:color="auto" w:fill="FFFFFF"/>
              </w:rPr>
              <w:fldChar w:fldCharType="end"/>
            </w:r>
            <w:r w:rsidR="00D1291E" w:rsidRPr="0091450A">
              <w:rPr>
                <w:rFonts w:cs="Times New Roman"/>
                <w:szCs w:val="20"/>
              </w:rPr>
              <w:t xml:space="preserve">. </w:t>
            </w:r>
          </w:p>
          <w:p w14:paraId="6BAA4A58" w14:textId="5FEF7023" w:rsidR="00C04080" w:rsidRPr="0091450A" w:rsidRDefault="00C04080" w:rsidP="002D613F">
            <w:pPr>
              <w:shd w:val="clear" w:color="auto" w:fill="FFFFFF" w:themeFill="background1"/>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3E2E77B4" w14:textId="6C23A771" w:rsidR="00D25895" w:rsidRPr="0091450A" w:rsidRDefault="00D25895" w:rsidP="002D613F">
            <w:pPr>
              <w:pStyle w:val="ListParagraph"/>
              <w:keepNext/>
              <w:numPr>
                <w:ilvl w:val="0"/>
                <w:numId w:val="84"/>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xml:space="preserve">: The National Health and Medical Research Council (NHMRC) Act requires the CEO to identify major national health issues likely to arise. The National Health Priority Areas (NHPAs) articulate priorities for research and investment </w:t>
            </w:r>
            <w:r w:rsidR="007F5838">
              <w:rPr>
                <w:rFonts w:eastAsia="Times New Roman" w:cs="Times New Roman"/>
                <w:szCs w:val="20"/>
                <w:lang w:eastAsia="en-NZ"/>
              </w:rPr>
              <w:t>that</w:t>
            </w:r>
            <w:r w:rsidR="007F5838" w:rsidRPr="0091450A">
              <w:rPr>
                <w:rFonts w:eastAsia="Times New Roman" w:cs="Times New Roman"/>
                <w:szCs w:val="20"/>
                <w:lang w:eastAsia="en-NZ"/>
              </w:rPr>
              <w:t xml:space="preserve"> </w:t>
            </w:r>
            <w:r w:rsidRPr="0091450A">
              <w:rPr>
                <w:rFonts w:eastAsia="Times New Roman" w:cs="Times New Roman"/>
                <w:szCs w:val="20"/>
                <w:lang w:eastAsia="en-NZ"/>
              </w:rPr>
              <w:t xml:space="preserve">have been designated by Australian governments as key targets because of their contribution to the burden of disease in Australia. For the 2015-16 Corporate Plan, obesity, diabetes and cardiovascular health are three of these NHPAs. </w:t>
            </w:r>
          </w:p>
          <w:p w14:paraId="2A1B5DAE" w14:textId="11B72A42" w:rsidR="00D25895" w:rsidRPr="0091450A" w:rsidRDefault="00D25895" w:rsidP="002D613F">
            <w:pPr>
              <w:pStyle w:val="ListParagraph"/>
              <w:keepNext/>
              <w:numPr>
                <w:ilvl w:val="0"/>
                <w:numId w:val="84"/>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Thailand</w:t>
            </w:r>
            <w:r w:rsidRPr="0091450A">
              <w:rPr>
                <w:rFonts w:eastAsia="Times New Roman" w:cs="Times New Roman"/>
                <w:szCs w:val="20"/>
                <w:lang w:eastAsia="en-NZ"/>
              </w:rPr>
              <w:t xml:space="preserve">: The National Research Council funded more research projects on obesity and diet-related chronic diseases (such as diabetes, cardiovascular diseases and hypertension) in 2014, accountable for </w:t>
            </w:r>
            <w:r w:rsidRPr="0091450A">
              <w:rPr>
                <w:rFonts w:eastAsia="Times New Roman" w:cs="Times New Roman"/>
                <w:szCs w:val="20"/>
                <w:lang w:eastAsia="en-NZ"/>
              </w:rPr>
              <w:lastRenderedPageBreak/>
              <w:t>almost six times over the research funding in 2013 (from 6,875,028 Baht in 2013 to 37,872,416 baht in 2014).</w:t>
            </w:r>
          </w:p>
        </w:tc>
      </w:tr>
    </w:tbl>
    <w:p w14:paraId="5C09B3A9" w14:textId="77777777" w:rsidR="0033317E" w:rsidRPr="0091450A" w:rsidRDefault="0033317E" w:rsidP="002D613F">
      <w:pPr>
        <w:spacing w:line="240" w:lineRule="auto"/>
      </w:pPr>
    </w:p>
    <w:tbl>
      <w:tblPr>
        <w:tblStyle w:val="TableGrid"/>
        <w:tblW w:w="9209" w:type="dxa"/>
        <w:tblLook w:val="04A0" w:firstRow="1" w:lastRow="0" w:firstColumn="1" w:lastColumn="0" w:noHBand="0" w:noVBand="1"/>
      </w:tblPr>
      <w:tblGrid>
        <w:gridCol w:w="9209"/>
      </w:tblGrid>
      <w:tr w:rsidR="0033317E" w:rsidRPr="0091450A" w14:paraId="18AD33D9" w14:textId="77777777" w:rsidTr="00E83F10">
        <w:tc>
          <w:tcPr>
            <w:tcW w:w="9209" w:type="dxa"/>
          </w:tcPr>
          <w:p w14:paraId="2DCFD1B7" w14:textId="2EDB7B62" w:rsidR="0033317E" w:rsidRPr="0091450A" w:rsidRDefault="0033317E"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 xml:space="preserve">11 FUNDING AND RESOURCES: </w:t>
            </w:r>
            <w:r w:rsidRPr="0091450A">
              <w:rPr>
                <w:rFonts w:cs="Times New Roman"/>
                <w:szCs w:val="20"/>
              </w:rPr>
              <w:t xml:space="preserve">Sufficient funding is invested in ‘Population Nutrition Promotion’ to create healthy food environments, improved population nutrition, reductions in obesity, </w:t>
            </w:r>
            <w:r w:rsidR="00C76DA0" w:rsidRPr="0091450A">
              <w:rPr>
                <w:rFonts w:cs="Times New Roman"/>
                <w:szCs w:val="20"/>
              </w:rPr>
              <w:t>diet</w:t>
            </w:r>
            <w:r w:rsidR="00843455">
              <w:rPr>
                <w:rFonts w:cs="Times New Roman"/>
                <w:szCs w:val="20"/>
              </w:rPr>
              <w:t>-</w:t>
            </w:r>
            <w:r w:rsidR="00C76DA0" w:rsidRPr="0091450A">
              <w:rPr>
                <w:rFonts w:cs="Times New Roman"/>
                <w:szCs w:val="20"/>
              </w:rPr>
              <w:t>related</w:t>
            </w:r>
            <w:r w:rsidRPr="0091450A">
              <w:rPr>
                <w:rFonts w:cs="Times New Roman"/>
                <w:szCs w:val="20"/>
              </w:rPr>
              <w:t xml:space="preserve"> NCDs and their related inequalities</w:t>
            </w:r>
            <w:r w:rsidR="00B84E85" w:rsidRPr="0091450A">
              <w:rPr>
                <w:rFonts w:cs="Times New Roman"/>
                <w:szCs w:val="20"/>
              </w:rPr>
              <w:t>.</w:t>
            </w:r>
          </w:p>
        </w:tc>
      </w:tr>
      <w:tr w:rsidR="00EE29BC" w:rsidRPr="0091450A" w14:paraId="225BCF93" w14:textId="77777777" w:rsidTr="00E83F10">
        <w:tc>
          <w:tcPr>
            <w:tcW w:w="9209" w:type="dxa"/>
            <w:vAlign w:val="center"/>
          </w:tcPr>
          <w:p w14:paraId="633C7B87" w14:textId="2754713A" w:rsidR="00EE29BC" w:rsidRPr="0091450A" w:rsidRDefault="0033317E" w:rsidP="002D613F">
            <w:pPr>
              <w:shd w:val="clear" w:color="auto" w:fill="FFFFFF" w:themeFill="background1"/>
              <w:tabs>
                <w:tab w:val="left" w:pos="1725"/>
              </w:tabs>
              <w:spacing w:before="40" w:after="40"/>
              <w:jc w:val="both"/>
              <w:rPr>
                <w:rFonts w:cs="Times New Roman"/>
                <w:b/>
                <w:color w:val="1F497D" w:themeColor="text2"/>
                <w:sz w:val="28"/>
                <w:szCs w:val="28"/>
              </w:rPr>
            </w:pPr>
            <w:bookmarkStart w:id="67" w:name="_Toc31623765"/>
            <w:r w:rsidRPr="0091450A">
              <w:rPr>
                <w:rStyle w:val="Heading3Char"/>
              </w:rPr>
              <w:t>FUND3</w:t>
            </w:r>
            <w:bookmarkEnd w:id="67"/>
            <w:r w:rsidRPr="0091450A">
              <w:rPr>
                <w:rFonts w:cs="Times New Roman"/>
                <w:b/>
                <w:color w:val="1F497D" w:themeColor="text2"/>
                <w:sz w:val="28"/>
                <w:szCs w:val="28"/>
              </w:rPr>
              <w:t xml:space="preserve">: </w:t>
            </w:r>
            <w:r w:rsidR="00EE29BC" w:rsidRPr="0091450A">
              <w:rPr>
                <w:rFonts w:eastAsia="Times New Roman" w:cs="Times New Roman"/>
                <w:b/>
                <w:bCs/>
                <w:szCs w:val="20"/>
                <w:lang w:eastAsia="en-NZ"/>
              </w:rPr>
              <w:t>There is a statutory health promotion agency in place that includes an objective to improve population nutrition, with a secure funding stream</w:t>
            </w:r>
            <w:r w:rsidR="00B84E85" w:rsidRPr="0091450A">
              <w:rPr>
                <w:rFonts w:eastAsia="Times New Roman" w:cs="Times New Roman"/>
                <w:b/>
                <w:bCs/>
                <w:szCs w:val="20"/>
                <w:lang w:eastAsia="en-NZ"/>
              </w:rPr>
              <w:t>.</w:t>
            </w:r>
          </w:p>
        </w:tc>
      </w:tr>
      <w:tr w:rsidR="00EE29BC" w:rsidRPr="0091450A" w14:paraId="40C77EA5" w14:textId="77777777" w:rsidTr="00E83F10">
        <w:tc>
          <w:tcPr>
            <w:tcW w:w="9209" w:type="dxa"/>
          </w:tcPr>
          <w:p w14:paraId="533A0285" w14:textId="11058D00"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3821C754" w14:textId="0CD6751A" w:rsidR="00D25895" w:rsidRPr="009B490C" w:rsidRDefault="00EE29BC" w:rsidP="002D613F">
            <w:pPr>
              <w:pStyle w:val="ListParagraph"/>
              <w:numPr>
                <w:ilvl w:val="0"/>
                <w:numId w:val="37"/>
              </w:numPr>
              <w:shd w:val="clear" w:color="auto" w:fill="FFFFFF" w:themeFill="background1"/>
              <w:spacing w:before="40" w:after="40"/>
              <w:ind w:left="284" w:hanging="284"/>
              <w:contextualSpacing w:val="0"/>
              <w:rPr>
                <w:rFonts w:cs="Times New Roman"/>
                <w:b/>
                <w:color w:val="1F497D" w:themeColor="text2"/>
                <w:szCs w:val="20"/>
              </w:rPr>
            </w:pPr>
            <w:r w:rsidRPr="0091450A">
              <w:rPr>
                <w:rFonts w:cs="Times New Roman"/>
                <w:szCs w:val="20"/>
              </w:rPr>
              <w:t xml:space="preserve">The Health Promotion Agency is a Crown entity established by the NZ Public Health and </w:t>
            </w:r>
            <w:r w:rsidR="00651244" w:rsidRPr="0091450A">
              <w:rPr>
                <w:rFonts w:cs="Times New Roman"/>
                <w:szCs w:val="20"/>
              </w:rPr>
              <w:t>Disability</w:t>
            </w:r>
            <w:r w:rsidRPr="0091450A">
              <w:rPr>
                <w:rFonts w:cs="Times New Roman"/>
                <w:szCs w:val="20"/>
              </w:rPr>
              <w:t xml:space="preserve"> Act 200</w:t>
            </w:r>
            <w:r w:rsidR="00AE04FE" w:rsidRPr="0091450A">
              <w:rPr>
                <w:rFonts w:cs="Times New Roman"/>
                <w:szCs w:val="20"/>
              </w:rPr>
              <w:t xml:space="preserve">0 </w:t>
            </w:r>
            <w:r w:rsidR="004642D6" w:rsidRPr="0091450A">
              <w:rPr>
                <w:rFonts w:cs="Times New Roman"/>
                <w:szCs w:val="20"/>
              </w:rPr>
              <w:fldChar w:fldCharType="begin" w:fldLock="1"/>
            </w:r>
            <w:r w:rsidR="002B6CB8">
              <w:rPr>
                <w:rFonts w:cs="Times New Roman"/>
                <w:szCs w:val="20"/>
              </w:rPr>
              <w:instrText>ADDIN CSL_CITATION {"citationItems":[{"id":"ITEM-1","itemData":{"author":[{"dropping-particle":"","family":"Health Promotion Agency","given":"","non-dropping-particle":"","parse-names":false,"suffix":""}],"id":"ITEM-1","issued":{"date-parts":[["2016"]]},"publisher":"Health Promotion Agency","publisher-place":"Wellington","title":"2015/2016 Annual Report","type":"report"},"uris":["http://www.mendeley.com/documents/?uuid=1c7dc6a1-2075-4c9c-9c93-aa11b90b57bf","http://www.mendeley.com/documents/?uuid=1f19b474-c18a-336e-b785-dc46c066514c"]}],"mendeley":{"formattedCitation":"(51)","plainTextFormattedCitation":"(51)","previouslyFormattedCitation":"(51)"},"properties":{"noteIndex":0},"schema":"https://github.com/citation-style-language/schema/raw/master/csl-citation.json"}</w:instrText>
            </w:r>
            <w:r w:rsidR="004642D6" w:rsidRPr="0091450A">
              <w:rPr>
                <w:rFonts w:cs="Times New Roman"/>
                <w:szCs w:val="20"/>
              </w:rPr>
              <w:fldChar w:fldCharType="separate"/>
            </w:r>
            <w:r w:rsidR="00A90C92" w:rsidRPr="00A90C92">
              <w:rPr>
                <w:rFonts w:cs="Times New Roman"/>
                <w:noProof/>
                <w:szCs w:val="20"/>
              </w:rPr>
              <w:t>(51)</w:t>
            </w:r>
            <w:r w:rsidR="004642D6" w:rsidRPr="0091450A">
              <w:rPr>
                <w:rFonts w:cs="Times New Roman"/>
                <w:szCs w:val="20"/>
              </w:rPr>
              <w:fldChar w:fldCharType="end"/>
            </w:r>
            <w:r w:rsidRPr="0091450A">
              <w:rPr>
                <w:rFonts w:cs="Times New Roman"/>
                <w:szCs w:val="20"/>
              </w:rPr>
              <w:t>. HPA ha</w:t>
            </w:r>
            <w:r w:rsidR="006D0C3A" w:rsidRPr="0091450A">
              <w:rPr>
                <w:rFonts w:cs="Times New Roman"/>
                <w:szCs w:val="20"/>
              </w:rPr>
              <w:t>s</w:t>
            </w:r>
            <w:r w:rsidRPr="0091450A">
              <w:rPr>
                <w:rFonts w:cs="Times New Roman"/>
                <w:szCs w:val="20"/>
              </w:rPr>
              <w:t xml:space="preserve"> an overall func</w:t>
            </w:r>
            <w:r w:rsidR="006D0C3A" w:rsidRPr="0091450A">
              <w:rPr>
                <w:rFonts w:cs="Times New Roman"/>
                <w:szCs w:val="20"/>
              </w:rPr>
              <w:t>tion to lead and support activi</w:t>
            </w:r>
            <w:r w:rsidRPr="0091450A">
              <w:rPr>
                <w:rFonts w:cs="Times New Roman"/>
                <w:szCs w:val="20"/>
              </w:rPr>
              <w:t>t</w:t>
            </w:r>
            <w:r w:rsidR="006D0C3A" w:rsidRPr="0091450A">
              <w:rPr>
                <w:rFonts w:cs="Times New Roman"/>
                <w:szCs w:val="20"/>
              </w:rPr>
              <w:t>i</w:t>
            </w:r>
            <w:r w:rsidRPr="0091450A">
              <w:rPr>
                <w:rFonts w:cs="Times New Roman"/>
                <w:szCs w:val="20"/>
              </w:rPr>
              <w:t xml:space="preserve">es to promote health and wellbeing and </w:t>
            </w:r>
            <w:r w:rsidR="00651244" w:rsidRPr="0091450A">
              <w:rPr>
                <w:rFonts w:cs="Times New Roman"/>
                <w:szCs w:val="20"/>
              </w:rPr>
              <w:t>encourage</w:t>
            </w:r>
            <w:r w:rsidRPr="0091450A">
              <w:rPr>
                <w:rFonts w:cs="Times New Roman"/>
                <w:szCs w:val="20"/>
              </w:rPr>
              <w:t xml:space="preserve"> healthy lifestyles, prevent disease, illness and injury; enable environments which support health, wellbeing and healthy lifestyles; reduce personal, social and economic harm. HPA is requir</w:t>
            </w:r>
            <w:r w:rsidR="006D0C3A" w:rsidRPr="0091450A">
              <w:rPr>
                <w:rFonts w:cs="Times New Roman"/>
                <w:szCs w:val="20"/>
              </w:rPr>
              <w:t>e</w:t>
            </w:r>
            <w:r w:rsidRPr="0091450A">
              <w:rPr>
                <w:rFonts w:cs="Times New Roman"/>
                <w:szCs w:val="20"/>
              </w:rPr>
              <w:t>d to give effect to Government policy when directed by the responsible Minister. HPA has a central role as the Government’s expert on health promotion.</w:t>
            </w:r>
            <w:r w:rsidR="00667F10" w:rsidRPr="0091450A">
              <w:rPr>
                <w:rFonts w:cs="Times New Roman"/>
                <w:szCs w:val="20"/>
              </w:rPr>
              <w:t xml:space="preserve"> </w:t>
            </w:r>
            <w:r w:rsidR="00667F10" w:rsidRPr="009B490C">
              <w:rPr>
                <w:rFonts w:cs="Times New Roman"/>
                <w:szCs w:val="20"/>
              </w:rPr>
              <w:t xml:space="preserve">Within the HPA’s </w:t>
            </w:r>
            <w:r w:rsidR="008837DB" w:rsidRPr="009B490C">
              <w:rPr>
                <w:rFonts w:cs="Times New Roman"/>
                <w:szCs w:val="20"/>
              </w:rPr>
              <w:t xml:space="preserve">2018-19 Statement of Performance Expectations </w:t>
            </w:r>
            <w:r w:rsidR="005C30F4" w:rsidRPr="009B490C">
              <w:rPr>
                <w:rFonts w:cs="Times New Roman"/>
                <w:szCs w:val="20"/>
              </w:rPr>
              <w:t>‘N</w:t>
            </w:r>
            <w:r w:rsidR="008837DB" w:rsidRPr="009B490C">
              <w:rPr>
                <w:rFonts w:cs="Times New Roman"/>
                <w:szCs w:val="20"/>
              </w:rPr>
              <w:t xml:space="preserve">utrition and </w:t>
            </w:r>
            <w:r w:rsidR="005C30F4" w:rsidRPr="009B490C">
              <w:rPr>
                <w:rFonts w:cs="Times New Roman"/>
                <w:szCs w:val="20"/>
              </w:rPr>
              <w:t>P</w:t>
            </w:r>
            <w:r w:rsidR="008837DB" w:rsidRPr="009B490C">
              <w:rPr>
                <w:rFonts w:cs="Times New Roman"/>
                <w:szCs w:val="20"/>
              </w:rPr>
              <w:t xml:space="preserve">hysical </w:t>
            </w:r>
            <w:r w:rsidR="005C30F4" w:rsidRPr="009B490C">
              <w:rPr>
                <w:rFonts w:cs="Times New Roman"/>
                <w:szCs w:val="20"/>
              </w:rPr>
              <w:t>A</w:t>
            </w:r>
            <w:r w:rsidR="008837DB" w:rsidRPr="009B490C">
              <w:rPr>
                <w:rFonts w:cs="Times New Roman"/>
                <w:szCs w:val="20"/>
              </w:rPr>
              <w:t>ctivity</w:t>
            </w:r>
            <w:r w:rsidR="005C30F4" w:rsidRPr="009B490C">
              <w:rPr>
                <w:rFonts w:cs="Times New Roman"/>
                <w:szCs w:val="20"/>
              </w:rPr>
              <w:t>’</w:t>
            </w:r>
            <w:r w:rsidR="008837DB" w:rsidRPr="009B490C">
              <w:rPr>
                <w:rFonts w:cs="Times New Roman"/>
                <w:szCs w:val="20"/>
              </w:rPr>
              <w:t xml:space="preserve"> are considered a major domain for the HPA</w:t>
            </w:r>
            <w:r w:rsidRPr="009B490C">
              <w:rPr>
                <w:rFonts w:cs="Times New Roman"/>
                <w:szCs w:val="20"/>
              </w:rPr>
              <w:t xml:space="preserve"> </w:t>
            </w:r>
            <w:r w:rsidR="008837DB" w:rsidRPr="009B490C">
              <w:rPr>
                <w:rFonts w:cs="Times New Roman"/>
                <w:szCs w:val="20"/>
              </w:rPr>
              <w:fldChar w:fldCharType="begin" w:fldLock="1"/>
            </w:r>
            <w:r w:rsidR="00E56949" w:rsidRPr="009B490C">
              <w:rPr>
                <w:rFonts w:cs="Times New Roman"/>
                <w:szCs w:val="20"/>
              </w:rPr>
              <w:instrText>ADDIN CSL_CITATION {"citationItems":[{"id":"ITEM-1","itemData":{"author":[{"dropping-particle":"","family":"Health Promotion Agency","given":"","non-dropping-particle":"","parse-names":false,"suffix":""}],"id":"ITEM-1","issued":{"date-parts":[["2018"]]},"title":"Statement of Performance Expectations 2018/19 Health Promotion Agency E26 2: HPA Statement of Performance Expectations","type":"report"},"uris":["http://www.mendeley.com/documents/?uuid=c2c366cf-9fc1-39c8-af43-cd2cb216503e"]}],"mendeley":{"formattedCitation":"(161)","plainTextFormattedCitation":"(161)","previouslyFormattedCitation":"(161)"},"properties":{"noteIndex":0},"schema":"https://github.com/citation-style-language/schema/raw/master/csl-citation.json"}</w:instrText>
            </w:r>
            <w:r w:rsidR="008837DB" w:rsidRPr="009B490C">
              <w:rPr>
                <w:rFonts w:cs="Times New Roman"/>
                <w:szCs w:val="20"/>
              </w:rPr>
              <w:fldChar w:fldCharType="separate"/>
            </w:r>
            <w:r w:rsidR="009C4029" w:rsidRPr="009B490C">
              <w:rPr>
                <w:rFonts w:cs="Times New Roman"/>
                <w:noProof/>
                <w:szCs w:val="20"/>
              </w:rPr>
              <w:t>(161)</w:t>
            </w:r>
            <w:r w:rsidR="008837DB" w:rsidRPr="009B490C">
              <w:rPr>
                <w:rFonts w:cs="Times New Roman"/>
                <w:szCs w:val="20"/>
              </w:rPr>
              <w:fldChar w:fldCharType="end"/>
            </w:r>
            <w:r w:rsidR="009B490C">
              <w:rPr>
                <w:rFonts w:cs="Times New Roman"/>
                <w:szCs w:val="20"/>
              </w:rPr>
              <w:t>.</w:t>
            </w:r>
          </w:p>
          <w:p w14:paraId="5CB1326D" w14:textId="77777777" w:rsidR="00706304" w:rsidRPr="0091450A" w:rsidRDefault="00706304" w:rsidP="002D613F">
            <w:pPr>
              <w:spacing w:before="40" w:after="40"/>
              <w:rPr>
                <w:b/>
                <w:color w:val="1F497D"/>
                <w:sz w:val="28"/>
                <w:szCs w:val="28"/>
              </w:rPr>
            </w:pPr>
            <w:r w:rsidRPr="0091450A">
              <w:rPr>
                <w:b/>
                <w:color w:val="1F497D"/>
                <w:sz w:val="28"/>
                <w:szCs w:val="28"/>
              </w:rPr>
              <w:t>International best practice examples (benchmarks)</w:t>
            </w:r>
          </w:p>
          <w:p w14:paraId="5205BA43" w14:textId="0C90CC68" w:rsidR="00D25895" w:rsidRPr="0091450A" w:rsidRDefault="00D25895" w:rsidP="002D613F">
            <w:pPr>
              <w:pStyle w:val="ListParagraph"/>
              <w:numPr>
                <w:ilvl w:val="0"/>
                <w:numId w:val="85"/>
              </w:numPr>
              <w:shd w:val="clear" w:color="auto" w:fill="FFFFFF" w:themeFill="background1"/>
              <w:spacing w:before="40" w:after="40"/>
              <w:ind w:left="284" w:hanging="284"/>
              <w:contextualSpacing w:val="0"/>
              <w:rPr>
                <w:rFonts w:cs="Times New Roman"/>
                <w:szCs w:val="20"/>
              </w:rPr>
            </w:pPr>
            <w:r w:rsidRPr="0091450A">
              <w:rPr>
                <w:rFonts w:eastAsia="Times New Roman" w:cs="Times New Roman"/>
                <w:b/>
                <w:szCs w:val="20"/>
                <w:lang w:eastAsia="en-NZ"/>
              </w:rPr>
              <w:t>Australia</w:t>
            </w:r>
            <w:r w:rsidRPr="0091450A">
              <w:rPr>
                <w:rFonts w:eastAsia="Times New Roman" w:cs="Times New Roman"/>
                <w:szCs w:val="20"/>
                <w:lang w:eastAsia="en-NZ"/>
              </w:rPr>
              <w:t>:  The Victorian Health Promotion Foundation (VicHealth) was the world’s first health promotion foundation, established by the Victorian Parliament as part of the Tobacco Act of 1987 (for the first 10 years through a hypothecated tobacco tax) through which the objectives of VicHealth are stipulated. VicHealth continues to maintain bipartisan support.</w:t>
            </w:r>
          </w:p>
        </w:tc>
      </w:tr>
    </w:tbl>
    <w:p w14:paraId="6C5C026A" w14:textId="7A186524" w:rsidR="002406C7" w:rsidRPr="0091450A" w:rsidRDefault="002406C7" w:rsidP="002D613F">
      <w:pPr>
        <w:spacing w:line="240" w:lineRule="auto"/>
      </w:pPr>
    </w:p>
    <w:tbl>
      <w:tblPr>
        <w:tblStyle w:val="TableGrid"/>
        <w:tblW w:w="9209" w:type="dxa"/>
        <w:tblLook w:val="04A0" w:firstRow="1" w:lastRow="0" w:firstColumn="1" w:lastColumn="0" w:noHBand="0" w:noVBand="1"/>
      </w:tblPr>
      <w:tblGrid>
        <w:gridCol w:w="9209"/>
      </w:tblGrid>
      <w:tr w:rsidR="002C1960" w:rsidRPr="0091450A" w14:paraId="47720A34" w14:textId="77777777" w:rsidTr="00E83F10">
        <w:tc>
          <w:tcPr>
            <w:tcW w:w="9209" w:type="dxa"/>
          </w:tcPr>
          <w:p w14:paraId="0761A134" w14:textId="338DDF3E" w:rsidR="002C1960" w:rsidRPr="0091450A" w:rsidRDefault="008C0F53" w:rsidP="002D613F">
            <w:pPr>
              <w:shd w:val="clear" w:color="auto" w:fill="FFFFFF" w:themeFill="background1"/>
              <w:spacing w:before="40" w:after="40"/>
              <w:rPr>
                <w:rFonts w:cs="Times New Roman"/>
                <w:szCs w:val="20"/>
              </w:rPr>
            </w:pPr>
            <w:bookmarkStart w:id="68" w:name="_Toc31623766"/>
            <w:r w:rsidRPr="0091450A">
              <w:rPr>
                <w:rStyle w:val="Heading2Char"/>
              </w:rPr>
              <w:t xml:space="preserve">12 </w:t>
            </w:r>
            <w:r w:rsidR="002C1960" w:rsidRPr="0091450A">
              <w:rPr>
                <w:rStyle w:val="Heading2Char"/>
              </w:rPr>
              <w:t>PLATFORMS FOR INTERACTION</w:t>
            </w:r>
            <w:bookmarkEnd w:id="68"/>
            <w:r w:rsidR="002C1960" w:rsidRPr="0091450A">
              <w:rPr>
                <w:rFonts w:cs="Times New Roman"/>
                <w:b/>
                <w:color w:val="1F497D" w:themeColor="text2"/>
                <w:sz w:val="28"/>
                <w:szCs w:val="28"/>
              </w:rPr>
              <w:t xml:space="preserve">: </w:t>
            </w:r>
            <w:r w:rsidR="00B84363" w:rsidRPr="0091450A">
              <w:rPr>
                <w:rFonts w:cs="Times New Roman"/>
                <w:szCs w:val="20"/>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r w:rsidR="00B84E85" w:rsidRPr="0091450A">
              <w:rPr>
                <w:rFonts w:cs="Times New Roman"/>
                <w:szCs w:val="20"/>
              </w:rPr>
              <w:t>.</w:t>
            </w:r>
          </w:p>
        </w:tc>
      </w:tr>
      <w:tr w:rsidR="002C1960" w:rsidRPr="0091450A" w14:paraId="407F3608" w14:textId="77777777" w:rsidTr="00E83F10">
        <w:tc>
          <w:tcPr>
            <w:tcW w:w="9209" w:type="dxa"/>
          </w:tcPr>
          <w:p w14:paraId="7CFE3D36" w14:textId="14ED04AD" w:rsidR="002C1960" w:rsidRPr="0091450A" w:rsidRDefault="00D921CC" w:rsidP="002D613F">
            <w:pPr>
              <w:shd w:val="clear" w:color="auto" w:fill="FFFFFF" w:themeFill="background1"/>
              <w:spacing w:before="40" w:after="40"/>
              <w:rPr>
                <w:rFonts w:cs="Times New Roman"/>
                <w:color w:val="000000"/>
                <w:szCs w:val="20"/>
                <w:lang w:eastAsia="en-NZ"/>
              </w:rPr>
            </w:pPr>
            <w:bookmarkStart w:id="69" w:name="_Toc31623767"/>
            <w:r w:rsidRPr="0091450A">
              <w:rPr>
                <w:rStyle w:val="Heading3Char"/>
              </w:rPr>
              <w:t>PLATF1</w:t>
            </w:r>
            <w:bookmarkEnd w:id="69"/>
            <w:r w:rsidR="002C1960" w:rsidRPr="0091450A">
              <w:rPr>
                <w:rFonts w:cs="Times New Roman"/>
                <w:b/>
                <w:color w:val="1F497D" w:themeColor="text2"/>
                <w:sz w:val="28"/>
                <w:szCs w:val="28"/>
              </w:rPr>
              <w:t xml:space="preserve">: </w:t>
            </w:r>
            <w:r w:rsidR="00B84363" w:rsidRPr="0091450A">
              <w:rPr>
                <w:rFonts w:cs="Times New Roman"/>
                <w:b/>
                <w:szCs w:val="20"/>
              </w:rPr>
              <w:t>There are robust coordination mechanisms across departments and levels of government</w:t>
            </w:r>
            <w:r w:rsidR="003F768B" w:rsidRPr="0091450A">
              <w:rPr>
                <w:rFonts w:cs="Times New Roman"/>
                <w:b/>
                <w:szCs w:val="20"/>
              </w:rPr>
              <w:t xml:space="preserve"> (national and local)</w:t>
            </w:r>
            <w:r w:rsidR="00B84363" w:rsidRPr="0091450A">
              <w:rPr>
                <w:rFonts w:cs="Times New Roman"/>
                <w:b/>
                <w:szCs w:val="20"/>
              </w:rPr>
              <w:t xml:space="preserve">) to ensure policy coherence, alignment, and integration of food, obesity and </w:t>
            </w:r>
            <w:r w:rsidR="00C76DA0" w:rsidRPr="0091450A">
              <w:rPr>
                <w:rFonts w:cs="Times New Roman"/>
                <w:b/>
                <w:szCs w:val="20"/>
              </w:rPr>
              <w:t>diet</w:t>
            </w:r>
            <w:r w:rsidR="00843455">
              <w:rPr>
                <w:rFonts w:cs="Times New Roman"/>
                <w:b/>
                <w:szCs w:val="20"/>
              </w:rPr>
              <w:t>-</w:t>
            </w:r>
            <w:r w:rsidR="00C76DA0" w:rsidRPr="0091450A">
              <w:rPr>
                <w:rFonts w:cs="Times New Roman"/>
                <w:b/>
                <w:szCs w:val="20"/>
              </w:rPr>
              <w:t>related</w:t>
            </w:r>
            <w:r w:rsidR="00B84363" w:rsidRPr="0091450A">
              <w:rPr>
                <w:rFonts w:cs="Times New Roman"/>
                <w:b/>
                <w:szCs w:val="20"/>
              </w:rPr>
              <w:t xml:space="preserve"> NCD prevention policies across governments</w:t>
            </w:r>
            <w:r w:rsidR="00B84E85" w:rsidRPr="0091450A">
              <w:rPr>
                <w:rFonts w:cs="Times New Roman"/>
                <w:b/>
                <w:szCs w:val="20"/>
              </w:rPr>
              <w:t>.</w:t>
            </w:r>
          </w:p>
        </w:tc>
      </w:tr>
      <w:tr w:rsidR="002C1960" w:rsidRPr="0091450A" w14:paraId="3D5C4857" w14:textId="77777777" w:rsidTr="00E83F10">
        <w:tc>
          <w:tcPr>
            <w:tcW w:w="9209" w:type="dxa"/>
          </w:tcPr>
          <w:p w14:paraId="7F37F89C" w14:textId="7C01E7A2"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C88D546" w14:textId="22782F07" w:rsidR="00B90DD9" w:rsidRPr="0091450A" w:rsidRDefault="006D0C3A" w:rsidP="002D613F">
            <w:pPr>
              <w:pStyle w:val="ListParagraph"/>
              <w:numPr>
                <w:ilvl w:val="0"/>
                <w:numId w:val="17"/>
              </w:numPr>
              <w:shd w:val="clear" w:color="auto" w:fill="FFFFFF" w:themeFill="background1"/>
              <w:spacing w:before="40" w:after="40"/>
              <w:contextualSpacing w:val="0"/>
              <w:rPr>
                <w:rFonts w:cs="Times New Roman"/>
                <w:szCs w:val="20"/>
              </w:rPr>
            </w:pPr>
            <w:r w:rsidRPr="0091450A">
              <w:rPr>
                <w:rFonts w:cs="Times New Roman"/>
                <w:szCs w:val="20"/>
              </w:rPr>
              <w:t>The requirement for co-ordinated action across Government continues to feature in the Ministry of Health Statements of Intent. The introduction of th</w:t>
            </w:r>
            <w:r w:rsidRPr="009B490C">
              <w:rPr>
                <w:rFonts w:cs="Times New Roman"/>
                <w:szCs w:val="20"/>
              </w:rPr>
              <w:t xml:space="preserve">e </w:t>
            </w:r>
            <w:r w:rsidR="00FB6231" w:rsidRPr="009B490C">
              <w:rPr>
                <w:rFonts w:cs="Times New Roman"/>
                <w:szCs w:val="20"/>
              </w:rPr>
              <w:t>201</w:t>
            </w:r>
            <w:r w:rsidR="001028B8" w:rsidRPr="009B490C">
              <w:rPr>
                <w:rFonts w:cs="Times New Roman"/>
                <w:szCs w:val="20"/>
              </w:rPr>
              <w:t>7</w:t>
            </w:r>
            <w:r w:rsidR="00FB6231" w:rsidRPr="009B490C">
              <w:rPr>
                <w:rFonts w:cs="Times New Roman"/>
                <w:szCs w:val="20"/>
              </w:rPr>
              <w:t>-</w:t>
            </w:r>
            <w:r w:rsidR="001028B8" w:rsidRPr="009B490C">
              <w:rPr>
                <w:rFonts w:cs="Times New Roman"/>
                <w:szCs w:val="20"/>
              </w:rPr>
              <w:t>21</w:t>
            </w:r>
            <w:r w:rsidR="00FB6231" w:rsidRPr="009B490C">
              <w:rPr>
                <w:rFonts w:cs="Times New Roman"/>
                <w:szCs w:val="20"/>
              </w:rPr>
              <w:t xml:space="preserve"> </w:t>
            </w:r>
            <w:r w:rsidR="00795484" w:rsidRPr="009B490C">
              <w:rPr>
                <w:rFonts w:cs="Times New Roman"/>
                <w:szCs w:val="20"/>
              </w:rPr>
              <w:t xml:space="preserve">MoH </w:t>
            </w:r>
            <w:r w:rsidR="00FB6231" w:rsidRPr="009B490C">
              <w:rPr>
                <w:rFonts w:cs="Times New Roman"/>
                <w:szCs w:val="20"/>
              </w:rPr>
              <w:t>S</w:t>
            </w:r>
            <w:r w:rsidR="00795484" w:rsidRPr="009B490C">
              <w:rPr>
                <w:rFonts w:cs="Times New Roman"/>
                <w:szCs w:val="20"/>
              </w:rPr>
              <w:t xml:space="preserve">tatement </w:t>
            </w:r>
            <w:r w:rsidR="00FB6231" w:rsidRPr="009B490C">
              <w:rPr>
                <w:rFonts w:cs="Times New Roman"/>
                <w:szCs w:val="20"/>
              </w:rPr>
              <w:t>o</w:t>
            </w:r>
            <w:r w:rsidR="00795484" w:rsidRPr="009B490C">
              <w:rPr>
                <w:rFonts w:cs="Times New Roman"/>
                <w:szCs w:val="20"/>
              </w:rPr>
              <w:t xml:space="preserve">f </w:t>
            </w:r>
            <w:r w:rsidR="00FB6231" w:rsidRPr="009B490C">
              <w:rPr>
                <w:rFonts w:cs="Times New Roman"/>
                <w:szCs w:val="20"/>
              </w:rPr>
              <w:t>I</w:t>
            </w:r>
            <w:r w:rsidR="00795484" w:rsidRPr="009B490C">
              <w:rPr>
                <w:rFonts w:cs="Times New Roman"/>
                <w:szCs w:val="20"/>
              </w:rPr>
              <w:t>ntent</w:t>
            </w:r>
            <w:r w:rsidR="00BF249E" w:rsidRPr="009B490C">
              <w:rPr>
                <w:rFonts w:cs="Times New Roman"/>
                <w:szCs w:val="20"/>
              </w:rPr>
              <w:t xml:space="preserve"> </w:t>
            </w:r>
            <w:r w:rsidR="0026219E" w:rsidRPr="009B490C">
              <w:rPr>
                <w:rFonts w:cs="Times New Roman"/>
                <w:szCs w:val="20"/>
              </w:rPr>
              <w:fldChar w:fldCharType="begin" w:fldLock="1"/>
            </w:r>
            <w:r w:rsidR="00EC12A7" w:rsidRPr="009B490C">
              <w:rPr>
                <w:rFonts w:cs="Times New Roman"/>
                <w:szCs w:val="20"/>
              </w:rPr>
              <w:instrText>ADDIN CSL_CITATION {"citationItems":[{"id":"ITEM-1","itemData":{"ISSN":"2357-9682","author":[{"dropping-particle":"","family":"of Health","given":"Ministry","non-dropping-particle":"","parse-names":false,"suffix":""}],"id":"ITEM-1","issued":{"date-parts":[["2017"]]},"title":"Statement of Strategic Intentions 2017 to 2021","type":"article-journal"},"uris":["http://www.mendeley.com/documents/?uuid=819b2e17-3298-4dbf-b370-893799955533","http://www.mendeley.com/documents/?uuid=f07f92fa-a471-37bf-b5e9-c65c099e5e68"]}],"mendeley":{"formattedCitation":"(153)","plainTextFormattedCitation":"(153)","previouslyFormattedCitation":"(153)"},"properties":{"noteIndex":0},"schema":"https://github.com/citation-style-language/schema/raw/master/csl-citation.json"}</w:instrText>
            </w:r>
            <w:r w:rsidR="0026219E" w:rsidRPr="009B490C">
              <w:rPr>
                <w:rFonts w:cs="Times New Roman"/>
                <w:szCs w:val="20"/>
              </w:rPr>
              <w:fldChar w:fldCharType="separate"/>
            </w:r>
            <w:r w:rsidR="009C4029" w:rsidRPr="009B490C">
              <w:rPr>
                <w:rFonts w:cs="Times New Roman"/>
                <w:noProof/>
                <w:szCs w:val="20"/>
              </w:rPr>
              <w:t>(153)</w:t>
            </w:r>
            <w:r w:rsidR="0026219E" w:rsidRPr="009B490C">
              <w:rPr>
                <w:rFonts w:cs="Times New Roman"/>
                <w:szCs w:val="20"/>
              </w:rPr>
              <w:fldChar w:fldCharType="end"/>
            </w:r>
            <w:r w:rsidR="00FB6231" w:rsidRPr="0091450A">
              <w:rPr>
                <w:rFonts w:cs="Times New Roman"/>
                <w:szCs w:val="20"/>
              </w:rPr>
              <w:t xml:space="preserve"> states the </w:t>
            </w:r>
            <w:r w:rsidR="00B90DD9" w:rsidRPr="0091450A">
              <w:rPr>
                <w:rFonts w:cs="Times New Roman"/>
                <w:szCs w:val="20"/>
              </w:rPr>
              <w:t>need for o</w:t>
            </w:r>
            <w:r w:rsidR="00B90DD9" w:rsidRPr="0091450A">
              <w:rPr>
                <w:szCs w:val="20"/>
              </w:rPr>
              <w:t xml:space="preserve">ur system </w:t>
            </w:r>
            <w:r w:rsidR="008064E8" w:rsidRPr="0091450A">
              <w:rPr>
                <w:szCs w:val="20"/>
              </w:rPr>
              <w:t xml:space="preserve">to </w:t>
            </w:r>
            <w:r w:rsidR="00B90DD9" w:rsidRPr="0091450A">
              <w:rPr>
                <w:szCs w:val="20"/>
              </w:rPr>
              <w:t>adapt to the changing needs of our diverse communities living in a rapidly advancing digital society with a burden of disease shifting to lifestyle and life-long chronic conditions.</w:t>
            </w:r>
            <w:r w:rsidR="00B90DD9" w:rsidRPr="0091450A" w:rsidDel="00B90DD9">
              <w:rPr>
                <w:rFonts w:cs="Times New Roman"/>
                <w:szCs w:val="20"/>
              </w:rPr>
              <w:t xml:space="preserve"> </w:t>
            </w:r>
            <w:r w:rsidR="0059584B" w:rsidRPr="0091450A">
              <w:rPr>
                <w:rFonts w:cs="Times New Roman"/>
                <w:szCs w:val="20"/>
              </w:rPr>
              <w:t>There is</w:t>
            </w:r>
            <w:r w:rsidR="00B90DD9" w:rsidRPr="0091450A">
              <w:rPr>
                <w:rFonts w:cs="Times New Roman"/>
                <w:szCs w:val="20"/>
              </w:rPr>
              <w:t xml:space="preserve"> a greater focus on </w:t>
            </w:r>
            <w:r w:rsidR="00B90DD9" w:rsidRPr="0091450A">
              <w:t xml:space="preserve">wanting to improve outcomes for people with long-term health conditions, especially those who are obese or who have diabetes </w:t>
            </w:r>
            <w:r w:rsidR="008064E8" w:rsidRPr="0091450A">
              <w:t>and discuss collaboration across multiple sectors to reach success.</w:t>
            </w:r>
          </w:p>
          <w:p w14:paraId="32C40131" w14:textId="72EB6785" w:rsidR="00DC37B6" w:rsidRPr="0091450A" w:rsidRDefault="000C5673" w:rsidP="002D613F">
            <w:pPr>
              <w:pStyle w:val="ListParagraph"/>
              <w:numPr>
                <w:ilvl w:val="0"/>
                <w:numId w:val="17"/>
              </w:numPr>
              <w:spacing w:before="40" w:after="40"/>
              <w:contextualSpacing w:val="0"/>
              <w:rPr>
                <w:rFonts w:cs="Times New Roman"/>
                <w:szCs w:val="20"/>
              </w:rPr>
            </w:pPr>
            <w:r w:rsidRPr="0091450A">
              <w:rPr>
                <w:rFonts w:cs="Times New Roman"/>
                <w:szCs w:val="20"/>
              </w:rPr>
              <w:t>The Healthy F</w:t>
            </w:r>
            <w:r w:rsidR="00DC37B6" w:rsidRPr="0091450A">
              <w:rPr>
                <w:rFonts w:cs="Times New Roman"/>
                <w:szCs w:val="20"/>
              </w:rPr>
              <w:t>amilies</w:t>
            </w:r>
            <w:r w:rsidRPr="0091450A">
              <w:rPr>
                <w:rFonts w:cs="Times New Roman"/>
                <w:szCs w:val="20"/>
              </w:rPr>
              <w:t xml:space="preserve"> NZ</w:t>
            </w:r>
            <w:r w:rsidR="00BA7585" w:rsidRPr="0091450A">
              <w:rPr>
                <w:rFonts w:cs="Times New Roman"/>
                <w:szCs w:val="20"/>
              </w:rPr>
              <w:t xml:space="preserve"> </w:t>
            </w:r>
            <w:r w:rsidR="00437032" w:rsidRPr="0091450A">
              <w:rPr>
                <w:rFonts w:cs="Times New Roman"/>
                <w:szCs w:val="20"/>
              </w:rPr>
              <w:fldChar w:fldCharType="begin" w:fldLock="1"/>
            </w:r>
            <w:r w:rsidR="00EC12A7">
              <w:rPr>
                <w:rFonts w:cs="Times New Roman"/>
                <w:szCs w:val="20"/>
              </w:rPr>
              <w:instrText>ADDIN CSL_CITATION {"citationItems":[{"id":"ITEM-1","itemData":{"URL":"http://www.health.govt.nz/our-work/preventative-health-wellness/healthy-families-nz","accessed":{"date-parts":[["2014","4","2"]]},"author":[{"dropping-particle":"","family":"Ministry of Health","given":"","non-dropping-particle":"","parse-names":false,"suffix":""}],"id":"ITEM-1","issued":{"date-parts":[["2014"]]},"title":"Healthy Families NZ","type":"webpage"},"uris":["http://www.mendeley.com/documents/?uuid=e8f890f4-5150-483c-84d3-0225e81ba74c","http://www.mendeley.com/documents/?uuid=90e9e83d-581a-41d5-848b-69e59b564387"]}],"mendeley":{"formattedCitation":"(193)","plainTextFormattedCitation":"(193)","previouslyFormattedCitation":"(193)"},"properties":{"noteIndex":0},"schema":"https://github.com/citation-style-language/schema/raw/master/csl-citation.json"}</w:instrText>
            </w:r>
            <w:r w:rsidR="00437032" w:rsidRPr="0091450A">
              <w:rPr>
                <w:rFonts w:cs="Times New Roman"/>
                <w:szCs w:val="20"/>
              </w:rPr>
              <w:fldChar w:fldCharType="separate"/>
            </w:r>
            <w:r w:rsidR="009C4029" w:rsidRPr="009C4029">
              <w:rPr>
                <w:rFonts w:cs="Times New Roman"/>
                <w:noProof/>
                <w:szCs w:val="20"/>
              </w:rPr>
              <w:t>(193)</w:t>
            </w:r>
            <w:r w:rsidR="00437032" w:rsidRPr="0091450A">
              <w:rPr>
                <w:rFonts w:cs="Times New Roman"/>
                <w:szCs w:val="20"/>
              </w:rPr>
              <w:fldChar w:fldCharType="end"/>
            </w:r>
            <w:r w:rsidR="00437032" w:rsidRPr="0091450A">
              <w:rPr>
                <w:rFonts w:cs="Times New Roman"/>
                <w:szCs w:val="20"/>
              </w:rPr>
              <w:t xml:space="preserve"> </w:t>
            </w:r>
            <w:r w:rsidRPr="0091450A">
              <w:rPr>
                <w:rFonts w:cs="Times New Roman"/>
                <w:szCs w:val="20"/>
              </w:rPr>
              <w:t>and C</w:t>
            </w:r>
            <w:r w:rsidR="00DC37B6" w:rsidRPr="0091450A">
              <w:rPr>
                <w:rFonts w:cs="Times New Roman"/>
                <w:szCs w:val="20"/>
              </w:rPr>
              <w:t xml:space="preserve">hildhood </w:t>
            </w:r>
            <w:r w:rsidRPr="0091450A">
              <w:rPr>
                <w:rFonts w:cs="Times New Roman"/>
                <w:szCs w:val="20"/>
              </w:rPr>
              <w:t>O</w:t>
            </w:r>
            <w:r w:rsidR="00DC37B6" w:rsidRPr="0091450A">
              <w:rPr>
                <w:rFonts w:cs="Times New Roman"/>
                <w:szCs w:val="20"/>
              </w:rPr>
              <w:t>be</w:t>
            </w:r>
            <w:r w:rsidRPr="0091450A">
              <w:rPr>
                <w:rFonts w:cs="Times New Roman"/>
                <w:szCs w:val="20"/>
              </w:rPr>
              <w:t>sity P</w:t>
            </w:r>
            <w:r w:rsidR="00DC37B6" w:rsidRPr="0091450A">
              <w:rPr>
                <w:rFonts w:cs="Times New Roman"/>
                <w:szCs w:val="20"/>
              </w:rPr>
              <w:t xml:space="preserve">lan </w:t>
            </w:r>
            <w:r w:rsidR="0065167A"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{"citationItems":[{"id":"ITEM-1","itemData":{"URL":"https://www.health.govt.nz/our-work/diseases-and-conditions/obesity/childhood-obesity-plan","author":[{"dropping-particle":"","family":"Ministry of Health","given":"","non-dropping-particle":"","parse-names":false,"suffix":""}],"id":"ITEM-1","issue":"12/12/2016","issued":{"date-parts":[["2016"]]},"title":"Childhood obesity plan","type":"webpage"},"uris":["http://www.mendeley.com/documents/?uuid=1fff5286-50e7-48b3-925a-58988e227dbc","http://www.mendeley.com/documents/?uuid=b5a8989e-025f-352e-9e63-285d113b3f0e"]}],"mendeley":{"formattedCitation":"(176)","plainTextFormattedCitation":"(176)","previouslyFormattedCitation":"(176)"},"properties":{"noteIndex":0},"schema":"https://github.com/citation-style-language/schema/raw/master/csl-citation.json"}</w:instrText>
            </w:r>
            <w:r w:rsidR="0065167A" w:rsidRPr="0091450A">
              <w:rPr>
                <w:rFonts w:cs="Times New Roman"/>
                <w:szCs w:val="20"/>
              </w:rPr>
              <w:fldChar w:fldCharType="separate"/>
            </w:r>
            <w:r w:rsidR="009C4029" w:rsidRPr="009C4029">
              <w:rPr>
                <w:rFonts w:cs="Times New Roman"/>
                <w:noProof/>
                <w:szCs w:val="20"/>
              </w:rPr>
              <w:t>(176)</w:t>
            </w:r>
            <w:r w:rsidR="0065167A" w:rsidRPr="0091450A">
              <w:rPr>
                <w:rFonts w:cs="Times New Roman"/>
                <w:szCs w:val="20"/>
              </w:rPr>
              <w:fldChar w:fldCharType="end"/>
            </w:r>
            <w:r w:rsidR="00DC37B6" w:rsidRPr="0091450A">
              <w:rPr>
                <w:rFonts w:cs="Times New Roman"/>
                <w:szCs w:val="20"/>
              </w:rPr>
              <w:t xml:space="preserve"> encourages organisations to work across sectors.</w:t>
            </w:r>
          </w:p>
          <w:p w14:paraId="2C831DFD" w14:textId="63FEA0FF" w:rsidR="00593F18" w:rsidRPr="0091450A" w:rsidRDefault="006D0C3A" w:rsidP="002D613F">
            <w:pPr>
              <w:pStyle w:val="ListParagraph"/>
              <w:numPr>
                <w:ilvl w:val="0"/>
                <w:numId w:val="17"/>
              </w:numPr>
              <w:shd w:val="clear" w:color="auto" w:fill="FFFFFF" w:themeFill="background1"/>
              <w:rPr>
                <w:rFonts w:cs="Times New Roman"/>
                <w:szCs w:val="20"/>
              </w:rPr>
            </w:pPr>
            <w:r w:rsidRPr="0091450A">
              <w:rPr>
                <w:rFonts w:cs="Times New Roman"/>
                <w:szCs w:val="20"/>
              </w:rPr>
              <w:t>The C</w:t>
            </w:r>
            <w:r w:rsidR="00BF249E" w:rsidRPr="0091450A">
              <w:rPr>
                <w:rFonts w:cs="Times New Roman"/>
                <w:szCs w:val="20"/>
              </w:rPr>
              <w:t xml:space="preserve">hildhood </w:t>
            </w:r>
            <w:r w:rsidRPr="0091450A">
              <w:rPr>
                <w:rFonts w:cs="Times New Roman"/>
                <w:szCs w:val="20"/>
              </w:rPr>
              <w:t>O</w:t>
            </w:r>
            <w:r w:rsidR="00BF249E" w:rsidRPr="0091450A">
              <w:rPr>
                <w:rFonts w:cs="Times New Roman"/>
                <w:szCs w:val="20"/>
              </w:rPr>
              <w:t xml:space="preserve">besity </w:t>
            </w:r>
            <w:r w:rsidRPr="0091450A">
              <w:rPr>
                <w:rFonts w:cs="Times New Roman"/>
                <w:szCs w:val="20"/>
              </w:rPr>
              <w:t>P</w:t>
            </w:r>
            <w:r w:rsidR="00BF249E" w:rsidRPr="0091450A">
              <w:rPr>
                <w:rFonts w:cs="Times New Roman"/>
                <w:szCs w:val="20"/>
              </w:rPr>
              <w:t>lan</w:t>
            </w:r>
            <w:r w:rsidR="00E9190A" w:rsidRPr="0091450A">
              <w:rPr>
                <w:rFonts w:cs="Times New Roman"/>
                <w:szCs w:val="20"/>
              </w:rPr>
              <w:t xml:space="preserve"> includes sports and education sectors</w:t>
            </w:r>
            <w:r w:rsidR="00BF249E" w:rsidRPr="0091450A">
              <w:rPr>
                <w:rFonts w:cs="Times New Roman"/>
                <w:szCs w:val="20"/>
              </w:rPr>
              <w:t xml:space="preserve"> </w:t>
            </w:r>
            <w:r w:rsidR="0065167A" w:rsidRPr="0091450A">
              <w:rPr>
                <w:rFonts w:cs="Times New Roman"/>
                <w:szCs w:val="20"/>
              </w:rPr>
              <w:fldChar w:fldCharType="begin" w:fldLock="1"/>
            </w:r>
            <w:r w:rsidR="00EC12A7">
              <w:rPr>
                <w:rFonts w:cs="Times New Roman"/>
                <w:szCs w:val="20"/>
              </w:rPr>
              <w:instrText>ADDIN CSL_CITATION {"citationItems":[{"id":"ITEM-1","itemData":{"URL":"https://www.health.govt.nz/our-work/diseases-and-conditions/obesity/childhood-obesity-plan","author":[{"dropping-particle":"","family":"Ministry of Health","given":"","non-dropping-particle":"","parse-names":false,"suffix":""}],"id":"ITEM-1","issue":"12/12/2016","issued":{"date-parts":[["2016"]]},"title":"Childhood obesity plan","type":"webpage"},"uris":["http://www.mendeley.com/documents/?uuid=1fff5286-50e7-48b3-925a-58988e227dbc","http://www.mendeley.com/documents/?uuid=b5a8989e-025f-352e-9e63-285d113b3f0e"]}],"mendeley":{"formattedCitation":"(176)","plainTextFormattedCitation":"(176)","previouslyFormattedCitation":"(176)"},"properties":{"noteIndex":0},"schema":"https://github.com/citation-style-language/schema/raw/master/csl-citation.json"}</w:instrText>
            </w:r>
            <w:r w:rsidR="0065167A" w:rsidRPr="0091450A">
              <w:rPr>
                <w:rFonts w:cs="Times New Roman"/>
                <w:szCs w:val="20"/>
              </w:rPr>
              <w:fldChar w:fldCharType="separate"/>
            </w:r>
            <w:r w:rsidR="009C4029" w:rsidRPr="009C4029">
              <w:rPr>
                <w:rFonts w:cs="Times New Roman"/>
                <w:noProof/>
                <w:szCs w:val="20"/>
              </w:rPr>
              <w:t>(176)</w:t>
            </w:r>
            <w:r w:rsidR="0065167A" w:rsidRPr="0091450A">
              <w:rPr>
                <w:rFonts w:cs="Times New Roman"/>
                <w:szCs w:val="20"/>
              </w:rPr>
              <w:fldChar w:fldCharType="end"/>
            </w:r>
            <w:r w:rsidR="00E9190A" w:rsidRPr="0091450A">
              <w:rPr>
                <w:rFonts w:cs="Times New Roman"/>
                <w:szCs w:val="20"/>
              </w:rPr>
              <w:t xml:space="preserve">. </w:t>
            </w:r>
            <w:r w:rsidR="0059584B" w:rsidRPr="0091450A">
              <w:rPr>
                <w:rFonts w:cs="Times New Roman"/>
                <w:szCs w:val="20"/>
              </w:rPr>
              <w:t>Healthy Active Learning is a new initiative</w:t>
            </w:r>
            <w:r w:rsidR="00593F18" w:rsidRPr="0091450A">
              <w:rPr>
                <w:rFonts w:cs="Times New Roman"/>
                <w:szCs w:val="20"/>
              </w:rPr>
              <w:t xml:space="preserve"> from the 2019 Wellbeing budget</w:t>
            </w:r>
            <w:r w:rsidR="0059584B" w:rsidRPr="0091450A">
              <w:rPr>
                <w:rFonts w:cs="Times New Roman"/>
                <w:szCs w:val="20"/>
              </w:rPr>
              <w:t xml:space="preserve"> that is a collaboration between the Ministry of Health</w:t>
            </w:r>
            <w:r w:rsidR="00593F18" w:rsidRPr="0091450A">
              <w:rPr>
                <w:rFonts w:cs="Times New Roman"/>
                <w:szCs w:val="20"/>
              </w:rPr>
              <w:t xml:space="preserve"> a</w:t>
            </w:r>
            <w:r w:rsidR="0059584B" w:rsidRPr="0091450A">
              <w:rPr>
                <w:rFonts w:cs="Times New Roman"/>
                <w:szCs w:val="20"/>
              </w:rPr>
              <w:t>nd Sport N</w:t>
            </w:r>
            <w:r w:rsidR="00593F18" w:rsidRPr="0091450A">
              <w:rPr>
                <w:rFonts w:cs="Times New Roman"/>
                <w:szCs w:val="20"/>
              </w:rPr>
              <w:t xml:space="preserve">ew </w:t>
            </w:r>
            <w:r w:rsidR="0059584B" w:rsidRPr="0091450A">
              <w:rPr>
                <w:rFonts w:cs="Times New Roman"/>
                <w:szCs w:val="20"/>
              </w:rPr>
              <w:t>Z</w:t>
            </w:r>
            <w:r w:rsidR="00593F18" w:rsidRPr="0091450A">
              <w:rPr>
                <w:rFonts w:cs="Times New Roman"/>
                <w:szCs w:val="20"/>
              </w:rPr>
              <w:t>ealand</w:t>
            </w:r>
            <w:r w:rsidR="0059584B" w:rsidRPr="0091450A">
              <w:rPr>
                <w:rFonts w:cs="Times New Roman"/>
                <w:szCs w:val="20"/>
              </w:rPr>
              <w:t xml:space="preserve"> </w:t>
            </w:r>
            <w:r w:rsidR="00593F18" w:rsidRPr="0091450A">
              <w:rPr>
                <w:rFonts w:cstheme="minorHAnsi"/>
                <w:szCs w:val="20"/>
              </w:rPr>
              <w:fldChar w:fldCharType="begin" w:fldLock="1"/>
            </w:r>
            <w:r w:rsidR="009C4029">
              <w:rPr>
                <w:rFonts w:cstheme="minorHAnsi"/>
                <w:szCs w:val="20"/>
              </w:rPr>
              <w:instrText>ADDIN CSL_CITATION {"citationItems":[{"id":"ITEM-1","itemData":{"URL":"https://sportnz.org.nz/news-and-events/media-releases-and-updates/articles/healthy-active-learning-set-to-roll-out-in-early-2020","accessed":{"date-parts":[["2020","1","20"]]},"author":[{"dropping-particle":"","family":"Sport New Zealand","given":"","non-dropping-particle":"","parse-names":false,"suffix":""}],"id":"ITEM-1","issued":{"date-parts":[["2019"]]},"title":"Healthy Active Learning set to roll out in early 2020","type":"webpage"},"uris":["http://www.mendeley.com/documents/?uuid=5d075743-041b-315b-b701-159b0f142329","http://www.mendeley.com/documents/?uuid=fa09fa88-8393-44c4-bcb8-131780d3006b"]}],"mendeley":{"formattedCitation":"(123)","plainTextFormattedCitation":"(123)","previouslyFormattedCitation":"(123)"},"properties":{"noteIndex":0},"schema":"https://github.com/citation-style-language/schema/raw/master/csl-citation.json"}</w:instrText>
            </w:r>
            <w:r w:rsidR="00593F18" w:rsidRPr="0091450A">
              <w:rPr>
                <w:rFonts w:cstheme="minorHAnsi"/>
                <w:szCs w:val="20"/>
              </w:rPr>
              <w:fldChar w:fldCharType="separate"/>
            </w:r>
            <w:r w:rsidR="004C06EB" w:rsidRPr="004C06EB">
              <w:rPr>
                <w:rFonts w:cstheme="minorHAnsi"/>
                <w:noProof/>
                <w:szCs w:val="20"/>
              </w:rPr>
              <w:t>(123)</w:t>
            </w:r>
            <w:r w:rsidR="00593F18" w:rsidRPr="0091450A">
              <w:rPr>
                <w:rFonts w:cstheme="minorHAnsi"/>
                <w:szCs w:val="20"/>
              </w:rPr>
              <w:fldChar w:fldCharType="end"/>
            </w:r>
            <w:r w:rsidR="00593F18" w:rsidRPr="0091450A">
              <w:rPr>
                <w:rFonts w:cstheme="minorHAnsi"/>
                <w:szCs w:val="20"/>
              </w:rPr>
              <w:t xml:space="preserve">. </w:t>
            </w:r>
          </w:p>
          <w:p w14:paraId="69A7123B" w14:textId="25EFB536" w:rsidR="00D921CC" w:rsidRPr="0091450A" w:rsidRDefault="005244CC" w:rsidP="002D613F">
            <w:pPr>
              <w:pStyle w:val="ListParagraph"/>
              <w:numPr>
                <w:ilvl w:val="0"/>
                <w:numId w:val="17"/>
              </w:numPr>
              <w:spacing w:before="40" w:after="40"/>
              <w:contextualSpacing w:val="0"/>
              <w:rPr>
                <w:rFonts w:cs="Times New Roman"/>
                <w:szCs w:val="20"/>
              </w:rPr>
            </w:pPr>
            <w:proofErr w:type="spellStart"/>
            <w:r w:rsidRPr="0091450A">
              <w:rPr>
                <w:rFonts w:cs="Times New Roman"/>
                <w:szCs w:val="20"/>
              </w:rPr>
              <w:t>Whānau</w:t>
            </w:r>
            <w:proofErr w:type="spellEnd"/>
            <w:r w:rsidRPr="0091450A">
              <w:rPr>
                <w:rFonts w:cs="Times New Roman"/>
                <w:szCs w:val="20"/>
              </w:rPr>
              <w:t xml:space="preserve"> Ora is an inclusive interagency approach to providing health and social services to build the capacity of all New Zealand families in need.  It empowers </w:t>
            </w:r>
            <w:proofErr w:type="spellStart"/>
            <w:r w:rsidRPr="0091450A">
              <w:rPr>
                <w:rFonts w:cs="Times New Roman"/>
                <w:szCs w:val="20"/>
              </w:rPr>
              <w:t>whānau</w:t>
            </w:r>
            <w:proofErr w:type="spellEnd"/>
            <w:r w:rsidRPr="0091450A">
              <w:rPr>
                <w:rFonts w:cs="Times New Roman"/>
                <w:szCs w:val="20"/>
              </w:rPr>
              <w:t xml:space="preserve"> as a whole rather than focusing separately on individual family members and their problems</w:t>
            </w:r>
            <w:r w:rsidR="004E7607" w:rsidRPr="0091450A">
              <w:rPr>
                <w:rFonts w:cs="Times New Roman"/>
                <w:szCs w:val="20"/>
              </w:rPr>
              <w:t xml:space="preserve"> </w:t>
            </w:r>
            <w:r w:rsidR="004E7607" w:rsidRPr="0091450A">
              <w:rPr>
                <w:rFonts w:cs="Times New Roman"/>
                <w:szCs w:val="20"/>
              </w:rPr>
              <w:fldChar w:fldCharType="begin" w:fldLock="1"/>
            </w:r>
            <w:r w:rsidR="00EC12A7">
              <w:rPr>
                <w:rFonts w:cs="Times New Roman"/>
                <w:szCs w:val="20"/>
              </w:rPr>
              <w:instrText>ADDIN CSL_CITATION {"citationItems":[{"id":"ITEM-1","itemData":{"URL":"http://www.tpk.govt.nz/en/in-focus/whanau-ora/","author":[{"dropping-particle":"","family":"Puni Kokiri","given":"","non-dropping-particle":"Te","parse-names":false,"suffix":""}],"id":"ITEM-1","issue":"21/01/2014","issued":{"date-parts":[["0"]]},"title":"Whānau Ora","type":"webpage"},"uris":["http://www.mendeley.com/documents/?uuid=1ac7bb44-f1e7-3c3d-990d-d7848b875a2e","http://www.mendeley.com/documents/?uuid=582644ee-59c4-46ad-8c29-23f1342c0bf6"]}],"mendeley":{"formattedCitation":"(259)","plainTextFormattedCitation":"(259)","previouslyFormattedCitation":"(259)"},"properties":{"noteIndex":0},"schema":"https://github.com/citation-style-language/schema/raw/master/csl-citation.json"}</w:instrText>
            </w:r>
            <w:r w:rsidR="004E7607" w:rsidRPr="0091450A">
              <w:rPr>
                <w:rFonts w:cs="Times New Roman"/>
                <w:szCs w:val="20"/>
              </w:rPr>
              <w:fldChar w:fldCharType="separate"/>
            </w:r>
            <w:r w:rsidR="009C4029" w:rsidRPr="009C4029">
              <w:rPr>
                <w:rFonts w:cs="Times New Roman"/>
                <w:noProof/>
                <w:szCs w:val="20"/>
              </w:rPr>
              <w:t>(259)</w:t>
            </w:r>
            <w:r w:rsidR="004E7607" w:rsidRPr="0091450A">
              <w:rPr>
                <w:rFonts w:cs="Times New Roman"/>
                <w:szCs w:val="20"/>
              </w:rPr>
              <w:fldChar w:fldCharType="end"/>
            </w:r>
            <w:r w:rsidRPr="0091450A">
              <w:rPr>
                <w:rFonts w:cs="Times New Roman"/>
                <w:szCs w:val="20"/>
              </w:rPr>
              <w:t>.</w:t>
            </w:r>
            <w:r w:rsidR="00F56311" w:rsidRPr="0091450A">
              <w:rPr>
                <w:rFonts w:cs="Times New Roman"/>
                <w:szCs w:val="20"/>
              </w:rPr>
              <w:t xml:space="preserve"> </w:t>
            </w:r>
            <w:r w:rsidR="00C61D72" w:rsidRPr="0091450A">
              <w:rPr>
                <w:rFonts w:cs="Times New Roman"/>
                <w:szCs w:val="20"/>
              </w:rPr>
              <w:t>It is j</w:t>
            </w:r>
            <w:r w:rsidR="00F56311" w:rsidRPr="0091450A">
              <w:rPr>
                <w:rFonts w:cs="Times New Roman"/>
                <w:szCs w:val="20"/>
              </w:rPr>
              <w:t>ointly implemented by MoH, MSD and TPK.</w:t>
            </w:r>
          </w:p>
          <w:p w14:paraId="18C9D895" w14:textId="77777777" w:rsidR="009B490C" w:rsidRPr="0091450A" w:rsidRDefault="009B490C" w:rsidP="002D613F">
            <w:pPr>
              <w:pStyle w:val="ListParagraph"/>
              <w:spacing w:before="40" w:after="40"/>
              <w:ind w:left="360"/>
              <w:contextualSpacing w:val="0"/>
              <w:rPr>
                <w:rFonts w:cs="Times New Roman"/>
                <w:szCs w:val="20"/>
              </w:rPr>
            </w:pPr>
          </w:p>
          <w:p w14:paraId="7995D654" w14:textId="4B9FE27A"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0205E2CF" w14:textId="056AD52F" w:rsidR="00012F98" w:rsidRPr="0091450A" w:rsidRDefault="00012F98" w:rsidP="002D613F">
            <w:pPr>
              <w:pStyle w:val="ListParagraph"/>
              <w:keepNext/>
              <w:numPr>
                <w:ilvl w:val="0"/>
                <w:numId w:val="17"/>
              </w:numPr>
              <w:spacing w:before="40" w:after="40"/>
              <w:contextualSpacing w:val="0"/>
              <w:rPr>
                <w:rFonts w:eastAsia="Times New Roman" w:cs="Times New Roman"/>
                <w:szCs w:val="20"/>
                <w:lang w:eastAsia="en-NZ"/>
              </w:rPr>
            </w:pPr>
            <w:r w:rsidRPr="0091450A">
              <w:rPr>
                <w:b/>
                <w:szCs w:val="20"/>
              </w:rPr>
              <w:lastRenderedPageBreak/>
              <w:t>Australia</w:t>
            </w:r>
            <w:r w:rsidRPr="0091450A">
              <w:rPr>
                <w:szCs w:val="20"/>
              </w:rPr>
              <w:t xml:space="preserve">: There are several forums and committees </w:t>
            </w:r>
            <w:r w:rsidR="00947226" w:rsidRPr="0091450A">
              <w:rPr>
                <w:szCs w:val="20"/>
              </w:rPr>
              <w:t>for</w:t>
            </w:r>
            <w:r w:rsidRPr="0091450A">
              <w:rPr>
                <w:szCs w:val="20"/>
              </w:rPr>
              <w:t xml:space="preserve"> strengthening food regulation with representation from New Zealand and Health Ministers from Australian States and Territories, the Australian Government, as well as other Minis</w:t>
            </w:r>
            <w:r w:rsidR="00046833" w:rsidRPr="0091450A">
              <w:rPr>
                <w:szCs w:val="20"/>
              </w:rPr>
              <w:t>ters from related portfolios (</w:t>
            </w:r>
            <w:r w:rsidR="00AE20D3" w:rsidRPr="0091450A">
              <w:rPr>
                <w:szCs w:val="20"/>
              </w:rPr>
              <w:t>e.g.</w:t>
            </w:r>
            <w:r w:rsidRPr="0091450A">
              <w:rPr>
                <w:szCs w:val="20"/>
              </w:rPr>
              <w:t xml:space="preserve"> Primary Industries). Where relevant, there is also representation from the Australian Local Government Association.</w:t>
            </w:r>
          </w:p>
          <w:p w14:paraId="0E2E1492" w14:textId="6A9016CC" w:rsidR="00FE20A7" w:rsidRPr="0091450A" w:rsidRDefault="00FE20A7" w:rsidP="002D613F">
            <w:pPr>
              <w:pStyle w:val="ListParagraph"/>
              <w:keepNext/>
              <w:numPr>
                <w:ilvl w:val="0"/>
                <w:numId w:val="17"/>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Finland</w:t>
            </w:r>
            <w:r w:rsidRPr="0091450A">
              <w:rPr>
                <w:rFonts w:eastAsia="Times New Roman" w:cs="Times New Roman"/>
                <w:szCs w:val="20"/>
                <w:lang w:eastAsia="en-NZ"/>
              </w:rPr>
              <w:t xml:space="preserve">: The Finnish National Nutrition Council is an inter-governmental expert body under the Ministry of Agriculture and Forestry with advisory, coordinating and monitoring functions. It is composed of representatives elected for three-year terms from government authorities dealing with nutrition, food safety, health promotion, catering, food industry, trade and agriculture </w:t>
            </w:r>
            <w:r w:rsidR="007B48BC"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{"citationItems":[{"id":"ITEM-1","itemData":{"URL":"http://www.wcrf.org/int/policy/nourishing-framework/harness-food-supply-chain","author":[{"dropping-particle":"","family":"World Cancer Research Fund","given":"","non-dropping-particle":"","parse-names":false,"suffix":""}],"id":"ITEM-1","issue":"22/02/2016","issued":{"date-parts":[["2016"]]},"title":"NOURISHING Framework - Harness food supply chain","type":"webpage"},"uris":["http://www.mendeley.com/documents/?uuid=64e2c13c-26e1-4cbb-ba18-6d58223a206a","http://www.mendeley.com/documents/?uuid=07441826-c84f-356f-bc44-3a42b1b0e776"]}],"mendeley":{"formattedCitation":"(86)","plainTextFormattedCitation":"(86)","previouslyFormattedCitation":"(86)"},"properties":{"noteIndex":0},"schema":"https://github.com/citation-style-language/schema/raw/master/csl-citation.json"}</w:instrText>
            </w:r>
            <w:r w:rsidR="007B48BC"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(86)</w:t>
            </w:r>
            <w:r w:rsidR="007B48BC" w:rsidRPr="0091450A">
              <w:rPr>
                <w:rFonts w:eastAsia="Times New Roman" w:cs="Times New Roman"/>
                <w:szCs w:val="20"/>
                <w:lang w:eastAsia="en-NZ"/>
              </w:rPr>
              <w:fldChar w:fldCharType="end"/>
            </w:r>
            <w:r w:rsidR="007B48BC" w:rsidRPr="0091450A">
              <w:rPr>
                <w:rFonts w:eastAsia="Times New Roman" w:cs="Times New Roman"/>
                <w:szCs w:val="20"/>
                <w:lang w:eastAsia="en-NZ"/>
              </w:rPr>
              <w:t>.</w:t>
            </w:r>
          </w:p>
          <w:p w14:paraId="3DDF5F6A" w14:textId="3B6E0BAC" w:rsidR="0092429F" w:rsidRPr="0091450A" w:rsidRDefault="00FE20A7" w:rsidP="002D613F">
            <w:pPr>
              <w:pStyle w:val="ListParagraph"/>
              <w:keepNext/>
              <w:numPr>
                <w:ilvl w:val="0"/>
                <w:numId w:val="17"/>
              </w:numPr>
              <w:spacing w:before="40" w:after="40"/>
              <w:contextualSpacing w:val="0"/>
            </w:pPr>
            <w:r w:rsidRPr="0091450A">
              <w:rPr>
                <w:rFonts w:eastAsia="Times New Roman" w:cs="Times New Roman"/>
                <w:b/>
                <w:szCs w:val="20"/>
                <w:lang w:eastAsia="en-NZ"/>
              </w:rPr>
              <w:t>Malta</w:t>
            </w:r>
            <w:r w:rsidRPr="0091450A">
              <w:rPr>
                <w:rFonts w:eastAsia="Times New Roman" w:cs="Times New Roman"/>
                <w:szCs w:val="20"/>
                <w:lang w:eastAsia="en-NZ"/>
              </w:rPr>
              <w:t xml:space="preserve">: Based on the Healthy Lifestyle Promotion and Care of NCDs Act (2016), Malta established an inter-ministerial Advisory Council on Healthy Lifestyles in August 2016 to advise the Minister of Health on any matter related to healthy lifestyles. </w:t>
            </w:r>
            <w:r w:rsidR="008B6FAC" w:rsidRPr="0091450A">
              <w:rPr>
                <w:rFonts w:eastAsia="Times New Roman" w:cs="Times New Roman"/>
                <w:szCs w:val="20"/>
                <w:lang w:eastAsia="en-NZ"/>
              </w:rPr>
              <w:t>The</w:t>
            </w:r>
            <w:r w:rsidRPr="0091450A">
              <w:rPr>
                <w:rFonts w:eastAsia="Times New Roman" w:cs="Times New Roman"/>
                <w:szCs w:val="20"/>
                <w:lang w:eastAsia="en-NZ"/>
              </w:rPr>
              <w:t xml:space="preserve"> Advisory Council advises on a life course approach to physical activity and nutrition, and on policies, action plans and regulations intended to reduce the occurrence of NCDs. The prime minister appoints the chair and the secretary of the Advisory Council, while the ministers of education, health, finance, social policy, sports, local government, and home affairs appoint one member each </w:t>
            </w:r>
            <w:r w:rsidR="007B48BC" w:rsidRPr="0091450A">
              <w:rPr>
                <w:rFonts w:eastAsia="Times New Roman" w:cs="Times New Roman"/>
                <w:szCs w:val="20"/>
                <w:lang w:eastAsia="en-NZ"/>
              </w:rPr>
              <w:fldChar w:fldCharType="begin" w:fldLock="1"/>
            </w:r>
            <w:r w:rsidR="009C4029">
              <w:rPr>
                <w:rFonts w:eastAsia="Times New Roman" w:cs="Times New Roman"/>
                <w:szCs w:val="20"/>
                <w:lang w:eastAsia="en-NZ"/>
              </w:rPr>
              <w:instrText>ADDIN CSL_CITATION {"citationItems":[{"id":"ITEM-1","itemData":{"URL":"http://www.wcrf.org/int/policy/nourishing-framework/harness-food-supply-chain","author":[{"dropping-particle":"","family":"World Cancer Research Fund","given":"","non-dropping-particle":"","parse-names":false,"suffix":""}],"id":"ITEM-1","issue":"22/02/2016","issued":{"date-parts":[["2016"]]},"title":"NOURISHING Framework - Harness food supply chain","type":"webpage"},"uris":["http://www.mendeley.com/documents/?uuid=64e2c13c-26e1-4cbb-ba18-6d58223a206a","http://www.mendeley.com/documents/?uuid=07441826-c84f-356f-bc44-3a42b1b0e776"]}],"mendeley":{"formattedCitation":"(86)","plainTextFormattedCitation":"(86)","previouslyFormattedCitation":"(86)"},"properties":{"noteIndex":0},"schema":"https://github.com/citation-style-language/schema/raw/master/csl-citation.json"}</w:instrText>
            </w:r>
            <w:r w:rsidR="007B48BC" w:rsidRPr="0091450A">
              <w:rPr>
                <w:rFonts w:eastAsia="Times New Roman" w:cs="Times New Roman"/>
                <w:szCs w:val="20"/>
                <w:lang w:eastAsia="en-NZ"/>
              </w:rPr>
              <w:fldChar w:fldCharType="separate"/>
            </w:r>
            <w:r w:rsidR="004C06EB" w:rsidRPr="004C06EB">
              <w:rPr>
                <w:rFonts w:eastAsia="Times New Roman" w:cs="Times New Roman"/>
                <w:noProof/>
                <w:szCs w:val="20"/>
                <w:lang w:eastAsia="en-NZ"/>
              </w:rPr>
              <w:t>(86)</w:t>
            </w:r>
            <w:r w:rsidR="007B48BC" w:rsidRPr="0091450A">
              <w:rPr>
                <w:rFonts w:eastAsia="Times New Roman" w:cs="Times New Roman"/>
                <w:szCs w:val="20"/>
                <w:lang w:eastAsia="en-NZ"/>
              </w:rPr>
              <w:fldChar w:fldCharType="end"/>
            </w:r>
            <w:r w:rsidR="007B48BC" w:rsidRPr="0091450A">
              <w:rPr>
                <w:rFonts w:eastAsia="Times New Roman" w:cs="Times New Roman"/>
                <w:szCs w:val="20"/>
                <w:lang w:eastAsia="en-NZ"/>
              </w:rPr>
              <w:t>.</w:t>
            </w:r>
          </w:p>
        </w:tc>
      </w:tr>
    </w:tbl>
    <w:p w14:paraId="184FFB7D" w14:textId="77777777" w:rsidR="002C1960" w:rsidRPr="0091450A" w:rsidRDefault="002C1960" w:rsidP="002D613F">
      <w:pPr>
        <w:spacing w:after="0" w:line="240" w:lineRule="auto"/>
      </w:pPr>
    </w:p>
    <w:tbl>
      <w:tblPr>
        <w:tblStyle w:val="TableGrid"/>
        <w:tblW w:w="9209" w:type="dxa"/>
        <w:tblLook w:val="04A0" w:firstRow="1" w:lastRow="0" w:firstColumn="1" w:lastColumn="0" w:noHBand="0" w:noVBand="1"/>
      </w:tblPr>
      <w:tblGrid>
        <w:gridCol w:w="9209"/>
      </w:tblGrid>
      <w:tr w:rsidR="002C1960" w:rsidRPr="0091450A" w14:paraId="01B5532D" w14:textId="77777777" w:rsidTr="00E83F10">
        <w:tc>
          <w:tcPr>
            <w:tcW w:w="9209" w:type="dxa"/>
          </w:tcPr>
          <w:p w14:paraId="6125C9A3" w14:textId="64BA1813" w:rsidR="002C1960" w:rsidRPr="0091450A" w:rsidRDefault="008C0F53"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 xml:space="preserve">12 </w:t>
            </w:r>
            <w:r w:rsidR="002C1960" w:rsidRPr="0091450A">
              <w:rPr>
                <w:rFonts w:cs="Times New Roman"/>
                <w:b/>
                <w:color w:val="1F497D" w:themeColor="text2"/>
                <w:sz w:val="28"/>
                <w:szCs w:val="28"/>
              </w:rPr>
              <w:t xml:space="preserve">PLATFORMS FOR INTERACTION: </w:t>
            </w:r>
            <w:r w:rsidR="00B84363" w:rsidRPr="0091450A">
              <w:rPr>
                <w:rFonts w:cs="Times New Roman"/>
                <w:szCs w:val="20"/>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r w:rsidR="00B84E85" w:rsidRPr="0091450A">
              <w:rPr>
                <w:rFonts w:cs="Times New Roman"/>
                <w:szCs w:val="20"/>
              </w:rPr>
              <w:t>.</w:t>
            </w:r>
          </w:p>
        </w:tc>
      </w:tr>
      <w:tr w:rsidR="002C1960" w:rsidRPr="0091450A" w14:paraId="76E6E57A" w14:textId="77777777" w:rsidTr="00E83F10">
        <w:tc>
          <w:tcPr>
            <w:tcW w:w="9209" w:type="dxa"/>
          </w:tcPr>
          <w:p w14:paraId="24449A79" w14:textId="553F20A5" w:rsidR="002C1960" w:rsidRPr="0091450A" w:rsidRDefault="00D921CC" w:rsidP="002D613F">
            <w:pPr>
              <w:shd w:val="clear" w:color="auto" w:fill="FFFFFF" w:themeFill="background1"/>
              <w:spacing w:before="40" w:after="40"/>
              <w:rPr>
                <w:rFonts w:cs="Times New Roman"/>
                <w:color w:val="000000"/>
                <w:szCs w:val="20"/>
                <w:lang w:eastAsia="en-NZ"/>
              </w:rPr>
            </w:pPr>
            <w:bookmarkStart w:id="70" w:name="_Toc31623768"/>
            <w:r w:rsidRPr="0091450A">
              <w:rPr>
                <w:rStyle w:val="Heading3Char"/>
              </w:rPr>
              <w:t>PLATF2</w:t>
            </w:r>
            <w:bookmarkEnd w:id="70"/>
            <w:r w:rsidR="002C1960" w:rsidRPr="0091450A">
              <w:rPr>
                <w:rFonts w:cs="Times New Roman"/>
                <w:b/>
                <w:color w:val="1F497D" w:themeColor="text2"/>
                <w:sz w:val="28"/>
                <w:szCs w:val="28"/>
              </w:rPr>
              <w:t xml:space="preserve">: </w:t>
            </w:r>
            <w:r w:rsidR="00B84363" w:rsidRPr="0091450A">
              <w:rPr>
                <w:rFonts w:cs="Times New Roman"/>
                <w:b/>
                <w:szCs w:val="20"/>
              </w:rPr>
              <w:t xml:space="preserve">There are formal platforms between </w:t>
            </w:r>
            <w:r w:rsidR="00843455">
              <w:rPr>
                <w:rFonts w:cs="Times New Roman"/>
                <w:b/>
                <w:szCs w:val="20"/>
              </w:rPr>
              <w:t xml:space="preserve">the </w:t>
            </w:r>
            <w:r w:rsidR="00B84363" w:rsidRPr="0091450A">
              <w:rPr>
                <w:rFonts w:cs="Times New Roman"/>
                <w:b/>
                <w:szCs w:val="20"/>
              </w:rPr>
              <w:t>government and the commercial food sector to implement healthy food policies</w:t>
            </w:r>
            <w:r w:rsidR="00B84E85" w:rsidRPr="0091450A">
              <w:rPr>
                <w:rFonts w:cs="Times New Roman"/>
                <w:b/>
                <w:szCs w:val="20"/>
              </w:rPr>
              <w:t>.</w:t>
            </w:r>
          </w:p>
        </w:tc>
      </w:tr>
      <w:tr w:rsidR="002C1960" w:rsidRPr="0091450A" w14:paraId="322D25C8" w14:textId="77777777" w:rsidTr="00E83F10">
        <w:tc>
          <w:tcPr>
            <w:tcW w:w="9209" w:type="dxa"/>
          </w:tcPr>
          <w:p w14:paraId="2149876A" w14:textId="1E8BF07E" w:rsidR="0020485F" w:rsidRPr="009B490C" w:rsidRDefault="0020485F" w:rsidP="002D613F">
            <w:pPr>
              <w:spacing w:before="40" w:after="40"/>
              <w:rPr>
                <w:rFonts w:cs="Times New Roman"/>
                <w:b/>
                <w:color w:val="1F497D" w:themeColor="text2"/>
                <w:sz w:val="28"/>
                <w:szCs w:val="28"/>
              </w:rPr>
            </w:pPr>
            <w:r w:rsidRPr="009B490C">
              <w:rPr>
                <w:rFonts w:cs="Times New Roman"/>
                <w:b/>
                <w:color w:val="1F497D" w:themeColor="text2"/>
                <w:sz w:val="28"/>
                <w:szCs w:val="28"/>
              </w:rPr>
              <w:t xml:space="preserve">Evidence </w:t>
            </w:r>
            <w:r w:rsidR="00C04080" w:rsidRPr="009B490C">
              <w:rPr>
                <w:rFonts w:cs="Times New Roman"/>
                <w:b/>
                <w:color w:val="1F497D" w:themeColor="text2"/>
                <w:sz w:val="28"/>
                <w:szCs w:val="28"/>
              </w:rPr>
              <w:t>of implementation</w:t>
            </w:r>
          </w:p>
          <w:p w14:paraId="6CF30327" w14:textId="07C28A1F" w:rsidR="00C50D67" w:rsidRPr="009B490C" w:rsidRDefault="007D7A4F" w:rsidP="002D613F">
            <w:pPr>
              <w:pStyle w:val="ListParagraph"/>
              <w:numPr>
                <w:ilvl w:val="0"/>
                <w:numId w:val="18"/>
              </w:numPr>
              <w:shd w:val="clear" w:color="auto" w:fill="FFFFFF" w:themeFill="background1"/>
              <w:spacing w:before="40" w:after="40"/>
              <w:contextualSpacing w:val="0"/>
              <w:rPr>
                <w:rFonts w:cs="Times New Roman"/>
                <w:bCs/>
                <w:szCs w:val="20"/>
              </w:rPr>
            </w:pPr>
            <w:r w:rsidRPr="009B490C">
              <w:rPr>
                <w:rFonts w:cs="Times New Roman"/>
                <w:bCs/>
                <w:szCs w:val="20"/>
              </w:rPr>
              <w:t>T</w:t>
            </w:r>
            <w:r w:rsidR="00155D9F" w:rsidRPr="009B490C">
              <w:rPr>
                <w:rFonts w:cs="Times New Roman"/>
                <w:bCs/>
                <w:szCs w:val="20"/>
              </w:rPr>
              <w:t>h</w:t>
            </w:r>
            <w:r w:rsidRPr="009B490C">
              <w:rPr>
                <w:rFonts w:cs="Times New Roman"/>
                <w:bCs/>
                <w:szCs w:val="20"/>
              </w:rPr>
              <w:t>e</w:t>
            </w:r>
            <w:r w:rsidR="00593111" w:rsidRPr="009B490C">
              <w:rPr>
                <w:rFonts w:cs="Times New Roman"/>
                <w:bCs/>
                <w:szCs w:val="20"/>
              </w:rPr>
              <w:t xml:space="preserve"> advisory groups related to HSR</w:t>
            </w:r>
            <w:r w:rsidR="008C4F77" w:rsidRPr="009B490C">
              <w:rPr>
                <w:rFonts w:cs="Times New Roman"/>
                <w:bCs/>
                <w:szCs w:val="20"/>
              </w:rPr>
              <w:t xml:space="preserve"> </w:t>
            </w:r>
            <w:r w:rsidR="00D645D9" w:rsidRPr="009B490C">
              <w:rPr>
                <w:rFonts w:cs="Times New Roman"/>
                <w:bCs/>
                <w:szCs w:val="20"/>
              </w:rPr>
              <w:fldChar w:fldCharType="begin" w:fldLock="1"/>
            </w:r>
            <w:r w:rsidR="002B6CB8" w:rsidRPr="009B490C">
              <w:rPr>
                <w:rFonts w:cs="Times New Roman"/>
                <w:bCs/>
                <w:szCs w:val="20"/>
              </w:rPr>
              <w:instrText>ADDIN CSL_CITATION {"citationItems":[{"id":"ITEM-1","itemData":{"URL":"http://www.foodsafety.govt.nz/industry/general/labelling-composition/health-star-rating/governance.htm","author":[{"dropping-particle":"","family":"Ministry for Primary Industries","given":"","non-dropping-particle":"","parse-names":false,"suffix":""}],"id":"ITEM-1","issue":"1/12/2016","issued":{"date-parts":[["2016"]]},"title":"Health Star Rating system: Governance","type":"webpage"},"uris":["http://www.mendeley.com/documents/?uuid=e2a58e09-6e95-42ed-9529-0a6d84ad5f4a","http://www.mendeley.com/documents/?uuid=ff6e879a-925a-31b4-8b39-56f8e6704632"]}],"mendeley":{"formattedCitation":"(45)","plainTextFormattedCitation":"(45)","previouslyFormattedCitation":"(45)"},"properties":{"noteIndex":0},"schema":"https://github.com/citation-style-language/schema/raw/master/csl-citation.json"}</w:instrText>
            </w:r>
            <w:r w:rsidR="00D645D9" w:rsidRPr="009B490C">
              <w:rPr>
                <w:rFonts w:cs="Times New Roman"/>
                <w:bCs/>
                <w:szCs w:val="20"/>
              </w:rPr>
              <w:fldChar w:fldCharType="separate"/>
            </w:r>
            <w:r w:rsidR="00A90C92" w:rsidRPr="009B490C">
              <w:rPr>
                <w:rFonts w:cs="Times New Roman"/>
                <w:bCs/>
                <w:noProof/>
                <w:szCs w:val="20"/>
              </w:rPr>
              <w:t>(45)</w:t>
            </w:r>
            <w:r w:rsidR="00D645D9" w:rsidRPr="009B490C">
              <w:rPr>
                <w:rFonts w:cs="Times New Roman"/>
                <w:bCs/>
                <w:szCs w:val="20"/>
              </w:rPr>
              <w:fldChar w:fldCharType="end"/>
            </w:r>
            <w:r w:rsidRPr="009B490C">
              <w:rPr>
                <w:rFonts w:cs="Times New Roman"/>
                <w:bCs/>
                <w:szCs w:val="20"/>
              </w:rPr>
              <w:t xml:space="preserve"> are the f</w:t>
            </w:r>
            <w:r w:rsidR="00593111" w:rsidRPr="009B490C">
              <w:rPr>
                <w:rFonts w:cs="Times New Roman"/>
                <w:bCs/>
                <w:szCs w:val="20"/>
              </w:rPr>
              <w:t xml:space="preserve">ront-of-pack labelling steering committee, </w:t>
            </w:r>
            <w:r w:rsidR="0023189B" w:rsidRPr="009B490C">
              <w:rPr>
                <w:rFonts w:cs="Times New Roman"/>
                <w:bCs/>
                <w:szCs w:val="20"/>
              </w:rPr>
              <w:t xml:space="preserve">trans-Tasman HSR advisory group (NZ holds one of 10 seats), NZ HSR advisory group. </w:t>
            </w:r>
            <w:r w:rsidRPr="009B490C">
              <w:rPr>
                <w:rFonts w:cs="Times New Roman"/>
                <w:szCs w:val="20"/>
              </w:rPr>
              <w:t xml:space="preserve">The NZ Health Star Ratings Advisory Group was established to provide advice on an approach to </w:t>
            </w:r>
            <w:r w:rsidR="00843455" w:rsidRPr="009B490C">
              <w:rPr>
                <w:rFonts w:cs="Times New Roman"/>
                <w:szCs w:val="20"/>
              </w:rPr>
              <w:t xml:space="preserve">the </w:t>
            </w:r>
            <w:r w:rsidRPr="009B490C">
              <w:rPr>
                <w:rFonts w:cs="Times New Roman"/>
                <w:szCs w:val="20"/>
              </w:rPr>
              <w:t>voluntary interpretive front of pack labelling in New Zealand.  This committee has wide representation and includes commercial food</w:t>
            </w:r>
            <w:r w:rsidRPr="009B490C">
              <w:rPr>
                <w:rFonts w:cs="Times New Roman"/>
                <w:bCs/>
                <w:szCs w:val="20"/>
              </w:rPr>
              <w:t>, academia and public health and is chaired by MPI.</w:t>
            </w:r>
          </w:p>
          <w:p w14:paraId="1C42094D" w14:textId="1C8D1F35" w:rsidR="003D43E4" w:rsidRPr="009B490C" w:rsidRDefault="003D43E4" w:rsidP="002D613F">
            <w:pPr>
              <w:pStyle w:val="ListParagraph"/>
              <w:numPr>
                <w:ilvl w:val="0"/>
                <w:numId w:val="18"/>
              </w:numPr>
              <w:shd w:val="clear" w:color="auto" w:fill="FFFFFF" w:themeFill="background1"/>
              <w:spacing w:before="40" w:after="40"/>
              <w:contextualSpacing w:val="0"/>
              <w:rPr>
                <w:rFonts w:cs="Times New Roman"/>
                <w:bCs/>
                <w:szCs w:val="20"/>
              </w:rPr>
            </w:pPr>
            <w:r w:rsidRPr="009B490C">
              <w:rPr>
                <w:rFonts w:cs="Arial"/>
                <w:color w:val="002639"/>
                <w:szCs w:val="20"/>
                <w:shd w:val="clear" w:color="auto" w:fill="FFFFFF"/>
              </w:rPr>
              <w:t xml:space="preserve">In June 2018 leading food and beverage industry members formed the Food Industry Taskforce on Addressing Factors Contributing to Obesity, at the request of the Ministers of Health and Food Safety. </w:t>
            </w:r>
          </w:p>
          <w:p w14:paraId="6DAC17C8" w14:textId="08D62328" w:rsidR="00C50D67" w:rsidRPr="009B490C" w:rsidRDefault="00FC12EA" w:rsidP="002D613F">
            <w:pPr>
              <w:pStyle w:val="ListParagraph"/>
              <w:numPr>
                <w:ilvl w:val="0"/>
                <w:numId w:val="18"/>
              </w:numPr>
              <w:shd w:val="clear" w:color="auto" w:fill="FFFFFF" w:themeFill="background1"/>
              <w:spacing w:before="40" w:after="40"/>
              <w:contextualSpacing w:val="0"/>
              <w:rPr>
                <w:rFonts w:cs="Times New Roman"/>
                <w:bCs/>
                <w:szCs w:val="20"/>
              </w:rPr>
            </w:pPr>
            <w:r w:rsidRPr="009B490C">
              <w:rPr>
                <w:rFonts w:cs="Times New Roman"/>
                <w:bCs/>
                <w:szCs w:val="20"/>
              </w:rPr>
              <w:t xml:space="preserve">The Food Industry Taskforce </w:t>
            </w:r>
            <w:r w:rsidR="002C408A" w:rsidRPr="009B490C">
              <w:t>is comprised of members from primary production and processing, manufacturing (food and beverage), quick service (including outlets in fuel stations), food service, hospitality, retail and representatives from several industry associations. In 2018</w:t>
            </w:r>
            <w:r w:rsidR="00527F42" w:rsidRPr="009B490C">
              <w:t xml:space="preserve"> </w:t>
            </w:r>
            <w:r w:rsidR="0059584B" w:rsidRPr="009B490C">
              <w:t xml:space="preserve">the </w:t>
            </w:r>
            <w:r w:rsidR="009B490C" w:rsidRPr="009B490C">
              <w:t>T</w:t>
            </w:r>
            <w:r w:rsidR="0059584B" w:rsidRPr="009B490C">
              <w:t>askforce</w:t>
            </w:r>
            <w:r w:rsidR="00527F42" w:rsidRPr="009B490C">
              <w:t xml:space="preserve"> conducted an industry survey</w:t>
            </w:r>
            <w:r w:rsidR="004B32B4" w:rsidRPr="009B490C">
              <w:t xml:space="preserve"> on information and suggestions from industry companies and associations on measure</w:t>
            </w:r>
            <w:r w:rsidR="00B7537D" w:rsidRPr="009B490C">
              <w:t>s</w:t>
            </w:r>
            <w:r w:rsidR="004B32B4" w:rsidRPr="009B490C">
              <w:t xml:space="preserve"> they could or have taken to reduce obesity.</w:t>
            </w:r>
            <w:r w:rsidR="00BC60D9" w:rsidRPr="009B490C">
              <w:t xml:space="preserve"> The three most important activities considered were; reformulation, health star rating and education </w:t>
            </w:r>
            <w:r w:rsidR="00BC60D9" w:rsidRPr="009B490C">
              <w:fldChar w:fldCharType="begin" w:fldLock="1"/>
            </w:r>
            <w:r w:rsidR="00CA5C37" w:rsidRPr="009B490C">
              <w:instrText>ADDIN CSL_CITATION {"citationItems":[{"id":"ITEM-1","itemData":{"author":[{"dropping-particle":"","family":"Food Industry Taskforce","given":"","non-dropping-particle":"","parse-names":false,"suffix":""}],"id":"ITEM-1","issued":{"date-parts":[["2018"]]},"title":"Food Industry Taskforce on Addressing Factors Contributing to Obesity Final Report to Ministers of Health and Food Safety","type":"report"},"uris":["http://www.mendeley.com/documents/?uuid=2d532748-78d7-37e8-9778-fd5c7a23b181","http://www.mendeley.com/documents/?uuid=52618bf7-257d-4277-9c13-01fa2fb54d2c"]}],"mendeley":{"formattedCitation":"(260)","plainTextFormattedCitation":"(260)","previouslyFormattedCitation":"(260)"},"properties":{"noteIndex":0},"schema":"https://github.com/citation-style-language/schema/raw/master/csl-citation.json"}</w:instrText>
            </w:r>
            <w:r w:rsidR="00BC60D9" w:rsidRPr="009B490C">
              <w:fldChar w:fldCharType="separate"/>
            </w:r>
            <w:r w:rsidR="009C4029" w:rsidRPr="009B490C">
              <w:rPr>
                <w:noProof/>
              </w:rPr>
              <w:t>(260)</w:t>
            </w:r>
            <w:r w:rsidR="00BC60D9" w:rsidRPr="009B490C">
              <w:fldChar w:fldCharType="end"/>
            </w:r>
            <w:r w:rsidR="00BC60D9" w:rsidRPr="009B490C">
              <w:t>.</w:t>
            </w:r>
            <w:r w:rsidR="003D43E4" w:rsidRPr="009B490C">
              <w:rPr>
                <w:rFonts w:cs="Arial"/>
                <w:color w:val="002639"/>
                <w:szCs w:val="20"/>
                <w:shd w:val="clear" w:color="auto" w:fill="FFFFFF"/>
              </w:rPr>
              <w:t xml:space="preserve"> On 20 December 2018</w:t>
            </w:r>
            <w:r w:rsidR="0021326D" w:rsidRPr="009B490C">
              <w:rPr>
                <w:rFonts w:cs="Arial"/>
                <w:color w:val="002639"/>
                <w:szCs w:val="20"/>
                <w:shd w:val="clear" w:color="auto" w:fill="FFFFFF"/>
              </w:rPr>
              <w:t>,</w:t>
            </w:r>
            <w:r w:rsidR="003D43E4" w:rsidRPr="009B490C">
              <w:rPr>
                <w:rFonts w:cs="Arial"/>
                <w:color w:val="002639"/>
                <w:szCs w:val="20"/>
                <w:shd w:val="clear" w:color="auto" w:fill="FFFFFF"/>
              </w:rPr>
              <w:t xml:space="preserve"> the Taskforce provided the ‘Final Report to Ministers of Health and Food Safety’ identifying actions that industry members could take to further address obesity. The Taskforce also sent a letter </w:t>
            </w:r>
            <w:r w:rsidR="009B490C" w:rsidRPr="009B490C">
              <w:rPr>
                <w:rFonts w:cs="Arial"/>
                <w:color w:val="002639"/>
                <w:szCs w:val="20"/>
                <w:shd w:val="clear" w:color="auto" w:fill="FFFFFF"/>
              </w:rPr>
              <w:t>dated</w:t>
            </w:r>
            <w:r w:rsidR="003D43E4" w:rsidRPr="009B490C">
              <w:rPr>
                <w:rFonts w:cs="Arial"/>
                <w:color w:val="002639"/>
                <w:szCs w:val="20"/>
                <w:shd w:val="clear" w:color="auto" w:fill="FFFFFF"/>
              </w:rPr>
              <w:t xml:space="preserve"> 13 September 2019 providing an update on progress towards the recommendations.</w:t>
            </w:r>
          </w:p>
          <w:p w14:paraId="79CCFE14" w14:textId="5472B830" w:rsidR="003D43E4" w:rsidRPr="009B490C" w:rsidRDefault="003D43E4" w:rsidP="000072A7">
            <w:pPr>
              <w:pStyle w:val="ListParagraph"/>
              <w:numPr>
                <w:ilvl w:val="0"/>
                <w:numId w:val="18"/>
              </w:numPr>
              <w:shd w:val="clear" w:color="auto" w:fill="FFFFFF" w:themeFill="background1"/>
              <w:spacing w:before="40" w:after="40"/>
              <w:contextualSpacing w:val="0"/>
              <w:rPr>
                <w:rFonts w:cs="Times New Roman"/>
                <w:bCs/>
                <w:szCs w:val="20"/>
              </w:rPr>
            </w:pPr>
            <w:r w:rsidRPr="009B490C">
              <w:rPr>
                <w:rFonts w:cs="Arial"/>
                <w:color w:val="002639"/>
                <w:szCs w:val="20"/>
                <w:shd w:val="clear" w:color="auto" w:fill="FFFFFF"/>
              </w:rPr>
              <w:t>The Minister</w:t>
            </w:r>
            <w:r w:rsidR="009B490C" w:rsidRPr="009B490C">
              <w:rPr>
                <w:rFonts w:cs="Arial"/>
                <w:color w:val="002639"/>
                <w:szCs w:val="20"/>
                <w:shd w:val="clear" w:color="auto" w:fill="FFFFFF"/>
              </w:rPr>
              <w:t xml:space="preserve"> for</w:t>
            </w:r>
            <w:r w:rsidRPr="009B490C">
              <w:rPr>
                <w:rFonts w:cs="Arial"/>
                <w:color w:val="002639"/>
                <w:szCs w:val="20"/>
                <w:shd w:val="clear" w:color="auto" w:fill="FFFFFF"/>
              </w:rPr>
              <w:t xml:space="preserve"> Health and Minister for Food Safety responded to </w:t>
            </w:r>
            <w:r w:rsidR="000072A7" w:rsidRPr="009B490C">
              <w:rPr>
                <w:rFonts w:cs="Arial"/>
                <w:color w:val="002639"/>
                <w:szCs w:val="20"/>
                <w:shd w:val="clear" w:color="auto" w:fill="FFFFFF"/>
              </w:rPr>
              <w:t xml:space="preserve">the taskforce one year later in </w:t>
            </w:r>
            <w:r w:rsidRPr="009B490C">
              <w:rPr>
                <w:rFonts w:cs="Arial"/>
                <w:color w:val="002639"/>
                <w:szCs w:val="20"/>
                <w:shd w:val="clear" w:color="auto" w:fill="FFFFFF"/>
              </w:rPr>
              <w:t>December 2019. The Minister</w:t>
            </w:r>
            <w:r w:rsidR="009B490C" w:rsidRPr="009B490C">
              <w:rPr>
                <w:rFonts w:cs="Arial"/>
                <w:color w:val="002639"/>
                <w:szCs w:val="20"/>
                <w:shd w:val="clear" w:color="auto" w:fill="FFFFFF"/>
              </w:rPr>
              <w:t>s</w:t>
            </w:r>
            <w:r w:rsidRPr="009B490C">
              <w:rPr>
                <w:rFonts w:cs="Arial"/>
                <w:color w:val="002639"/>
                <w:szCs w:val="20"/>
                <w:shd w:val="clear" w:color="auto" w:fill="FFFFFF"/>
              </w:rPr>
              <w:t xml:space="preserve"> encouraged the Taskforce to prioritise the following workstreams based on the WHO publication ‘Essential Nutrition Actions – mainstreaming nutrition through the life-course’. However, the </w:t>
            </w:r>
            <w:r w:rsidR="009B490C" w:rsidRPr="009B490C">
              <w:rPr>
                <w:rFonts w:cs="Arial"/>
                <w:color w:val="002639"/>
                <w:szCs w:val="20"/>
                <w:shd w:val="clear" w:color="auto" w:fill="FFFFFF"/>
              </w:rPr>
              <w:t>Ministers</w:t>
            </w:r>
            <w:r w:rsidRPr="009B490C">
              <w:rPr>
                <w:rFonts w:cs="Arial"/>
                <w:color w:val="002639"/>
                <w:szCs w:val="20"/>
                <w:shd w:val="clear" w:color="auto" w:fill="FFFFFF"/>
              </w:rPr>
              <w:t xml:space="preserve"> did not provide any information o</w:t>
            </w:r>
            <w:r w:rsidR="0021326D" w:rsidRPr="009B490C">
              <w:rPr>
                <w:rFonts w:cs="Arial"/>
                <w:color w:val="002639"/>
                <w:szCs w:val="20"/>
                <w:shd w:val="clear" w:color="auto" w:fill="FFFFFF"/>
              </w:rPr>
              <w:t>n</w:t>
            </w:r>
            <w:r w:rsidRPr="009B490C">
              <w:rPr>
                <w:rFonts w:cs="Arial"/>
                <w:color w:val="002639"/>
                <w:szCs w:val="20"/>
                <w:shd w:val="clear" w:color="auto" w:fill="FFFFFF"/>
              </w:rPr>
              <w:t xml:space="preserve"> how the government would contribute to progress on these recommendations. The Ministers propose formalising engagement between industry and government to identify common goals and establish a joint work programme.</w:t>
            </w:r>
          </w:p>
          <w:p w14:paraId="1E69EFEA" w14:textId="45D07E89" w:rsidR="00945AE4" w:rsidRPr="009B490C" w:rsidRDefault="00945AE4" w:rsidP="002D613F">
            <w:pPr>
              <w:pStyle w:val="ListParagraph"/>
              <w:numPr>
                <w:ilvl w:val="0"/>
                <w:numId w:val="18"/>
              </w:numPr>
              <w:shd w:val="clear" w:color="auto" w:fill="FFFFFF" w:themeFill="background1"/>
              <w:spacing w:before="40" w:after="40"/>
              <w:contextualSpacing w:val="0"/>
            </w:pPr>
            <w:r w:rsidRPr="009B490C">
              <w:t>The Government is taking a broad population approach to achiev</w:t>
            </w:r>
            <w:r w:rsidR="0021326D" w:rsidRPr="009B490C">
              <w:t>e</w:t>
            </w:r>
            <w:r w:rsidRPr="009B490C">
              <w:t xml:space="preserve"> </w:t>
            </w:r>
            <w:r w:rsidR="0021326D" w:rsidRPr="009B490C">
              <w:t xml:space="preserve">a </w:t>
            </w:r>
            <w:r w:rsidRPr="009B490C">
              <w:t>healthy weight with a focus on improved nutrition and increased physical activity. The approach is designed to help address the significant health losses associated with non-communicable diseases in New Zealand. Building on the Child Obesity Plan 2015, the Government is focussing on the following actions to create supportive environments:</w:t>
            </w:r>
          </w:p>
          <w:p w14:paraId="2000309A" w14:textId="2265C00D" w:rsidR="00945AE4" w:rsidRPr="009B490C" w:rsidRDefault="00945AE4" w:rsidP="002D613F">
            <w:pPr>
              <w:pStyle w:val="ListParagraph"/>
              <w:numPr>
                <w:ilvl w:val="3"/>
                <w:numId w:val="24"/>
              </w:numPr>
              <w:shd w:val="clear" w:color="auto" w:fill="FFFFFF" w:themeFill="background1"/>
              <w:spacing w:before="40" w:after="40"/>
            </w:pPr>
            <w:r w:rsidRPr="009B490C">
              <w:t>Healthy Active Learning</w:t>
            </w:r>
          </w:p>
          <w:p w14:paraId="42555372" w14:textId="62E9974F" w:rsidR="00945AE4" w:rsidRPr="009B490C" w:rsidRDefault="00945AE4" w:rsidP="002D613F">
            <w:pPr>
              <w:pStyle w:val="ListParagraph"/>
              <w:numPr>
                <w:ilvl w:val="3"/>
                <w:numId w:val="24"/>
              </w:numPr>
              <w:shd w:val="clear" w:color="auto" w:fill="FFFFFF" w:themeFill="background1"/>
              <w:spacing w:before="40" w:after="40"/>
            </w:pPr>
            <w:r w:rsidRPr="009B490C">
              <w:t>Working with DHBS to implement the National healthy Food and Drink Policy</w:t>
            </w:r>
          </w:p>
          <w:p w14:paraId="5E6F0B89" w14:textId="034F23C8" w:rsidR="00945AE4" w:rsidRPr="009B490C" w:rsidRDefault="00945AE4" w:rsidP="002D613F">
            <w:pPr>
              <w:pStyle w:val="ListParagraph"/>
              <w:numPr>
                <w:ilvl w:val="3"/>
                <w:numId w:val="24"/>
              </w:numPr>
              <w:shd w:val="clear" w:color="auto" w:fill="FFFFFF" w:themeFill="background1"/>
              <w:spacing w:before="40" w:after="40"/>
            </w:pPr>
            <w:r w:rsidRPr="009B490C">
              <w:t>Updating the Food and Nutrition Guidelines for pregnant women and children 0-2 years</w:t>
            </w:r>
          </w:p>
          <w:p w14:paraId="651A7FC7" w14:textId="5CC56F53" w:rsidR="00945AE4" w:rsidRPr="009B490C" w:rsidRDefault="00945AE4" w:rsidP="002D613F">
            <w:pPr>
              <w:pStyle w:val="ListParagraph"/>
              <w:numPr>
                <w:ilvl w:val="3"/>
                <w:numId w:val="24"/>
              </w:numPr>
              <w:shd w:val="clear" w:color="auto" w:fill="FFFFFF" w:themeFill="background1"/>
              <w:spacing w:before="40" w:after="40"/>
            </w:pPr>
            <w:r w:rsidRPr="009B490C">
              <w:lastRenderedPageBreak/>
              <w:t>Co-leading New Zealand’s response to the World Health Organization’s Global Action Plan on Physical Activity</w:t>
            </w:r>
          </w:p>
          <w:p w14:paraId="44A4DC8B" w14:textId="7003091A" w:rsidR="00945AE4" w:rsidRPr="009B490C" w:rsidRDefault="00945AE4" w:rsidP="002D613F">
            <w:pPr>
              <w:pStyle w:val="ListParagraph"/>
              <w:numPr>
                <w:ilvl w:val="3"/>
                <w:numId w:val="24"/>
              </w:numPr>
              <w:shd w:val="clear" w:color="auto" w:fill="FFFFFF" w:themeFill="background1"/>
              <w:spacing w:before="40" w:after="40"/>
            </w:pPr>
            <w:r w:rsidRPr="009B490C">
              <w:t>Supporting the implementation of the Clinical Guidelines for Weight Management in New Zealand Children and Young People</w:t>
            </w:r>
          </w:p>
          <w:p w14:paraId="78D574CF" w14:textId="5B0917ED" w:rsidR="00945AE4" w:rsidRPr="009B490C" w:rsidRDefault="00945AE4" w:rsidP="002D613F">
            <w:pPr>
              <w:pStyle w:val="ListParagraph"/>
              <w:numPr>
                <w:ilvl w:val="3"/>
                <w:numId w:val="24"/>
              </w:numPr>
              <w:shd w:val="clear" w:color="auto" w:fill="FFFFFF" w:themeFill="background1"/>
              <w:spacing w:before="40" w:after="40"/>
            </w:pPr>
            <w:r w:rsidRPr="009B490C">
              <w:t>Working with the food and beverage industry sector to identify actions to create healthier food environments</w:t>
            </w:r>
          </w:p>
          <w:p w14:paraId="1C89AF62" w14:textId="29AC8BFB" w:rsidR="000E4FB3" w:rsidRPr="009B490C" w:rsidRDefault="00975810" w:rsidP="002D613F">
            <w:pPr>
              <w:pStyle w:val="ListParagraph"/>
              <w:numPr>
                <w:ilvl w:val="0"/>
                <w:numId w:val="24"/>
              </w:numPr>
              <w:shd w:val="clear" w:color="auto" w:fill="FFFFFF" w:themeFill="background1"/>
              <w:spacing w:before="40" w:after="40"/>
              <w:contextualSpacing w:val="0"/>
              <w:rPr>
                <w:rFonts w:cs="Times New Roman"/>
                <w:bCs/>
                <w:szCs w:val="20"/>
              </w:rPr>
            </w:pPr>
            <w:r w:rsidRPr="009B490C">
              <w:rPr>
                <w:rFonts w:cs="Times New Roman"/>
                <w:bCs/>
                <w:szCs w:val="20"/>
              </w:rPr>
              <w:t>Some of</w:t>
            </w:r>
            <w:r w:rsidR="008C2947" w:rsidRPr="009B490C">
              <w:rPr>
                <w:rFonts w:cs="Times New Roman"/>
                <w:bCs/>
                <w:szCs w:val="20"/>
              </w:rPr>
              <w:t xml:space="preserve"> NZ’s largest supermarket retailers (Foodstuffs, </w:t>
            </w:r>
            <w:r w:rsidR="003674F1" w:rsidRPr="009B490C">
              <w:rPr>
                <w:rFonts w:cs="Times New Roman"/>
                <w:bCs/>
                <w:szCs w:val="20"/>
              </w:rPr>
              <w:t>Countdown</w:t>
            </w:r>
            <w:r w:rsidR="008C2947" w:rsidRPr="009B490C">
              <w:rPr>
                <w:rFonts w:cs="Times New Roman"/>
                <w:bCs/>
                <w:szCs w:val="20"/>
              </w:rPr>
              <w:t>, Moore Wilson, Bin Inn</w:t>
            </w:r>
            <w:r w:rsidR="00814C1F" w:rsidRPr="009B490C">
              <w:rPr>
                <w:rFonts w:cs="Times New Roman"/>
                <w:bCs/>
                <w:szCs w:val="20"/>
              </w:rPr>
              <w:t xml:space="preserve">, Four Square, New World, </w:t>
            </w:r>
            <w:proofErr w:type="spellStart"/>
            <w:r w:rsidR="00814C1F" w:rsidRPr="009B490C">
              <w:rPr>
                <w:rFonts w:cs="Times New Roman"/>
                <w:bCs/>
                <w:szCs w:val="20"/>
              </w:rPr>
              <w:t>P</w:t>
            </w:r>
            <w:r w:rsidR="0021326D" w:rsidRPr="009B490C">
              <w:rPr>
                <w:rFonts w:cs="Times New Roman"/>
                <w:bCs/>
                <w:szCs w:val="20"/>
              </w:rPr>
              <w:t>AK'nSAVE</w:t>
            </w:r>
            <w:proofErr w:type="spellEnd"/>
            <w:r w:rsidR="00814C1F" w:rsidRPr="009B490C">
              <w:rPr>
                <w:rFonts w:cs="Times New Roman"/>
                <w:bCs/>
                <w:szCs w:val="20"/>
              </w:rPr>
              <w:t xml:space="preserve">, </w:t>
            </w:r>
            <w:proofErr w:type="spellStart"/>
            <w:r w:rsidR="00814C1F" w:rsidRPr="009B490C">
              <w:rPr>
                <w:rFonts w:cs="Times New Roman"/>
                <w:bCs/>
                <w:szCs w:val="20"/>
              </w:rPr>
              <w:t>SuperValue</w:t>
            </w:r>
            <w:proofErr w:type="spellEnd"/>
            <w:r w:rsidR="00814C1F" w:rsidRPr="009B490C">
              <w:rPr>
                <w:rFonts w:cs="Times New Roman"/>
                <w:bCs/>
                <w:szCs w:val="20"/>
              </w:rPr>
              <w:t xml:space="preserve"> and </w:t>
            </w:r>
            <w:proofErr w:type="spellStart"/>
            <w:r w:rsidR="00814C1F" w:rsidRPr="009B490C">
              <w:rPr>
                <w:rFonts w:cs="Times New Roman"/>
                <w:bCs/>
                <w:szCs w:val="20"/>
              </w:rPr>
              <w:t>Fresh</w:t>
            </w:r>
            <w:r w:rsidR="0021326D" w:rsidRPr="009B490C">
              <w:rPr>
                <w:rFonts w:cs="Times New Roman"/>
                <w:bCs/>
                <w:szCs w:val="20"/>
              </w:rPr>
              <w:t>C</w:t>
            </w:r>
            <w:r w:rsidR="00814C1F" w:rsidRPr="009B490C">
              <w:rPr>
                <w:rFonts w:cs="Times New Roman"/>
                <w:bCs/>
                <w:szCs w:val="20"/>
              </w:rPr>
              <w:t>hoice</w:t>
            </w:r>
            <w:proofErr w:type="spellEnd"/>
            <w:r w:rsidR="008C2947" w:rsidRPr="009B490C">
              <w:rPr>
                <w:rFonts w:cs="Times New Roman"/>
                <w:bCs/>
                <w:szCs w:val="20"/>
              </w:rPr>
              <w:t>) pledged to support product reformulation, education, provision of healthy choices</w:t>
            </w:r>
            <w:r w:rsidR="00684C39" w:rsidRPr="009B490C">
              <w:rPr>
                <w:rFonts w:cs="Times New Roman"/>
                <w:bCs/>
                <w:szCs w:val="20"/>
              </w:rPr>
              <w:t xml:space="preserve">, </w:t>
            </w:r>
            <w:r w:rsidR="008C2947" w:rsidRPr="009B490C">
              <w:rPr>
                <w:rFonts w:cs="Times New Roman"/>
                <w:bCs/>
                <w:szCs w:val="20"/>
              </w:rPr>
              <w:t xml:space="preserve">use of HSR, ethical and responsible </w:t>
            </w:r>
            <w:r w:rsidR="00BA7585" w:rsidRPr="009B490C">
              <w:rPr>
                <w:rFonts w:cs="Times New Roman"/>
                <w:bCs/>
                <w:szCs w:val="20"/>
              </w:rPr>
              <w:t>advertising of food to children</w:t>
            </w:r>
            <w:r w:rsidR="00684C39" w:rsidRPr="009B490C">
              <w:rPr>
                <w:rFonts w:cs="Times New Roman"/>
                <w:bCs/>
                <w:szCs w:val="20"/>
              </w:rPr>
              <w:t xml:space="preserve"> and reporting activities</w:t>
            </w:r>
            <w:r w:rsidR="00BA7585" w:rsidRPr="009B490C">
              <w:rPr>
                <w:rFonts w:cs="Times New Roman"/>
                <w:bCs/>
                <w:szCs w:val="20"/>
              </w:rPr>
              <w:t xml:space="preserve"> </w:t>
            </w:r>
            <w:r w:rsidR="00C67467" w:rsidRPr="009B490C">
              <w:rPr>
                <w:rFonts w:cs="Times New Roman"/>
                <w:bCs/>
                <w:szCs w:val="20"/>
              </w:rPr>
              <w:fldChar w:fldCharType="begin" w:fldLock="1"/>
            </w:r>
            <w:r w:rsidR="00AD08A5" w:rsidRPr="009B490C">
              <w:rPr>
                <w:rFonts w:cs="Times New Roman"/>
                <w:bCs/>
                <w:szCs w:val="20"/>
              </w:rPr>
              <w:instrText>ADDIN CSL_CITATION {"citationItems":[{"id":"ITEM-1","itemData":{"URL":"http://www.retail.kiwi/advocacy/food-and-drink-issues/reducing-childhood-obesity-pledge","author":[{"dropping-particle":"","family":"Retail New Zealand","given":"","non-dropping-particle":"","parse-names":false,"suffix":""}],"id":"ITEM-1","issue":"18/12/2016","issued":{"date-parts":[["2016"]]},"title":"Reducing childhood obesity pledge","type":"webpage"},"uris":["http://www.mendeley.com/documents/?uuid=eb342375-bab8-4266-8bca-05e3c2c6c556","http://www.mendeley.com/documents/?uuid=e00b3582-bf95-3374-8159-96cc1ec5d138"]}],"mendeley":{"formattedCitation":"(3)","plainTextFormattedCitation":"(3)","previouslyFormattedCitation":"(3)"},"properties":{"noteIndex":0},"schema":"https://github.com/citation-style-language/schema/raw/master/csl-citation.json"}</w:instrText>
            </w:r>
            <w:r w:rsidR="00C67467" w:rsidRPr="009B490C">
              <w:rPr>
                <w:rFonts w:cs="Times New Roman"/>
                <w:bCs/>
                <w:szCs w:val="20"/>
              </w:rPr>
              <w:fldChar w:fldCharType="separate"/>
            </w:r>
            <w:r w:rsidR="00FE62C4" w:rsidRPr="009B490C">
              <w:rPr>
                <w:rFonts w:cs="Times New Roman"/>
                <w:bCs/>
                <w:noProof/>
                <w:szCs w:val="20"/>
              </w:rPr>
              <w:t>(3)</w:t>
            </w:r>
            <w:r w:rsidR="00C67467" w:rsidRPr="009B490C">
              <w:rPr>
                <w:rFonts w:cs="Times New Roman"/>
                <w:bCs/>
                <w:szCs w:val="20"/>
              </w:rPr>
              <w:fldChar w:fldCharType="end"/>
            </w:r>
            <w:r w:rsidR="00BA7585" w:rsidRPr="009B490C">
              <w:rPr>
                <w:rFonts w:cs="Times New Roman"/>
                <w:bCs/>
                <w:szCs w:val="20"/>
              </w:rPr>
              <w:t>.</w:t>
            </w:r>
            <w:r w:rsidR="00D43DDF" w:rsidRPr="009B490C">
              <w:rPr>
                <w:rFonts w:cs="Times New Roman"/>
                <w:bCs/>
                <w:szCs w:val="20"/>
              </w:rPr>
              <w:t xml:space="preserve"> </w:t>
            </w:r>
          </w:p>
          <w:p w14:paraId="4A725D9F" w14:textId="43A5A38A" w:rsidR="00656CFD" w:rsidRPr="009B490C" w:rsidRDefault="00656CFD" w:rsidP="00D021AA">
            <w:pPr>
              <w:pStyle w:val="ListParagraph"/>
              <w:numPr>
                <w:ilvl w:val="0"/>
                <w:numId w:val="24"/>
              </w:numPr>
              <w:shd w:val="clear" w:color="auto" w:fill="FFFFFF" w:themeFill="background1"/>
              <w:spacing w:before="40" w:after="40"/>
              <w:contextualSpacing w:val="0"/>
              <w:rPr>
                <w:rFonts w:cs="Times New Roman"/>
                <w:bCs/>
                <w:szCs w:val="20"/>
              </w:rPr>
            </w:pPr>
            <w:r w:rsidRPr="009B490C">
              <w:t xml:space="preserve">The Chip Group is run </w:t>
            </w:r>
            <w:r w:rsidR="00A7360B" w:rsidRPr="009B490C">
              <w:t xml:space="preserve">by </w:t>
            </w:r>
            <w:r w:rsidRPr="009B490C">
              <w:t xml:space="preserve">Potatoes New Zealand with a Training &amp; Education Manager, and </w:t>
            </w:r>
            <w:r w:rsidR="00AE20D3" w:rsidRPr="009B490C">
              <w:t>an</w:t>
            </w:r>
            <w:r w:rsidRPr="009B490C">
              <w:t xml:space="preserve"> Education &amp; Communications Manager with support from PNZ Staff and Board. </w:t>
            </w:r>
            <w:r w:rsidR="005D5171" w:rsidRPr="009B490C">
              <w:t>This is equally funded by Industry (Potatoes New Zealand) and the Ministry of Health. The MOH contribution is $85,000 NZD per annum</w:t>
            </w:r>
            <w:r w:rsidR="00945AE4" w:rsidRPr="009B490C">
              <w:t xml:space="preserve"> and is currently contracted until July 2020 (personal communication, MOH, 2020)</w:t>
            </w:r>
            <w:r w:rsidR="005D5171" w:rsidRPr="009B490C">
              <w:t xml:space="preserve">. </w:t>
            </w:r>
            <w:r w:rsidRPr="009B490C">
              <w:t xml:space="preserve">A Technical panel including industry representatives from </w:t>
            </w:r>
            <w:r w:rsidR="00BA30DB" w:rsidRPr="009B490C">
              <w:rPr>
                <w:rFonts w:cs="Calibri"/>
                <w:i/>
                <w:iCs/>
                <w:szCs w:val="20"/>
              </w:rPr>
              <w:t>McCain’s</w:t>
            </w:r>
            <w:r w:rsidRPr="009B490C">
              <w:t xml:space="preserve">, </w:t>
            </w:r>
            <w:r w:rsidRPr="009B490C">
              <w:rPr>
                <w:i/>
              </w:rPr>
              <w:t xml:space="preserve">Mr Chips </w:t>
            </w:r>
            <w:r w:rsidRPr="009B490C">
              <w:t xml:space="preserve">and </w:t>
            </w:r>
            <w:r w:rsidRPr="009B490C">
              <w:rPr>
                <w:i/>
              </w:rPr>
              <w:t xml:space="preserve">Talley’s </w:t>
            </w:r>
            <w:r w:rsidRPr="009B490C">
              <w:t xml:space="preserve">provides industry perspective and promotion of the Chip Group training to their food service clients </w:t>
            </w:r>
            <w:r w:rsidR="005D5171" w:rsidRPr="009B490C">
              <w:t xml:space="preserve">(personal Communication, The Chip Group, 2017). </w:t>
            </w:r>
          </w:p>
          <w:p w14:paraId="4D5D2651" w14:textId="15564BDD" w:rsidR="002622C5" w:rsidRPr="009B490C" w:rsidRDefault="00155D9F" w:rsidP="002D613F">
            <w:pPr>
              <w:pStyle w:val="ListParagraph"/>
              <w:numPr>
                <w:ilvl w:val="0"/>
                <w:numId w:val="24"/>
              </w:numPr>
              <w:shd w:val="clear" w:color="auto" w:fill="FFFFFF" w:themeFill="background1"/>
              <w:spacing w:before="40" w:after="40"/>
              <w:contextualSpacing w:val="0"/>
              <w:rPr>
                <w:rFonts w:cs="Times New Roman"/>
                <w:bCs/>
                <w:szCs w:val="20"/>
              </w:rPr>
            </w:pPr>
            <w:r w:rsidRPr="009B490C">
              <w:rPr>
                <w:rFonts w:cs="Times New Roman"/>
                <w:szCs w:val="20"/>
              </w:rPr>
              <w:t xml:space="preserve">Since 2007, the Heart Foundation has implemented a food reformulation programme focused primarily on reducing salt levels </w:t>
            </w:r>
            <w:r w:rsidR="0059584B" w:rsidRPr="009B490C">
              <w:rPr>
                <w:rFonts w:cs="Times New Roman"/>
                <w:szCs w:val="20"/>
              </w:rPr>
              <w:t xml:space="preserve">and also sugar levels </w:t>
            </w:r>
            <w:r w:rsidRPr="009B490C">
              <w:rPr>
                <w:rFonts w:cs="Times New Roman"/>
                <w:szCs w:val="20"/>
              </w:rPr>
              <w:t>across packaged</w:t>
            </w:r>
            <w:r w:rsidR="00131091" w:rsidRPr="009B490C">
              <w:rPr>
                <w:rFonts w:cs="Times New Roman"/>
                <w:szCs w:val="20"/>
              </w:rPr>
              <w:t xml:space="preserve"> </w:t>
            </w:r>
            <w:r w:rsidR="00131091" w:rsidRPr="009B490C">
              <w:rPr>
                <w:rFonts w:cs="Times New Roman"/>
                <w:szCs w:val="20"/>
              </w:rPr>
              <w:fldChar w:fldCharType="begin" w:fldLock="1"/>
            </w:r>
            <w:r w:rsidR="00C66C6C" w:rsidRPr="009B490C">
              <w:rPr>
                <w:rFonts w:cs="Times New Roman"/>
                <w:szCs w:val="20"/>
              </w:rPr>
              <w:instrText>ADDIN CSL_CITATION {"citationItems":[{"id":"ITEM-1","itemData":{"author":[{"dropping-particle":"","family":"Heart Foundation","given":"","non-dropping-particle":"","parse-names":false,"suffix":""}],"id":"ITEM-1","issued":{"date-parts":[["2018"]]},"title":"Heart Foundation Food Reformulation Targets","type":"report"},"uris":["http://www.mendeley.com/documents/?uuid=99e82200-9609-3846-9d22-caba6143f03e"]}],"mendeley":{"formattedCitation":"(6)","plainTextFormattedCitation":"(6)","previouslyFormattedCitation":"(6)"},"properties":{"noteIndex":0},"schema":"https://github.com/citation-style-language/schema/raw/master/csl-citation.json"}</w:instrText>
            </w:r>
            <w:r w:rsidR="00131091" w:rsidRPr="009B490C">
              <w:rPr>
                <w:rFonts w:cs="Times New Roman"/>
                <w:szCs w:val="20"/>
              </w:rPr>
              <w:fldChar w:fldCharType="separate"/>
            </w:r>
            <w:r w:rsidR="00131091" w:rsidRPr="009B490C">
              <w:rPr>
                <w:rFonts w:cs="Times New Roman"/>
                <w:noProof/>
                <w:szCs w:val="20"/>
              </w:rPr>
              <w:t>(6)</w:t>
            </w:r>
            <w:r w:rsidR="00131091" w:rsidRPr="009B490C">
              <w:rPr>
                <w:rFonts w:cs="Times New Roman"/>
                <w:szCs w:val="20"/>
              </w:rPr>
              <w:fldChar w:fldCharType="end"/>
            </w:r>
            <w:r w:rsidR="002622C5" w:rsidRPr="009B490C">
              <w:rPr>
                <w:rFonts w:cs="Times New Roman"/>
                <w:bCs/>
                <w:szCs w:val="20"/>
              </w:rPr>
              <w:t xml:space="preserve">. </w:t>
            </w:r>
            <w:r w:rsidRPr="009B490C">
              <w:rPr>
                <w:rFonts w:cs="Times New Roman"/>
                <w:bCs/>
                <w:szCs w:val="20"/>
              </w:rPr>
              <w:t>T</w:t>
            </w:r>
            <w:r w:rsidR="002D2EC4" w:rsidRPr="009B490C">
              <w:rPr>
                <w:rFonts w:cs="Times New Roman"/>
                <w:bCs/>
                <w:szCs w:val="20"/>
              </w:rPr>
              <w:t xml:space="preserve">his is a service delivery </w:t>
            </w:r>
            <w:r w:rsidRPr="009B490C">
              <w:rPr>
                <w:rFonts w:cs="Times New Roman"/>
                <w:bCs/>
                <w:szCs w:val="20"/>
              </w:rPr>
              <w:t>approach</w:t>
            </w:r>
            <w:r w:rsidR="002D2EC4" w:rsidRPr="009B490C">
              <w:rPr>
                <w:rFonts w:cs="Times New Roman"/>
                <w:bCs/>
                <w:szCs w:val="20"/>
              </w:rPr>
              <w:t xml:space="preserve"> rather than a direct engagement platform. </w:t>
            </w:r>
            <w:r w:rsidR="00E04535" w:rsidRPr="009B490C">
              <w:rPr>
                <w:rFonts w:cs="Times New Roman"/>
                <w:bCs/>
                <w:szCs w:val="20"/>
              </w:rPr>
              <w:t>See food composition target</w:t>
            </w:r>
            <w:r w:rsidR="00131091" w:rsidRPr="009B490C">
              <w:rPr>
                <w:rFonts w:cs="Times New Roman"/>
                <w:bCs/>
                <w:szCs w:val="20"/>
              </w:rPr>
              <w:t xml:space="preserve"> (Appendix A)</w:t>
            </w:r>
            <w:r w:rsidR="00803CE4" w:rsidRPr="009B490C">
              <w:rPr>
                <w:rFonts w:cs="Times New Roman"/>
                <w:bCs/>
                <w:szCs w:val="20"/>
              </w:rPr>
              <w:t>.</w:t>
            </w:r>
          </w:p>
          <w:p w14:paraId="0993CF04" w14:textId="064FD72D" w:rsidR="002C1960" w:rsidRPr="009B490C" w:rsidRDefault="002C1960" w:rsidP="00C75680">
            <w:pPr>
              <w:pStyle w:val="ListParagraph"/>
              <w:numPr>
                <w:ilvl w:val="0"/>
                <w:numId w:val="24"/>
              </w:numPr>
              <w:shd w:val="clear" w:color="auto" w:fill="FFFFFF" w:themeFill="background1"/>
              <w:contextualSpacing w:val="0"/>
              <w:rPr>
                <w:rFonts w:cs="Times New Roman"/>
                <w:szCs w:val="20"/>
              </w:rPr>
            </w:pPr>
            <w:r w:rsidRPr="009B490C">
              <w:rPr>
                <w:rFonts w:cs="Times New Roman"/>
                <w:szCs w:val="20"/>
              </w:rPr>
              <w:t>An important document in the conflicts of interest sphere is the Office of the Auditor-General’s ‘Managing conflicts of interest: Guidance for public entities</w:t>
            </w:r>
            <w:r w:rsidR="00087E5C" w:rsidRPr="009B490C">
              <w:rPr>
                <w:rFonts w:cs="Times New Roman"/>
                <w:szCs w:val="20"/>
              </w:rPr>
              <w:t>’</w:t>
            </w:r>
            <w:r w:rsidRPr="009B490C">
              <w:rPr>
                <w:rFonts w:cs="Times New Roman"/>
                <w:szCs w:val="20"/>
              </w:rPr>
              <w:t xml:space="preserve">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{"citationItems":[{"id":"ITEM-1","itemData":{"URL":"http://www.oag.govt.nz/2007/conflicts-public-entities","author":[{"dropping-particle":"","family":"State Services Commission","given":"","non-dropping-particle":"","parse-names":false,"suffix":""}],"id":"ITEM-1","issue":"31/07/2013","issued":{"date-parts":[["2007"]]},"title":"Managing conflicts of interest: Guidance for public entities","type":"webpage"},"uris":["http://www.mendeley.com/documents/?uuid=ec860ea7-37e3-4b32-a89d-5c7199667dc4","http://www.mendeley.com/documents/?uuid=7522493e-e1cf-38b7-8d10-b949e8b426e4"]}],"mendeley":{"formattedCitation":"(201)","plainTextFormattedCitation":"(201)","previouslyFormattedCitation":"(201)"},"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(201)</w:t>
            </w:r>
            <w:r w:rsidR="002B4368" w:rsidRPr="009B490C">
              <w:rPr>
                <w:rFonts w:cs="Times New Roman"/>
                <w:szCs w:val="20"/>
              </w:rPr>
              <w:fldChar w:fldCharType="end"/>
            </w:r>
            <w:r w:rsidRPr="009B490C">
              <w:rPr>
                <w:rFonts w:cs="Times New Roman"/>
                <w:szCs w:val="20"/>
              </w:rPr>
              <w:t xml:space="preserve">. </w:t>
            </w:r>
            <w:r w:rsidR="00FF4255" w:rsidRPr="009B490C">
              <w:rPr>
                <w:rFonts w:cs="Times New Roman"/>
                <w:szCs w:val="20"/>
              </w:rPr>
              <w:t xml:space="preserve">Current </w:t>
            </w:r>
            <w:r w:rsidR="00064139" w:rsidRPr="009B490C">
              <w:rPr>
                <w:rFonts w:cs="Times New Roman"/>
                <w:szCs w:val="20"/>
              </w:rPr>
              <w:t>i</w:t>
            </w:r>
            <w:r w:rsidRPr="009B490C">
              <w:rPr>
                <w:rFonts w:cs="Times New Roman"/>
                <w:szCs w:val="20"/>
              </w:rPr>
              <w:t xml:space="preserve">n </w:t>
            </w:r>
            <w:r w:rsidR="00064139" w:rsidRPr="009B490C">
              <w:rPr>
                <w:rFonts w:cs="Times New Roman"/>
                <w:szCs w:val="20"/>
              </w:rPr>
              <w:t>relations to conflicts of interest, State Servants are</w:t>
            </w:r>
            <w:r w:rsidRPr="009B490C">
              <w:rPr>
                <w:rFonts w:cs="Times New Roman"/>
                <w:szCs w:val="20"/>
              </w:rPr>
              <w:t xml:space="preserve"> bound by the ‘Standards of Integrity and Conduct’ (‘The Code’) which sets out the standards expected of State servants.  The Code includes the statement ‘we must ensure our actions are not affected by our personal interests or relationships.’  A breach of this (or any aspect) of the Code may be grounds for disciplinary action</w:t>
            </w:r>
            <w:r w:rsidR="00BA7585" w:rsidRPr="009B490C">
              <w:rPr>
                <w:rFonts w:cs="Times New Roman"/>
                <w:szCs w:val="20"/>
              </w:rPr>
              <w:t xml:space="preserve">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{"citationItems":[{"id":"ITEM-1","itemData":{"URL":"http://www.ssc.govt.nz/code","author":[{"dropping-particle":"","family":"State Services Commission","given":"","non-dropping-particle":"","parse-names":false,"suffix":""}],"id":"ITEM-1","issue":"31/07/2013","issued":{"date-parts":[["2007"]]},"title":"Code of conduct for the State Services","type":"webpage"},"uris":["http://www.mendeley.com/documents/?uuid=d7a4c3b5-a18b-3bf8-a960-e3c1aff29d4b","http://www.mendeley.com/documents/?uuid=700ec788-ab6c-4a36-bd7b-1db43da5d286"]}],"mendeley":{"formattedCitation":"(261)","plainTextFormattedCitation":"(261)","previouslyFormattedCitation":"(261)"},"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(261)</w:t>
            </w:r>
            <w:r w:rsidR="002B4368" w:rsidRPr="009B490C">
              <w:rPr>
                <w:rFonts w:cs="Times New Roman"/>
                <w:szCs w:val="20"/>
              </w:rPr>
              <w:fldChar w:fldCharType="end"/>
            </w:r>
            <w:r w:rsidR="00BA640D" w:rsidRPr="009B490C">
              <w:rPr>
                <w:rFonts w:cs="Times New Roman"/>
                <w:szCs w:val="20"/>
              </w:rPr>
              <w:t xml:space="preserve">. </w:t>
            </w:r>
          </w:p>
          <w:p w14:paraId="0485062E" w14:textId="5DD9CB3C" w:rsidR="00E04535" w:rsidRPr="009B490C" w:rsidRDefault="00146D62" w:rsidP="00C75680">
            <w:pPr>
              <w:pStyle w:val="ListParagraph"/>
              <w:numPr>
                <w:ilvl w:val="0"/>
                <w:numId w:val="24"/>
              </w:numPr>
              <w:shd w:val="clear" w:color="auto" w:fill="FFFFFF" w:themeFill="background1"/>
              <w:contextualSpacing w:val="0"/>
              <w:rPr>
                <w:rFonts w:cs="Times New Roman"/>
                <w:szCs w:val="20"/>
              </w:rPr>
            </w:pPr>
            <w:r w:rsidRPr="009B490C">
              <w:rPr>
                <w:rFonts w:cs="Times New Roman"/>
                <w:szCs w:val="20"/>
              </w:rPr>
              <w:t>Controller and Auditor General.</w:t>
            </w:r>
            <w:r w:rsidR="00E04535" w:rsidRPr="009B490C">
              <w:rPr>
                <w:rFonts w:cs="Times New Roman"/>
                <w:szCs w:val="20"/>
              </w:rPr>
              <w:t xml:space="preserve"> </w:t>
            </w:r>
            <w:r w:rsidRPr="009B490C">
              <w:rPr>
                <w:rFonts w:cs="Times New Roman"/>
                <w:szCs w:val="20"/>
              </w:rPr>
              <w:t>‘</w:t>
            </w:r>
            <w:r w:rsidR="00E04535" w:rsidRPr="009B490C">
              <w:rPr>
                <w:rFonts w:cs="Times New Roman"/>
                <w:szCs w:val="20"/>
              </w:rPr>
              <w:t xml:space="preserve">Reflections from our audits: </w:t>
            </w:r>
            <w:r w:rsidR="0021326D" w:rsidRPr="009B490C">
              <w:rPr>
                <w:rFonts w:cs="Times New Roman"/>
                <w:szCs w:val="20"/>
              </w:rPr>
              <w:t>G</w:t>
            </w:r>
            <w:r w:rsidR="00E27091" w:rsidRPr="009B490C">
              <w:rPr>
                <w:rFonts w:cs="Times New Roman"/>
                <w:szCs w:val="20"/>
              </w:rPr>
              <w:t>overnance</w:t>
            </w:r>
            <w:r w:rsidR="00E04535" w:rsidRPr="009B490C">
              <w:rPr>
                <w:rFonts w:cs="Times New Roman"/>
                <w:szCs w:val="20"/>
              </w:rPr>
              <w:t xml:space="preserve"> and accountability</w:t>
            </w:r>
            <w:r w:rsidRPr="009B490C">
              <w:rPr>
                <w:rFonts w:cs="Times New Roman"/>
                <w:szCs w:val="20"/>
              </w:rPr>
              <w:t>’</w:t>
            </w:r>
            <w:r w:rsidR="00E04535" w:rsidRPr="009B490C">
              <w:rPr>
                <w:rFonts w:cs="Times New Roman"/>
                <w:szCs w:val="20"/>
              </w:rPr>
              <w:t>, has a chapter ‘Managing conflicts of interest’ April 2016</w:t>
            </w:r>
            <w:r w:rsidR="008C4F77" w:rsidRPr="009B490C">
              <w:rPr>
                <w:rFonts w:cs="Times New Roman"/>
                <w:szCs w:val="20"/>
              </w:rPr>
              <w:t xml:space="preserve">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{"citationItems":[{"id":"ITEM-1","itemData":{"URL":"http://www.oag.govt.nz/media/2015/health-promotion-agency","author":[{"dropping-particle":"","family":"Office of the Auditor-General","given":"","non-dropping-particle":"","parse-names":false,"suffix":""}],"id":"ITEM-1","issue":"12/12/2016","issued":{"date-parts":[["2015"]]},"title":"Health promotion agency – Katherine Rich – possible conflicts of interest","type":"webpage"},"uris":["http://www.mendeley.com/documents/?uuid=ef9fe0c0-22d5-3c19-bdcc-b11b1f68d3a4","http://www.mendeley.com/documents/?uuid=565e1bab-9117-480c-acee-57b1ba4cbadd"]}],"mendeley":{"formattedCitation":"(262)","plainTextFormattedCitation":"(262)","previouslyFormattedCitation":"(262)"},"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(262)</w:t>
            </w:r>
            <w:r w:rsidR="002B4368" w:rsidRPr="009B490C">
              <w:rPr>
                <w:rFonts w:cs="Times New Roman"/>
                <w:szCs w:val="20"/>
              </w:rPr>
              <w:fldChar w:fldCharType="end"/>
            </w:r>
            <w:r w:rsidR="00BA7585" w:rsidRPr="009B490C">
              <w:rPr>
                <w:rFonts w:cs="Times New Roman"/>
                <w:szCs w:val="20"/>
              </w:rPr>
              <w:t>.</w:t>
            </w:r>
          </w:p>
          <w:p w14:paraId="06797AEA" w14:textId="52249EE7" w:rsidR="002C1960" w:rsidRPr="009B490C" w:rsidRDefault="002C1960" w:rsidP="00C75680">
            <w:pPr>
              <w:pStyle w:val="ListParagraph"/>
              <w:numPr>
                <w:ilvl w:val="0"/>
                <w:numId w:val="24"/>
              </w:numPr>
              <w:shd w:val="clear" w:color="auto" w:fill="FFFFFF" w:themeFill="background1"/>
              <w:contextualSpacing w:val="0"/>
              <w:rPr>
                <w:rFonts w:cs="Times New Roman"/>
                <w:bCs/>
                <w:szCs w:val="20"/>
              </w:rPr>
            </w:pPr>
            <w:r w:rsidRPr="009B490C">
              <w:rPr>
                <w:rFonts w:cs="Times New Roman"/>
                <w:szCs w:val="20"/>
              </w:rPr>
              <w:t xml:space="preserve">The SSC in New Zealand has published Best Practice Guidelines for Departments Responsible for Regulatory Processes with Significant Commercial Implications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{"citationItems":[{"id":"ITEM-1","itemData":{"URL":"http://www.ssc.govt.nz/resources/2814/all-pages","author":[{"dropping-particle":"","family":"State Services Commission","given":"","non-dropping-particle":"","parse-names":false,"suffix":""}],"id":"ITEM-1","issue":"18/06/2013","issued":{"date-parts":[["0"]]},"title":"Best Practice Guidelines for Departments Responsible for Regulatory Processes with Significant Commercial Implications","type":"webpage"},"uris":["http://www.mendeley.com/documents/?uuid=f4c3f8c1-dbae-434d-85a3-1a3d2f5a3973","http://www.mendeley.com/documents/?uuid=06543fd3-d6e8-3e3d-b575-4eb3cfe53f42"]}],"mendeley":{"formattedCitation":"(198)","plainTextFormattedCitation":"(198)","previouslyFormattedCitation":"(198)"},"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(198)</w:t>
            </w:r>
            <w:r w:rsidR="002B4368" w:rsidRPr="009B490C">
              <w:rPr>
                <w:rFonts w:cs="Times New Roman"/>
                <w:szCs w:val="20"/>
              </w:rPr>
              <w:fldChar w:fldCharType="end"/>
            </w:r>
            <w:r w:rsidRPr="009B490C">
              <w:rPr>
                <w:rFonts w:cs="Times New Roman"/>
                <w:szCs w:val="20"/>
              </w:rPr>
              <w:t>. These guidelines cover a section on managing conflict of interest issues in different government departments as well. As a principle</w:t>
            </w:r>
            <w:r w:rsidR="0021326D" w:rsidRPr="009B490C">
              <w:rPr>
                <w:rFonts w:cs="Times New Roman"/>
                <w:szCs w:val="20"/>
              </w:rPr>
              <w:t>,</w:t>
            </w:r>
            <w:r w:rsidRPr="009B490C">
              <w:rPr>
                <w:rFonts w:cs="Times New Roman"/>
                <w:szCs w:val="20"/>
              </w:rPr>
              <w:t xml:space="preserve"> it is stated that </w:t>
            </w:r>
            <w:r w:rsidRPr="009B490C">
              <w:rPr>
                <w:rFonts w:cs="Times New Roman"/>
                <w:bCs/>
                <w:szCs w:val="20"/>
              </w:rPr>
              <w:t>Departments should have clear, effective and robust processes in place for identifying and addressing potential conflicts of interest</w:t>
            </w:r>
            <w:r w:rsidR="002B4368" w:rsidRPr="009B490C">
              <w:rPr>
                <w:rFonts w:cs="Times New Roman"/>
                <w:bCs/>
                <w:szCs w:val="20"/>
              </w:rPr>
              <w:t xml:space="preserve">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{"citationItems":[{"id":"ITEM-1","itemData":{"URL":"http://www.ssc.govt.nz/resources/2814/all-pages","author":[{"dropping-particle":"","family":"State Services Commission","given":"","non-dropping-particle":"","parse-names":false,"suffix":""}],"id":"ITEM-1","issue":"18/06/2013","issued":{"date-parts":[["0"]]},"title":"Best Practice Guidelines for Departments Responsible for Regulatory Processes with Significant Commercial Implications","type":"webpage"},"uris":["http://www.mendeley.com/documents/?uuid=f4c3f8c1-dbae-434d-85a3-1a3d2f5a3973","http://www.mendeley.com/documents/?uuid=06543fd3-d6e8-3e3d-b575-4eb3cfe53f42"]}],"mendeley":{"formattedCitation":"(198)","plainTextFormattedCitation":"(198)","previouslyFormattedCitation":"(198)"},"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(198)</w:t>
            </w:r>
            <w:r w:rsidR="002B4368" w:rsidRPr="009B490C">
              <w:rPr>
                <w:rFonts w:cs="Times New Roman"/>
                <w:szCs w:val="20"/>
              </w:rPr>
              <w:fldChar w:fldCharType="end"/>
            </w:r>
            <w:r w:rsidRPr="009B490C">
              <w:rPr>
                <w:rFonts w:cs="Times New Roman"/>
                <w:bCs/>
                <w:szCs w:val="20"/>
              </w:rPr>
              <w:t xml:space="preserve">. </w:t>
            </w:r>
          </w:p>
          <w:p w14:paraId="7866EC8F" w14:textId="51BDC39A" w:rsidR="00404EA3" w:rsidRPr="009B490C" w:rsidRDefault="00155D9F" w:rsidP="00C75680">
            <w:pPr>
              <w:pStyle w:val="ListParagraph"/>
              <w:numPr>
                <w:ilvl w:val="0"/>
                <w:numId w:val="24"/>
              </w:numPr>
              <w:shd w:val="clear" w:color="auto" w:fill="FFFFFF" w:themeFill="background1"/>
              <w:contextualSpacing w:val="0"/>
              <w:rPr>
                <w:rFonts w:cs="Times New Roman"/>
                <w:szCs w:val="20"/>
              </w:rPr>
            </w:pPr>
            <w:r w:rsidRPr="009B490C">
              <w:rPr>
                <w:rFonts w:cs="Times New Roman"/>
                <w:szCs w:val="20"/>
              </w:rPr>
              <w:t xml:space="preserve">The </w:t>
            </w:r>
            <w:r w:rsidR="00404EA3" w:rsidRPr="009B490C">
              <w:rPr>
                <w:rFonts w:cs="Times New Roman"/>
                <w:szCs w:val="20"/>
              </w:rPr>
              <w:t>2013 Integrity and Conduct Survey</w:t>
            </w:r>
            <w:r w:rsidR="008C4F77" w:rsidRPr="009B490C">
              <w:rPr>
                <w:rFonts w:cs="Times New Roman"/>
                <w:szCs w:val="20"/>
              </w:rPr>
              <w:t xml:space="preserve">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{"citationItems":[{"id":"ITEM-1","itemData":{"URL":"http://www.ssc.govt.nz/integrity-and-conduct-survey-2013-report","author":[{"dropping-particle":"","family":"State Services Commission","given":"","non-dropping-particle":"","parse-names":false,"suffix":""}],"id":"ITEM-1","issue":"12/12/2016","issued":{"date-parts":[["2014"]]},"title":"Integrity and Conduct Survey 2013 ","type":"webpage"},"uris":["http://www.mendeley.com/documents/?uuid=3650fb0b-9bd1-3981-a3af-562a235ad2c2","http://www.mendeley.com/documents/?uuid=740fe82f-24db-45b9-a016-9cfa76318ef5"]}],"mendeley":{"formattedCitation":"(263)","plainTextFormattedCitation":"(263)","previouslyFormattedCitation":"(263)"},"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(263)</w:t>
            </w:r>
            <w:r w:rsidR="002B4368" w:rsidRPr="009B490C">
              <w:rPr>
                <w:rFonts w:cs="Times New Roman"/>
                <w:szCs w:val="20"/>
              </w:rPr>
              <w:fldChar w:fldCharType="end"/>
            </w:r>
            <w:r w:rsidR="00404EA3" w:rsidRPr="009B490C">
              <w:rPr>
                <w:rFonts w:cs="Times New Roman"/>
                <w:szCs w:val="20"/>
              </w:rPr>
              <w:t xml:space="preserve"> </w:t>
            </w:r>
            <w:r w:rsidRPr="009B490C">
              <w:rPr>
                <w:rFonts w:cs="Times New Roman"/>
                <w:szCs w:val="20"/>
              </w:rPr>
              <w:t>by the State Services Commission was an</w:t>
            </w:r>
            <w:r w:rsidR="00404EA3" w:rsidRPr="009B490C">
              <w:rPr>
                <w:rFonts w:cs="Times New Roman"/>
                <w:szCs w:val="20"/>
              </w:rPr>
              <w:t xml:space="preserve"> overall assessment of integrity and conduct in the State Services covering 40 agencies</w:t>
            </w:r>
            <w:r w:rsidRPr="009B490C">
              <w:rPr>
                <w:rFonts w:cs="Times New Roman"/>
                <w:szCs w:val="20"/>
              </w:rPr>
              <w:t>.</w:t>
            </w:r>
          </w:p>
          <w:p w14:paraId="7D6D07CB" w14:textId="74865914" w:rsidR="00605ED5" w:rsidRPr="009B490C" w:rsidRDefault="002C1960" w:rsidP="00C75680">
            <w:pPr>
              <w:pStyle w:val="ListParagraph"/>
              <w:numPr>
                <w:ilvl w:val="0"/>
                <w:numId w:val="24"/>
              </w:numPr>
              <w:shd w:val="clear" w:color="auto" w:fill="FFFFFF" w:themeFill="background1"/>
              <w:contextualSpacing w:val="0"/>
              <w:rPr>
                <w:rFonts w:cs="Times New Roman"/>
                <w:bCs/>
                <w:szCs w:val="20"/>
              </w:rPr>
            </w:pPr>
            <w:r w:rsidRPr="009B490C">
              <w:rPr>
                <w:rFonts w:cs="Times New Roman"/>
                <w:bCs/>
                <w:szCs w:val="20"/>
              </w:rPr>
              <w:t xml:space="preserve">There </w:t>
            </w:r>
            <w:r w:rsidR="0021326D" w:rsidRPr="009B490C">
              <w:rPr>
                <w:rFonts w:cs="Times New Roman"/>
                <w:bCs/>
                <w:szCs w:val="20"/>
              </w:rPr>
              <w:t>is</w:t>
            </w:r>
            <w:r w:rsidRPr="009B490C">
              <w:rPr>
                <w:rFonts w:cs="Times New Roman"/>
                <w:bCs/>
                <w:szCs w:val="20"/>
              </w:rPr>
              <w:t xml:space="preserve"> conflict of interest registers</w:t>
            </w:r>
            <w:r w:rsidR="00E22D20" w:rsidRPr="009B490C">
              <w:rPr>
                <w:rFonts w:cs="Times New Roman"/>
                <w:bCs/>
                <w:szCs w:val="20"/>
              </w:rPr>
              <w:t xml:space="preserve"> available</w:t>
            </w:r>
            <w:r w:rsidRPr="009B490C">
              <w:rPr>
                <w:rFonts w:cs="Times New Roman"/>
                <w:bCs/>
                <w:szCs w:val="20"/>
              </w:rPr>
              <w:t xml:space="preserve"> for senior management staff by each department. Board members have duties under the Crown Entities act (much stricter for boards than committees). The conflicts of interest are looked after through the crown ownership unit at the treasury. HPA manages conflicts of interest</w:t>
            </w:r>
            <w:r w:rsidR="003D6D1F" w:rsidRPr="009B490C">
              <w:rPr>
                <w:rFonts w:cs="Times New Roman"/>
                <w:bCs/>
                <w:szCs w:val="20"/>
              </w:rPr>
              <w:t xml:space="preserve"> (declaration of interests was received)</w:t>
            </w:r>
            <w:r w:rsidRPr="009B490C">
              <w:rPr>
                <w:rFonts w:cs="Times New Roman"/>
                <w:bCs/>
                <w:szCs w:val="20"/>
              </w:rPr>
              <w:t xml:space="preserve"> in accordance with the provisions of the Crown Entities Act 2004 and advice provided to the state sector from the Office of the Auditor</w:t>
            </w:r>
            <w:r w:rsidR="0021326D" w:rsidRPr="009B490C">
              <w:rPr>
                <w:rFonts w:cs="Times New Roman"/>
                <w:bCs/>
                <w:szCs w:val="20"/>
              </w:rPr>
              <w:t>-</w:t>
            </w:r>
            <w:r w:rsidRPr="009B490C">
              <w:rPr>
                <w:rFonts w:cs="Times New Roman"/>
                <w:bCs/>
                <w:szCs w:val="20"/>
              </w:rPr>
              <w:t>General and the State Services Commission. Once board members are appointed, the</w:t>
            </w:r>
            <w:r w:rsidR="00E22D20" w:rsidRPr="009B490C">
              <w:rPr>
                <w:rFonts w:cs="Times New Roman"/>
                <w:bCs/>
                <w:szCs w:val="20"/>
              </w:rPr>
              <w:t xml:space="preserve"> following HPA procedures apply</w:t>
            </w:r>
            <w:r w:rsidR="0021326D" w:rsidRPr="009B490C">
              <w:rPr>
                <w:rFonts w:cs="Times New Roman"/>
                <w:bCs/>
                <w:szCs w:val="20"/>
              </w:rPr>
              <w:t>;</w:t>
            </w:r>
            <w:r w:rsidRPr="009B490C">
              <w:rPr>
                <w:rFonts w:cs="Times New Roman"/>
                <w:bCs/>
                <w:szCs w:val="20"/>
              </w:rPr>
              <w:t xml:space="preserve"> A register of interests, regularly updated, in accordance with policy. Identification and noting of interests in preparing agenda Interest disclosure to be </w:t>
            </w:r>
            <w:r w:rsidR="0072615A" w:rsidRPr="009B490C">
              <w:rPr>
                <w:rFonts w:cs="Times New Roman"/>
                <w:bCs/>
                <w:szCs w:val="20"/>
              </w:rPr>
              <w:t xml:space="preserve">the </w:t>
            </w:r>
            <w:r w:rsidRPr="009B490C">
              <w:rPr>
                <w:rFonts w:cs="Times New Roman"/>
                <w:bCs/>
                <w:szCs w:val="20"/>
              </w:rPr>
              <w:t>first item at each meeting.  Affected member leaves room for discussion/decision (personal</w:t>
            </w:r>
            <w:r w:rsidR="00E57532" w:rsidRPr="009B490C">
              <w:rPr>
                <w:rFonts w:cs="Times New Roman"/>
                <w:bCs/>
                <w:szCs w:val="20"/>
              </w:rPr>
              <w:t xml:space="preserve"> communication</w:t>
            </w:r>
            <w:r w:rsidR="00155D9F" w:rsidRPr="009B490C">
              <w:rPr>
                <w:rFonts w:cs="Times New Roman"/>
                <w:bCs/>
                <w:szCs w:val="20"/>
              </w:rPr>
              <w:t>, HPA</w:t>
            </w:r>
            <w:r w:rsidR="000072A7" w:rsidRPr="009B490C">
              <w:rPr>
                <w:rFonts w:cs="Times New Roman"/>
                <w:bCs/>
                <w:szCs w:val="20"/>
              </w:rPr>
              <w:t>, 2020</w:t>
            </w:r>
            <w:r w:rsidR="00155D9F" w:rsidRPr="009B490C">
              <w:rPr>
                <w:rFonts w:cs="Times New Roman"/>
                <w:bCs/>
                <w:szCs w:val="20"/>
              </w:rPr>
              <w:t>)</w:t>
            </w:r>
            <w:r w:rsidR="00E22D20" w:rsidRPr="009B490C">
              <w:rPr>
                <w:rFonts w:cs="Times New Roman"/>
                <w:bCs/>
                <w:szCs w:val="20"/>
              </w:rPr>
              <w:t xml:space="preserve">. </w:t>
            </w:r>
          </w:p>
          <w:p w14:paraId="5AD0FE11" w14:textId="5ED8FFBA" w:rsidR="00E6730C" w:rsidRPr="009B490C" w:rsidRDefault="00E6730C" w:rsidP="002D613F">
            <w:pPr>
              <w:pStyle w:val="ListParagraph"/>
              <w:numPr>
                <w:ilvl w:val="0"/>
                <w:numId w:val="24"/>
              </w:numPr>
              <w:shd w:val="clear" w:color="auto" w:fill="FFFFFF" w:themeFill="background1"/>
              <w:spacing w:before="40" w:after="40"/>
              <w:contextualSpacing w:val="0"/>
              <w:rPr>
                <w:rFonts w:cs="Times New Roman"/>
                <w:bCs/>
                <w:szCs w:val="20"/>
              </w:rPr>
            </w:pPr>
            <w:r w:rsidRPr="009B490C">
              <w:rPr>
                <w:rFonts w:cs="Times New Roman"/>
                <w:bCs/>
                <w:szCs w:val="20"/>
              </w:rPr>
              <w:t>The Treasury’s guideline for public</w:t>
            </w:r>
            <w:r w:rsidR="0072615A" w:rsidRPr="009B490C">
              <w:rPr>
                <w:rFonts w:cs="Times New Roman"/>
                <w:bCs/>
                <w:szCs w:val="20"/>
              </w:rPr>
              <w:t>-</w:t>
            </w:r>
            <w:r w:rsidRPr="009B490C">
              <w:rPr>
                <w:rFonts w:cs="Times New Roman"/>
                <w:bCs/>
                <w:szCs w:val="20"/>
              </w:rPr>
              <w:t>private partnerships in New Zealand (2009) refers to public</w:t>
            </w:r>
            <w:r w:rsidR="0072615A" w:rsidRPr="009B490C">
              <w:rPr>
                <w:rFonts w:cs="Times New Roman"/>
                <w:bCs/>
                <w:szCs w:val="20"/>
              </w:rPr>
              <w:t>-</w:t>
            </w:r>
            <w:r w:rsidRPr="009B490C">
              <w:rPr>
                <w:rFonts w:cs="Times New Roman"/>
                <w:bCs/>
                <w:szCs w:val="20"/>
              </w:rPr>
              <w:t xml:space="preserve">private initiatives as being direct agreements between the </w:t>
            </w:r>
            <w:r w:rsidR="00233A34" w:rsidRPr="009B490C">
              <w:rPr>
                <w:rFonts w:cs="Times New Roman"/>
                <w:bCs/>
                <w:szCs w:val="20"/>
              </w:rPr>
              <w:t>C</w:t>
            </w:r>
            <w:r w:rsidRPr="009B490C">
              <w:rPr>
                <w:rFonts w:cs="Times New Roman"/>
                <w:bCs/>
                <w:szCs w:val="20"/>
              </w:rPr>
              <w:t xml:space="preserve">rown and the private sector. The Ministry </w:t>
            </w:r>
            <w:r w:rsidR="00803CE4" w:rsidRPr="009B490C">
              <w:rPr>
                <w:rFonts w:cs="Times New Roman"/>
                <w:bCs/>
                <w:szCs w:val="20"/>
              </w:rPr>
              <w:t xml:space="preserve">of Health </w:t>
            </w:r>
            <w:r w:rsidRPr="009B490C">
              <w:rPr>
                <w:rFonts w:cs="Times New Roman"/>
                <w:bCs/>
                <w:szCs w:val="20"/>
              </w:rPr>
              <w:t xml:space="preserve">does not have any direct agreements with the Private Sector for nutrition initiatives. However, the Ministry has a small number of contracts with NGOs who have either memorandum of understandings or other formal arrangements with the private sector; or the </w:t>
            </w:r>
            <w:r w:rsidR="00E970A9" w:rsidRPr="009B490C">
              <w:rPr>
                <w:rFonts w:cs="Times New Roman"/>
                <w:bCs/>
                <w:szCs w:val="20"/>
              </w:rPr>
              <w:t>Ministry</w:t>
            </w:r>
            <w:r w:rsidRPr="009B490C">
              <w:rPr>
                <w:rFonts w:cs="Times New Roman"/>
                <w:bCs/>
                <w:szCs w:val="20"/>
              </w:rPr>
              <w:t xml:space="preserve"> funds NGOs who also receive separate funding from the private sector for different services. These are managed separately by the NGO. </w:t>
            </w:r>
            <w:r w:rsidR="00803CE4" w:rsidRPr="009B490C">
              <w:rPr>
                <w:rFonts w:cs="Times New Roman"/>
                <w:bCs/>
                <w:szCs w:val="20"/>
              </w:rPr>
              <w:t>T</w:t>
            </w:r>
            <w:r w:rsidRPr="009B490C">
              <w:rPr>
                <w:rFonts w:cs="Times New Roman"/>
                <w:bCs/>
                <w:szCs w:val="20"/>
              </w:rPr>
              <w:t>wo nutrition-related Ministry funded joint public</w:t>
            </w:r>
            <w:r w:rsidR="0072615A" w:rsidRPr="009B490C">
              <w:rPr>
                <w:rFonts w:cs="Times New Roman"/>
                <w:bCs/>
                <w:szCs w:val="20"/>
              </w:rPr>
              <w:t>-</w:t>
            </w:r>
            <w:r w:rsidRPr="009B490C">
              <w:rPr>
                <w:rFonts w:cs="Times New Roman"/>
                <w:bCs/>
                <w:szCs w:val="20"/>
              </w:rPr>
              <w:t>private initiatives are as follows:</w:t>
            </w:r>
          </w:p>
          <w:p w14:paraId="52A3355C" w14:textId="19A8E271" w:rsidR="0072615A" w:rsidRPr="009B490C" w:rsidRDefault="00F6325E" w:rsidP="0072615A">
            <w:pPr>
              <w:pStyle w:val="ListParagraph"/>
              <w:numPr>
                <w:ilvl w:val="0"/>
                <w:numId w:val="122"/>
              </w:numPr>
              <w:rPr>
                <w:rFonts w:cs="Times New Roman"/>
                <w:szCs w:val="20"/>
              </w:rPr>
            </w:pPr>
            <w:r w:rsidRPr="009B490C">
              <w:rPr>
                <w:rFonts w:cs="Times New Roman"/>
                <w:szCs w:val="20"/>
              </w:rPr>
              <w:t>Food for Thought is owned by Foodstuffs and delivered by Heart Foundation regional staff</w:t>
            </w:r>
            <w:r w:rsidR="00A56A48" w:rsidRPr="009B490C">
              <w:rPr>
                <w:rFonts w:cs="Times New Roman"/>
                <w:szCs w:val="20"/>
              </w:rPr>
              <w:t xml:space="preserve"> in</w:t>
            </w:r>
            <w:r w:rsidRPr="009B490C">
              <w:rPr>
                <w:rFonts w:cs="Times New Roman"/>
                <w:szCs w:val="20"/>
              </w:rPr>
              <w:t xml:space="preserve"> low decile schools throughout the country. </w:t>
            </w:r>
          </w:p>
          <w:p w14:paraId="65AE2553" w14:textId="680B0EA1" w:rsidR="00DE79DF" w:rsidRPr="009B490C" w:rsidRDefault="006B5D4B" w:rsidP="0072615A">
            <w:pPr>
              <w:pStyle w:val="ListParagraph"/>
              <w:numPr>
                <w:ilvl w:val="0"/>
                <w:numId w:val="122"/>
              </w:numPr>
              <w:rPr>
                <w:b/>
                <w:bCs/>
              </w:rPr>
            </w:pPr>
            <w:r w:rsidRPr="009B490C">
              <w:rPr>
                <w:rFonts w:cs="Times New Roman"/>
                <w:szCs w:val="20"/>
              </w:rPr>
              <w:t xml:space="preserve">Voluntary Schools Beverage Agreement between NZ Government and beverage industry leaders, Coca-Cola Amatil NZ and </w:t>
            </w:r>
            <w:proofErr w:type="spellStart"/>
            <w:r w:rsidRPr="009B490C">
              <w:rPr>
                <w:rFonts w:cs="Times New Roman"/>
                <w:szCs w:val="20"/>
              </w:rPr>
              <w:t>Frucor</w:t>
            </w:r>
            <w:proofErr w:type="spellEnd"/>
            <w:r w:rsidRPr="009B490C">
              <w:rPr>
                <w:rFonts w:cs="Times New Roman"/>
                <w:szCs w:val="20"/>
              </w:rPr>
              <w:t xml:space="preserve"> Beverages </w:t>
            </w:r>
            <w:r w:rsidR="002B4368" w:rsidRPr="009B490C">
              <w:rPr>
                <w:rFonts w:cs="Times New Roman"/>
                <w:szCs w:val="20"/>
              </w:rPr>
              <w:fldChar w:fldCharType="begin" w:fldLock="1"/>
            </w:r>
            <w:r w:rsidR="00EC12A7" w:rsidRPr="009B490C">
              <w:rPr>
                <w:rFonts w:cs="Times New Roman"/>
                <w:szCs w:val="20"/>
              </w:rPr>
              <w:instrText>ADDIN CSL_CITATION {"citationItems":[{"id":"ITEM-1","itemData":{"URL":"https://ccamatil.co.nz/news/students-across-the-country-benefit-from-world-leading-agreement-between-government-and-beverage-industry-leaders/","author":[{"dropping-particle":"","family":"Coca-Cola Amatil NZ","given":"","non-dropping-particle":"","parse-names":false,"suffix":""}],"id":"ITEM-1","issue":"20/4/2017","issued":{"date-parts":[["2014"]]},"title":"Students across the country benefit from world-leading agreement between Government and beverage industry leaders","type":"webpage"},"uris":["http://www.mendeley.com/documents/?uuid=9e085382-40c4-3ef2-8a5c-05c9af048f7f","http://www.mendeley.com/documents/?uuid=074d96c2-4f80-4b78-9d0c-c5821441c34f"]}],"mendeley":{"formattedCitation":"(264)","plainTextFormattedCitation":"(264)","previouslyFormattedCitation":"(264)"},"properties":{"noteIndex":0},"schema":"https://github.com/citation-style-language/schema/raw/master/csl-citation.json"}</w:instrText>
            </w:r>
            <w:r w:rsidR="002B4368" w:rsidRPr="009B490C">
              <w:rPr>
                <w:rFonts w:cs="Times New Roman"/>
                <w:szCs w:val="20"/>
              </w:rPr>
              <w:fldChar w:fldCharType="separate"/>
            </w:r>
            <w:r w:rsidR="009C4029" w:rsidRPr="009B490C">
              <w:rPr>
                <w:rFonts w:cs="Times New Roman"/>
                <w:noProof/>
                <w:szCs w:val="20"/>
              </w:rPr>
              <w:t>(264)</w:t>
            </w:r>
            <w:r w:rsidR="002B4368" w:rsidRPr="009B490C">
              <w:rPr>
                <w:rFonts w:cs="Times New Roman"/>
                <w:szCs w:val="20"/>
              </w:rPr>
              <w:fldChar w:fldCharType="end"/>
            </w:r>
            <w:r w:rsidR="002B4368" w:rsidRPr="009B490C">
              <w:rPr>
                <w:rFonts w:cs="Times New Roman"/>
                <w:szCs w:val="20"/>
              </w:rPr>
              <w:t>.</w:t>
            </w:r>
            <w:r w:rsidR="002B4368" w:rsidRPr="009B490C">
              <w:rPr>
                <w:rFonts w:cs="Times New Roman"/>
                <w:b/>
                <w:bCs/>
                <w:szCs w:val="20"/>
              </w:rPr>
              <w:t xml:space="preserve"> </w:t>
            </w:r>
          </w:p>
          <w:p w14:paraId="1A4AAB10" w14:textId="77777777" w:rsidR="000E7423" w:rsidRPr="009B490C" w:rsidRDefault="000E7423" w:rsidP="002D613F">
            <w:pPr>
              <w:pStyle w:val="ListParagraph"/>
              <w:spacing w:before="40" w:after="40"/>
              <w:ind w:left="567"/>
              <w:contextualSpacing w:val="0"/>
              <w:rPr>
                <w:rFonts w:cs="Times New Roman"/>
                <w:b/>
                <w:bCs/>
                <w:szCs w:val="20"/>
              </w:rPr>
            </w:pPr>
          </w:p>
          <w:p w14:paraId="044C5C71" w14:textId="31FFAB29" w:rsidR="00C04080" w:rsidRPr="009B490C" w:rsidRDefault="00C04080" w:rsidP="002D613F">
            <w:pPr>
              <w:spacing w:before="40" w:after="40"/>
              <w:rPr>
                <w:b/>
                <w:color w:val="1F497D"/>
                <w:sz w:val="28"/>
                <w:szCs w:val="28"/>
              </w:rPr>
            </w:pPr>
            <w:r w:rsidRPr="009B490C">
              <w:rPr>
                <w:b/>
                <w:color w:val="1F497D"/>
                <w:sz w:val="28"/>
                <w:szCs w:val="28"/>
              </w:rPr>
              <w:t xml:space="preserve">International best practice </w:t>
            </w:r>
            <w:r w:rsidR="00AE20D3" w:rsidRPr="009B490C">
              <w:rPr>
                <w:b/>
                <w:color w:val="1F497D"/>
                <w:sz w:val="28"/>
                <w:szCs w:val="28"/>
              </w:rPr>
              <w:t>examples</w:t>
            </w:r>
            <w:r w:rsidRPr="009B490C">
              <w:rPr>
                <w:b/>
                <w:color w:val="1F497D"/>
                <w:sz w:val="28"/>
                <w:szCs w:val="28"/>
              </w:rPr>
              <w:t xml:space="preserve"> (benchmarks)</w:t>
            </w:r>
          </w:p>
          <w:p w14:paraId="7EC6F836" w14:textId="4750920A" w:rsidR="00FE20A7" w:rsidRPr="009B490C" w:rsidRDefault="00FE20A7" w:rsidP="002D613F">
            <w:pPr>
              <w:pStyle w:val="ListParagraph"/>
              <w:numPr>
                <w:ilvl w:val="0"/>
                <w:numId w:val="24"/>
              </w:numPr>
              <w:shd w:val="clear" w:color="auto" w:fill="FFFFFF" w:themeFill="background1"/>
              <w:spacing w:before="40" w:after="40"/>
              <w:contextualSpacing w:val="0"/>
              <w:rPr>
                <w:rFonts w:cs="Times New Roman"/>
                <w:b/>
                <w:bCs/>
                <w:szCs w:val="20"/>
              </w:rPr>
            </w:pPr>
            <w:r w:rsidRPr="009B490C">
              <w:rPr>
                <w:rFonts w:eastAsia="Times New Roman" w:cs="Times New Roman"/>
                <w:b/>
                <w:szCs w:val="20"/>
                <w:lang w:eastAsia="en-NZ"/>
              </w:rPr>
              <w:t>UK:</w:t>
            </w:r>
            <w:r w:rsidRPr="009B490C">
              <w:rPr>
                <w:rFonts w:eastAsia="Times New Roman" w:cs="Times New Roman"/>
                <w:szCs w:val="20"/>
                <w:lang w:eastAsia="en-NZ"/>
              </w:rPr>
              <w:t xml:space="preserve"> The UK ‘Responsibility Deal’ was a UK government initiative to bring together food companies and non-government organisations to take steps (through voluntary pledges) to address NCDs during 2010-2015. It was chaired by the Secretary of State for Health and included senior representatives from the business community (as well as NGOs, public health organisations and local government). </w:t>
            </w:r>
            <w:r w:rsidR="008B6FAC" w:rsidRPr="009B490C">
              <w:rPr>
                <w:rFonts w:eastAsia="Times New Roman" w:cs="Times New Roman"/>
                <w:szCs w:val="20"/>
                <w:lang w:eastAsia="en-NZ"/>
              </w:rPr>
              <w:t>Several</w:t>
            </w:r>
            <w:r w:rsidRPr="009B490C">
              <w:rPr>
                <w:rFonts w:eastAsia="Times New Roman" w:cs="Times New Roman"/>
                <w:szCs w:val="20"/>
                <w:lang w:eastAsia="en-NZ"/>
              </w:rPr>
              <w:t xml:space="preserve"> other subgroups were responsible for driving specific programs relevant to the commercial food sector.</w:t>
            </w:r>
          </w:p>
        </w:tc>
      </w:tr>
    </w:tbl>
    <w:p w14:paraId="282D415D" w14:textId="77777777" w:rsidR="00BA640D" w:rsidRPr="0091450A" w:rsidRDefault="00BA640D" w:rsidP="002D613F">
      <w:pPr>
        <w:spacing w:after="0" w:line="240" w:lineRule="auto"/>
      </w:pPr>
    </w:p>
    <w:tbl>
      <w:tblPr>
        <w:tblStyle w:val="TableGrid"/>
        <w:tblW w:w="9209" w:type="dxa"/>
        <w:tblLook w:val="04A0" w:firstRow="1" w:lastRow="0" w:firstColumn="1" w:lastColumn="0" w:noHBand="0" w:noVBand="1"/>
      </w:tblPr>
      <w:tblGrid>
        <w:gridCol w:w="9209"/>
      </w:tblGrid>
      <w:tr w:rsidR="002C1960" w:rsidRPr="0091450A" w14:paraId="5FB9AB20" w14:textId="77777777" w:rsidTr="00E83F10">
        <w:tc>
          <w:tcPr>
            <w:tcW w:w="9209" w:type="dxa"/>
          </w:tcPr>
          <w:p w14:paraId="6B315C95" w14:textId="525D4ECC" w:rsidR="002C1960" w:rsidRPr="0091450A" w:rsidRDefault="008C0F53"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 xml:space="preserve">12 </w:t>
            </w:r>
            <w:r w:rsidR="002C1960" w:rsidRPr="0091450A">
              <w:rPr>
                <w:rFonts w:cs="Times New Roman"/>
                <w:b/>
                <w:color w:val="1F497D" w:themeColor="text2"/>
                <w:sz w:val="28"/>
                <w:szCs w:val="28"/>
              </w:rPr>
              <w:t xml:space="preserve">PLATFORMS FOR INTERACTION: </w:t>
            </w:r>
            <w:r w:rsidR="00B84363" w:rsidRPr="0091450A">
              <w:rPr>
                <w:rFonts w:cs="Times New Roman"/>
                <w:szCs w:val="20"/>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r w:rsidR="00B84E85" w:rsidRPr="0091450A">
              <w:rPr>
                <w:rFonts w:cs="Times New Roman"/>
                <w:szCs w:val="20"/>
              </w:rPr>
              <w:t>.</w:t>
            </w:r>
          </w:p>
        </w:tc>
      </w:tr>
      <w:tr w:rsidR="002C1960" w:rsidRPr="0091450A" w14:paraId="623F418D" w14:textId="77777777" w:rsidTr="00E83F10">
        <w:tc>
          <w:tcPr>
            <w:tcW w:w="9209" w:type="dxa"/>
          </w:tcPr>
          <w:p w14:paraId="70E6D326" w14:textId="2C8CAF2B" w:rsidR="002C1960" w:rsidRPr="0091450A" w:rsidRDefault="00D921CC" w:rsidP="002D613F">
            <w:pPr>
              <w:shd w:val="clear" w:color="auto" w:fill="FFFFFF" w:themeFill="background1"/>
              <w:spacing w:before="40" w:after="40"/>
              <w:rPr>
                <w:rFonts w:cs="Times New Roman"/>
                <w:color w:val="000000"/>
                <w:szCs w:val="20"/>
                <w:lang w:eastAsia="en-NZ"/>
              </w:rPr>
            </w:pPr>
            <w:bookmarkStart w:id="71" w:name="_Toc31623769"/>
            <w:r w:rsidRPr="0091450A">
              <w:rPr>
                <w:rStyle w:val="Heading3Char"/>
              </w:rPr>
              <w:t>PLATF3</w:t>
            </w:r>
            <w:bookmarkEnd w:id="71"/>
            <w:r w:rsidR="002C1960" w:rsidRPr="0091450A">
              <w:rPr>
                <w:rFonts w:cs="Times New Roman"/>
                <w:b/>
                <w:color w:val="1F497D" w:themeColor="text2"/>
                <w:sz w:val="28"/>
                <w:szCs w:val="28"/>
              </w:rPr>
              <w:t xml:space="preserve">: </w:t>
            </w:r>
            <w:r w:rsidR="00B84363" w:rsidRPr="0091450A">
              <w:rPr>
                <w:rFonts w:cs="Times New Roman"/>
                <w:b/>
                <w:szCs w:val="20"/>
              </w:rPr>
              <w:t>There are formal platforms for regular interactions between government and civil society on food policies and other strategies to improve population nutrition</w:t>
            </w:r>
            <w:r w:rsidR="00B84E85" w:rsidRPr="0091450A">
              <w:rPr>
                <w:rFonts w:cs="Times New Roman"/>
                <w:b/>
                <w:szCs w:val="20"/>
              </w:rPr>
              <w:t>.</w:t>
            </w:r>
          </w:p>
        </w:tc>
      </w:tr>
      <w:tr w:rsidR="002C1960" w:rsidRPr="0091450A" w14:paraId="68F37606" w14:textId="77777777" w:rsidTr="00E83F10">
        <w:tc>
          <w:tcPr>
            <w:tcW w:w="9209" w:type="dxa"/>
          </w:tcPr>
          <w:p w14:paraId="1CDCA209" w14:textId="5536E814"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4EC150A0" w14:textId="0C24943E" w:rsidR="006B2766" w:rsidRPr="0091450A" w:rsidRDefault="003F0381" w:rsidP="002D613F">
            <w:pPr>
              <w:pStyle w:val="ListParagraph"/>
              <w:numPr>
                <w:ilvl w:val="0"/>
                <w:numId w:val="19"/>
              </w:numPr>
              <w:spacing w:before="40" w:after="40"/>
              <w:ind w:left="284" w:hanging="284"/>
              <w:contextualSpacing w:val="0"/>
              <w:rPr>
                <w:rFonts w:cs="Times New Roman"/>
                <w:szCs w:val="20"/>
              </w:rPr>
            </w:pPr>
            <w:r w:rsidRPr="0091450A">
              <w:rPr>
                <w:rFonts w:cs="Times New Roman"/>
                <w:szCs w:val="20"/>
              </w:rPr>
              <w:t>There is a network of Chief Science Advisors based in different departments, Ministries and agencies across government</w:t>
            </w:r>
            <w:r w:rsidR="00C927D7">
              <w:rPr>
                <w:rFonts w:cs="Times New Roman"/>
                <w:szCs w:val="20"/>
              </w:rPr>
              <w:t>.</w:t>
            </w:r>
            <w:r w:rsidRPr="0091450A">
              <w:rPr>
                <w:rFonts w:cs="Times New Roman"/>
                <w:szCs w:val="20"/>
              </w:rPr>
              <w:t xml:space="preserve"> The </w:t>
            </w:r>
            <w:r w:rsidR="00CA1A87" w:rsidRPr="0091450A">
              <w:rPr>
                <w:rFonts w:cs="Times New Roman"/>
                <w:szCs w:val="20"/>
              </w:rPr>
              <w:t>Advisors</w:t>
            </w:r>
            <w:r w:rsidRPr="0091450A">
              <w:rPr>
                <w:rFonts w:cs="Times New Roman"/>
                <w:szCs w:val="20"/>
              </w:rPr>
              <w:t xml:space="preserve"> support ministry/department to better use evidence to inform policy, to perform a brokering role within their respective agencies and as a forum of science advisors along with the chief economist, chief statistician and deputy head of the State Services Commission. The Chief Science Advisor Forum provides a sounding board for the Prime Minister’s Chief Science Advisor and allows for a more coordinated whole-of-government view of science advice. There are 18 members of the forum. A priority of the Chief Science Advisor is to give this group more form and a higher profile, establishing a community of practice for science advice across government </w:t>
            </w:r>
            <w:r w:rsidR="00417C32" w:rsidRPr="0091450A">
              <w:rPr>
                <w:rFonts w:cs="Times New Roman"/>
                <w:szCs w:val="20"/>
              </w:rPr>
              <w:fldChar w:fldCharType="begin" w:fldLock="1"/>
            </w:r>
            <w:r w:rsidR="00EC12A7">
              <w:rPr>
                <w:rFonts w:cs="Times New Roman"/>
                <w:szCs w:val="20"/>
              </w:rPr>
              <w:instrText>ADDIN CSL_CITATION {"citationItems":[{"id":"ITEM-1","itemData":{"author":[{"dropping-particle":"","family":"The Office of the Prime Minister's Chief Science Advisor","given":"Kaitohutohu Mātanga Pūtaiao Matua ki te Pirimia.","non-dropping-particle":"","parse-names":false,"suffix":""}],"id":"ITEM-1","issued":{"date-parts":[["2019"]]},"title":"Annual Report 2019 Mahi Tahi 1","type":"report"},"uris":["http://www.mendeley.com/documents/?uuid=fe513044-a781-318a-b193-5d7afb1522e3","http://www.mendeley.com/documents/?uuid=307917cd-168c-4ead-a9b4-3a998e231822"]}],"mendeley":{"formattedCitation":"(265)","plainTextFormattedCitation":"(265)","previouslyFormattedCitation":"(265)"},"properties":{"noteIndex":0},"schema":"https://github.com/citation-style-language/schema/raw/master/csl-citation.json"}</w:instrText>
            </w:r>
            <w:r w:rsidR="00417C32" w:rsidRPr="0091450A">
              <w:rPr>
                <w:rFonts w:cs="Times New Roman"/>
                <w:szCs w:val="20"/>
              </w:rPr>
              <w:fldChar w:fldCharType="separate"/>
            </w:r>
            <w:r w:rsidR="009C4029" w:rsidRPr="009C4029">
              <w:rPr>
                <w:rFonts w:cs="Times New Roman"/>
                <w:noProof/>
                <w:szCs w:val="20"/>
              </w:rPr>
              <w:t>(265)</w:t>
            </w:r>
            <w:r w:rsidR="00417C32" w:rsidRPr="0091450A">
              <w:rPr>
                <w:rFonts w:cs="Times New Roman"/>
                <w:szCs w:val="20"/>
              </w:rPr>
              <w:fldChar w:fldCharType="end"/>
            </w:r>
            <w:r w:rsidRPr="0091450A">
              <w:rPr>
                <w:rFonts w:cs="Times New Roman"/>
                <w:szCs w:val="20"/>
              </w:rPr>
              <w:t>.</w:t>
            </w:r>
          </w:p>
          <w:p w14:paraId="5CB43168" w14:textId="1CA53100" w:rsidR="002C1960" w:rsidRPr="0091450A" w:rsidRDefault="00103202"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91450A">
              <w:rPr>
                <w:rFonts w:cs="Times New Roman"/>
                <w:szCs w:val="20"/>
              </w:rPr>
              <w:t>There are a</w:t>
            </w:r>
            <w:r w:rsidR="00404EA3" w:rsidRPr="0091450A">
              <w:rPr>
                <w:rFonts w:cs="Times New Roman"/>
                <w:szCs w:val="20"/>
              </w:rPr>
              <w:t xml:space="preserve">cademics on </w:t>
            </w:r>
            <w:r w:rsidRPr="0091450A">
              <w:rPr>
                <w:rFonts w:cs="Times New Roman"/>
                <w:szCs w:val="20"/>
              </w:rPr>
              <w:t>the Health Star Rating</w:t>
            </w:r>
            <w:r w:rsidR="00404EA3" w:rsidRPr="0091450A">
              <w:rPr>
                <w:rFonts w:cs="Times New Roman"/>
                <w:szCs w:val="20"/>
              </w:rPr>
              <w:t xml:space="preserve"> advisory committee</w:t>
            </w:r>
            <w:r w:rsidRPr="0091450A">
              <w:rPr>
                <w:rFonts w:cs="Times New Roman"/>
                <w:szCs w:val="20"/>
              </w:rPr>
              <w:t xml:space="preserve"> </w:t>
            </w:r>
            <w:r w:rsidR="002B4368" w:rsidRPr="0091450A">
              <w:rPr>
                <w:rFonts w:cs="Times New Roman"/>
                <w:szCs w:val="20"/>
              </w:rPr>
              <w:fldChar w:fldCharType="begin" w:fldLock="1"/>
            </w:r>
            <w:r w:rsidR="002B6CB8">
              <w:rPr>
                <w:rFonts w:cs="Times New Roman"/>
                <w:szCs w:val="20"/>
              </w:rPr>
              <w:instrText>ADDIN CSL_CITATION {"citationItems":[{"id":"ITEM-1","itemData":{"URL":"http://www.foodsafety.govt.nz/industry/general/labelling-composition/health-star-rating/governance.htm","author":[{"dropping-particle":"","family":"Ministry for Primary Industries","given":"","non-dropping-particle":"","parse-names":false,"suffix":""}],"id":"ITEM-1","issue":"1/12/2016","issued":{"date-parts":[["2016"]]},"title":"Health Star Rating system: Governance","type":"webpage"},"uris":["http://www.mendeley.com/documents/?uuid=e2a58e09-6e95-42ed-9529-0a6d84ad5f4a","http://www.mendeley.com/documents/?uuid=ff6e879a-925a-31b4-8b39-56f8e6704632"]}],"mendeley":{"formattedCitation":"(45)","plainTextFormattedCitation":"(45)","previouslyFormattedCitation":"(45)"},"properties":{"noteIndex":0},"schema":"https://github.com/citation-style-language/schema/raw/master/csl-citation.json"}</w:instrText>
            </w:r>
            <w:r w:rsidR="002B4368" w:rsidRPr="0091450A">
              <w:rPr>
                <w:rFonts w:cs="Times New Roman"/>
                <w:szCs w:val="20"/>
              </w:rPr>
              <w:fldChar w:fldCharType="separate"/>
            </w:r>
            <w:r w:rsidR="00A90C92" w:rsidRPr="00A90C92">
              <w:rPr>
                <w:rFonts w:cs="Times New Roman"/>
                <w:noProof/>
                <w:szCs w:val="20"/>
              </w:rPr>
              <w:t>(45)</w:t>
            </w:r>
            <w:r w:rsidR="002B4368" w:rsidRPr="0091450A">
              <w:rPr>
                <w:rFonts w:cs="Times New Roman"/>
                <w:szCs w:val="20"/>
              </w:rPr>
              <w:fldChar w:fldCharType="end"/>
            </w:r>
            <w:r w:rsidRPr="0091450A">
              <w:rPr>
                <w:rFonts w:cs="Times New Roman"/>
                <w:szCs w:val="20"/>
              </w:rPr>
              <w:t xml:space="preserve"> and the HPA Board.</w:t>
            </w:r>
          </w:p>
          <w:p w14:paraId="027A3E7B" w14:textId="08559AA1" w:rsidR="003E1B2E" w:rsidRPr="0091450A" w:rsidRDefault="003E1B2E"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The current advisory groups with a focus on nutrition, obesity or prevention of </w:t>
            </w:r>
            <w:r w:rsidRPr="00690A7E">
              <w:rPr>
                <w:rFonts w:cs="Times New Roman"/>
                <w:szCs w:val="20"/>
              </w:rPr>
              <w:t>NCDs</w:t>
            </w:r>
            <w:r w:rsidRPr="0091450A">
              <w:rPr>
                <w:rFonts w:cs="Times New Roman"/>
                <w:szCs w:val="20"/>
              </w:rPr>
              <w:t xml:space="preserve"> are: </w:t>
            </w:r>
            <w:r w:rsidR="00AC320C" w:rsidRPr="0091450A">
              <w:rPr>
                <w:rFonts w:cs="Times New Roman"/>
                <w:szCs w:val="20"/>
              </w:rPr>
              <w:t xml:space="preserve">Maternal, Infant and toddler </w:t>
            </w:r>
            <w:r w:rsidRPr="0091450A">
              <w:rPr>
                <w:rFonts w:cs="Times New Roman"/>
                <w:szCs w:val="20"/>
              </w:rPr>
              <w:t xml:space="preserve">Eating Guidelines Technical Advisory Group, Physical Activity Technical Advisory Group, National Diabetes Leadership Group, </w:t>
            </w:r>
            <w:r w:rsidR="00A20311" w:rsidRPr="00AE27FF">
              <w:rPr>
                <w:rFonts w:cs="Times New Roman"/>
                <w:szCs w:val="20"/>
              </w:rPr>
              <w:t>Well Ch</w:t>
            </w:r>
            <w:r w:rsidR="00A20311" w:rsidRPr="009B490C">
              <w:rPr>
                <w:rFonts w:cs="Times New Roman"/>
                <w:szCs w:val="20"/>
              </w:rPr>
              <w:t xml:space="preserve">ild Tamariki Ora Review </w:t>
            </w:r>
            <w:proofErr w:type="spellStart"/>
            <w:r w:rsidR="00A20311" w:rsidRPr="009B490C">
              <w:rPr>
                <w:rFonts w:cs="Times New Roman"/>
                <w:szCs w:val="20"/>
              </w:rPr>
              <w:t>R</w:t>
            </w:r>
            <w:r w:rsidR="00A20311" w:rsidRPr="009B490C">
              <w:rPr>
                <w:rFonts w:cstheme="minorHAnsi"/>
                <w:szCs w:val="20"/>
              </w:rPr>
              <w:t>ō</w:t>
            </w:r>
            <w:r w:rsidR="00A20311" w:rsidRPr="009B490C">
              <w:rPr>
                <w:rFonts w:cs="Times New Roman"/>
                <w:szCs w:val="20"/>
              </w:rPr>
              <w:t>p</w:t>
            </w:r>
            <w:r w:rsidR="00A20311" w:rsidRPr="009B490C">
              <w:rPr>
                <w:rFonts w:cstheme="minorHAnsi"/>
                <w:szCs w:val="20"/>
              </w:rPr>
              <w:t>ū</w:t>
            </w:r>
            <w:proofErr w:type="spellEnd"/>
            <w:r w:rsidR="00A20311" w:rsidRPr="009B490C">
              <w:rPr>
                <w:rFonts w:cs="Times New Roman"/>
                <w:szCs w:val="20"/>
              </w:rPr>
              <w:t xml:space="preserve"> </w:t>
            </w:r>
            <w:r w:rsidR="00EF51E2" w:rsidRPr="009B490C">
              <w:rPr>
                <w:rFonts w:cs="Times New Roman"/>
                <w:szCs w:val="20"/>
              </w:rPr>
              <w:t>(</w:t>
            </w:r>
            <w:r w:rsidR="00E27091" w:rsidRPr="009B490C">
              <w:rPr>
                <w:rFonts w:cs="Times New Roman"/>
                <w:szCs w:val="20"/>
              </w:rPr>
              <w:t>personal</w:t>
            </w:r>
            <w:r w:rsidR="00EF51E2" w:rsidRPr="009B490C">
              <w:rPr>
                <w:rFonts w:cs="Times New Roman"/>
                <w:szCs w:val="20"/>
              </w:rPr>
              <w:t xml:space="preserve"> communication</w:t>
            </w:r>
            <w:r w:rsidR="00B42934" w:rsidRPr="009B490C">
              <w:rPr>
                <w:rFonts w:cs="Times New Roman"/>
                <w:szCs w:val="20"/>
              </w:rPr>
              <w:t>,</w:t>
            </w:r>
            <w:r w:rsidR="00EF51E2" w:rsidRPr="009B490C">
              <w:rPr>
                <w:rFonts w:cs="Times New Roman"/>
                <w:szCs w:val="20"/>
              </w:rPr>
              <w:t xml:space="preserve"> MoH</w:t>
            </w:r>
            <w:r w:rsidR="00B42934" w:rsidRPr="009B490C">
              <w:rPr>
                <w:rFonts w:cs="Times New Roman"/>
                <w:szCs w:val="20"/>
              </w:rPr>
              <w:t xml:space="preserve">, </w:t>
            </w:r>
            <w:r w:rsidR="00A20311" w:rsidRPr="009B490C">
              <w:rPr>
                <w:rFonts w:cs="Times New Roman"/>
                <w:szCs w:val="20"/>
              </w:rPr>
              <w:t>2020</w:t>
            </w:r>
            <w:r w:rsidR="00EF51E2" w:rsidRPr="009B490C">
              <w:rPr>
                <w:rFonts w:cs="Times New Roman"/>
                <w:szCs w:val="20"/>
              </w:rPr>
              <w:t>). Each Healthy Families</w:t>
            </w:r>
            <w:r w:rsidR="00EA4AD4" w:rsidRPr="009B490C">
              <w:rPr>
                <w:rFonts w:cs="Times New Roman"/>
                <w:szCs w:val="20"/>
              </w:rPr>
              <w:t xml:space="preserve"> NZ</w:t>
            </w:r>
            <w:r w:rsidR="00EF51E2" w:rsidRPr="009B490C">
              <w:rPr>
                <w:rFonts w:cs="Times New Roman"/>
                <w:szCs w:val="20"/>
              </w:rPr>
              <w:t xml:space="preserve"> location has </w:t>
            </w:r>
            <w:r w:rsidR="00CA1A87" w:rsidRPr="009B490C">
              <w:rPr>
                <w:rFonts w:cs="Times New Roman"/>
                <w:szCs w:val="20"/>
              </w:rPr>
              <w:t xml:space="preserve">a </w:t>
            </w:r>
            <w:r w:rsidR="00A778A6" w:rsidRPr="009B490C">
              <w:rPr>
                <w:rFonts w:cs="Times New Roman"/>
                <w:szCs w:val="20"/>
              </w:rPr>
              <w:t>gov</w:t>
            </w:r>
            <w:r w:rsidR="00A778A6" w:rsidRPr="0091450A">
              <w:rPr>
                <w:rFonts w:cs="Times New Roman"/>
                <w:szCs w:val="20"/>
              </w:rPr>
              <w:t>ernance</w:t>
            </w:r>
            <w:r w:rsidR="00EF51E2" w:rsidRPr="0091450A">
              <w:rPr>
                <w:rFonts w:cs="Times New Roman"/>
                <w:szCs w:val="20"/>
              </w:rPr>
              <w:t>/strategic leadership group comprised of leaders who can influence change locally. These may include leaders from local government, regional sports trust, education, health, iwi, business. This group oversees the investment of the Action Budget and the alignment with spending with the principles of Healthy F</w:t>
            </w:r>
            <w:r w:rsidR="00B42934" w:rsidRPr="0091450A">
              <w:rPr>
                <w:rFonts w:cs="Times New Roman"/>
                <w:szCs w:val="20"/>
              </w:rPr>
              <w:t xml:space="preserve">amilies </w:t>
            </w:r>
            <w:r w:rsidR="00EA4AD4" w:rsidRPr="0091450A">
              <w:rPr>
                <w:rFonts w:cs="Times New Roman"/>
                <w:szCs w:val="20"/>
              </w:rPr>
              <w:t xml:space="preserve">NZ </w:t>
            </w:r>
            <w:r w:rsidR="00B42934" w:rsidRPr="0091450A">
              <w:rPr>
                <w:rFonts w:cs="Times New Roman"/>
                <w:szCs w:val="20"/>
              </w:rPr>
              <w:t>(personal communication,</w:t>
            </w:r>
            <w:r w:rsidR="00EF51E2" w:rsidRPr="0091450A">
              <w:rPr>
                <w:rFonts w:cs="Times New Roman"/>
                <w:szCs w:val="20"/>
              </w:rPr>
              <w:t xml:space="preserve"> Healthy Families</w:t>
            </w:r>
            <w:r w:rsidR="00EA4AD4" w:rsidRPr="0091450A">
              <w:rPr>
                <w:rFonts w:cs="Times New Roman"/>
                <w:szCs w:val="20"/>
              </w:rPr>
              <w:t xml:space="preserve"> NZ</w:t>
            </w:r>
            <w:r w:rsidR="00D80166" w:rsidRPr="0091450A">
              <w:rPr>
                <w:rFonts w:cs="Times New Roman"/>
                <w:szCs w:val="20"/>
              </w:rPr>
              <w:t>, 2017</w:t>
            </w:r>
            <w:r w:rsidR="00EF51E2" w:rsidRPr="0091450A">
              <w:rPr>
                <w:rFonts w:cs="Times New Roman"/>
                <w:szCs w:val="20"/>
              </w:rPr>
              <w:t>).</w:t>
            </w:r>
          </w:p>
          <w:p w14:paraId="26CBEEE9" w14:textId="22758D26" w:rsidR="003D3D46" w:rsidRPr="0091450A" w:rsidRDefault="003D3D46"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91450A">
              <w:rPr>
                <w:rFonts w:cs="Times New Roman"/>
                <w:szCs w:val="20"/>
              </w:rPr>
              <w:t>Some NGOs in NZ receive MoH funding, for example</w:t>
            </w:r>
            <w:r w:rsidR="00FF2C87" w:rsidRPr="0091450A">
              <w:rPr>
                <w:rFonts w:cs="Times New Roman"/>
                <w:szCs w:val="20"/>
              </w:rPr>
              <w:t>,</w:t>
            </w:r>
            <w:r w:rsidRPr="0091450A">
              <w:rPr>
                <w:rFonts w:cs="Times New Roman"/>
                <w:szCs w:val="20"/>
              </w:rPr>
              <w:t xml:space="preserve"> the Heart Foundation</w:t>
            </w:r>
            <w:r w:rsidR="00FF2C87" w:rsidRPr="0091450A">
              <w:rPr>
                <w:rFonts w:cs="Times New Roman"/>
                <w:szCs w:val="20"/>
              </w:rPr>
              <w:t xml:space="preserve"> </w:t>
            </w:r>
            <w:r w:rsidR="000B7F38" w:rsidRPr="0091450A">
              <w:rPr>
                <w:rFonts w:cs="Times New Roman"/>
                <w:szCs w:val="20"/>
              </w:rPr>
              <w:t xml:space="preserve">food reformulation </w:t>
            </w:r>
            <w:r w:rsidR="000C5673" w:rsidRPr="0091450A">
              <w:rPr>
                <w:rFonts w:cs="Times New Roman"/>
                <w:szCs w:val="20"/>
              </w:rPr>
              <w:t>programme</w:t>
            </w:r>
            <w:r w:rsidR="004E5F82" w:rsidRPr="0091450A">
              <w:rPr>
                <w:rFonts w:cs="Times New Roman"/>
                <w:szCs w:val="20"/>
              </w:rPr>
              <w:t xml:space="preserve"> </w:t>
            </w:r>
            <w:r w:rsidR="002B4368" w:rsidRPr="0091450A">
              <w:rPr>
                <w:rFonts w:cs="Times New Roman"/>
                <w:szCs w:val="20"/>
              </w:rPr>
              <w:fldChar w:fldCharType="begin" w:fldLock="1"/>
            </w:r>
            <w:r w:rsidR="00EC12A7">
              <w:rPr>
                <w:rFonts w:cs="Times New Roman"/>
                <w:szCs w:val="20"/>
              </w:rPr>
              <w:instrText>ADDIN CSL_CITATION {"citationItems":[{"id":"ITEM-1","itemData":{"URL":"http://www.foodstandards.gov.au/about/committees/Pages/Consumer-and-Public-Health-Dialogue-.aspx","author":[{"dropping-particle":"","family":"Food Standard Australia New Zealand","given":"","non-dropping-particle":"","parse-names":false,"suffix":""}],"id":"ITEM-1","issue":"20/4/2017","issued":{"date-parts":[["2015"]]},"title":"Consumer and Public Health Dialogue ","type":"webpage"},"uris":["http://www.mendeley.com/documents/?uuid=c298e3a7-3f98-35d9-8bd8-0e4873147730","http://www.mendeley.com/documents/?uuid=761858b3-a8f4-4191-bf30-49cef0fa3793"]}],"mendeley":{"formattedCitation":"(266)","plainTextFormattedCitation":"(266)","previouslyFormattedCitation":"(266)"},"properties":{"noteIndex":0},"schema":"https://github.com/citation-style-language/schema/raw/master/csl-citation.json"}</w:instrText>
            </w:r>
            <w:r w:rsidR="002B4368" w:rsidRPr="0091450A">
              <w:rPr>
                <w:rFonts w:cs="Times New Roman"/>
                <w:szCs w:val="20"/>
              </w:rPr>
              <w:fldChar w:fldCharType="separate"/>
            </w:r>
            <w:r w:rsidR="009C4029" w:rsidRPr="009C4029">
              <w:rPr>
                <w:rFonts w:cs="Times New Roman"/>
                <w:noProof/>
                <w:szCs w:val="20"/>
              </w:rPr>
              <w:t>(266)</w:t>
            </w:r>
            <w:r w:rsidR="002B4368" w:rsidRPr="0091450A">
              <w:rPr>
                <w:rFonts w:cs="Times New Roman"/>
                <w:szCs w:val="20"/>
              </w:rPr>
              <w:fldChar w:fldCharType="end"/>
            </w:r>
            <w:r w:rsidR="00760316" w:rsidRPr="0091450A">
              <w:rPr>
                <w:rFonts w:cs="Times New Roman"/>
                <w:szCs w:val="20"/>
              </w:rPr>
              <w:t xml:space="preserve">. </w:t>
            </w:r>
          </w:p>
          <w:p w14:paraId="08C936EB" w14:textId="2641FBFB" w:rsidR="000B7F38" w:rsidRPr="0091450A" w:rsidRDefault="003D3D46"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91450A">
              <w:rPr>
                <w:rFonts w:cs="Times New Roman"/>
                <w:szCs w:val="20"/>
              </w:rPr>
              <w:t>Civil society is encouraged to participate in public submissions in certain aspects of food policy development (</w:t>
            </w:r>
            <w:r w:rsidR="00AE20D3" w:rsidRPr="0091450A">
              <w:rPr>
                <w:rFonts w:cs="Times New Roman"/>
                <w:szCs w:val="20"/>
              </w:rPr>
              <w:t>e.g.</w:t>
            </w:r>
            <w:r w:rsidRPr="0091450A">
              <w:rPr>
                <w:rFonts w:cs="Times New Roman"/>
                <w:szCs w:val="20"/>
              </w:rPr>
              <w:t xml:space="preserve"> to Parliamentary Inquiries, Select Committees</w:t>
            </w:r>
            <w:r w:rsidR="000B7F38" w:rsidRPr="0091450A">
              <w:rPr>
                <w:rFonts w:cs="Times New Roman"/>
                <w:szCs w:val="20"/>
              </w:rPr>
              <w:t>).</w:t>
            </w:r>
          </w:p>
          <w:p w14:paraId="2378C572" w14:textId="34DFE515" w:rsidR="00D921CC" w:rsidRPr="00A455F5" w:rsidRDefault="000B7F38"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AE27FF">
              <w:rPr>
                <w:rFonts w:cs="Times New Roman"/>
                <w:szCs w:val="20"/>
              </w:rPr>
              <w:t xml:space="preserve">The </w:t>
            </w:r>
            <w:r w:rsidR="00892A6E" w:rsidRPr="00AE27FF">
              <w:rPr>
                <w:rFonts w:cs="Times New Roman"/>
                <w:szCs w:val="20"/>
              </w:rPr>
              <w:t xml:space="preserve">HPA </w:t>
            </w:r>
            <w:r w:rsidR="002B4368" w:rsidRPr="00AE27FF">
              <w:rPr>
                <w:rFonts w:cs="Times New Roman"/>
                <w:szCs w:val="20"/>
              </w:rPr>
              <w:fldChar w:fldCharType="begin" w:fldLock="1"/>
            </w:r>
            <w:r w:rsidR="009C4029" w:rsidRPr="00AE27FF">
              <w:rPr>
                <w:rFonts w:cs="Times New Roman"/>
                <w:szCs w:val="20"/>
              </w:rPr>
              <w:instrText>ADDIN CSL_CITATION {"citationItems":[{"id":"ITEM-1","itemData":{"author":[{"dropping-particle":"","family":"Health Promotion Agency","given":"","non-dropping-particle":"","parse-names":false,"suffix":""}],"id":"ITEM-1","issued":{"date-parts":[["2015"]]},"publisher":"Health Promotion Agency","publisher-place":"Wellington","title":"Annual report 2014/2015","type":"report"},"uris":["http://www.mendeley.com/documents/?uuid=e08357a9-2284-4182-8da4-b84a219e2a1c","http://www.mendeley.com/documents/?uuid=f7992adf-81a4-3699-923a-5a1d423d485a"]}],"mendeley":{"formattedCitation":"(110)","plainTextFormattedCitation":"(110)","previouslyFormattedCitation":"(110)"},"properties":{"noteIndex":0},"schema":"https://github.com/citation-style-language/schema/raw/master/csl-citation.json"}</w:instrText>
            </w:r>
            <w:r w:rsidR="002B4368" w:rsidRPr="00AE27FF">
              <w:rPr>
                <w:rFonts w:cs="Times New Roman"/>
                <w:szCs w:val="20"/>
              </w:rPr>
              <w:fldChar w:fldCharType="separate"/>
            </w:r>
            <w:r w:rsidR="004C06EB" w:rsidRPr="00AE27FF">
              <w:rPr>
                <w:rFonts w:cs="Times New Roman"/>
                <w:noProof/>
                <w:szCs w:val="20"/>
              </w:rPr>
              <w:t>(110)</w:t>
            </w:r>
            <w:r w:rsidR="002B4368" w:rsidRPr="00AE27FF">
              <w:rPr>
                <w:rFonts w:cs="Times New Roman"/>
                <w:szCs w:val="20"/>
              </w:rPr>
              <w:fldChar w:fldCharType="end"/>
            </w:r>
            <w:r w:rsidRPr="00AE27FF">
              <w:rPr>
                <w:rFonts w:cs="Times New Roman"/>
                <w:szCs w:val="20"/>
              </w:rPr>
              <w:t xml:space="preserve"> c</w:t>
            </w:r>
            <w:r w:rsidR="00892A6E" w:rsidRPr="00AE27FF">
              <w:rPr>
                <w:rFonts w:cs="Times New Roman"/>
                <w:szCs w:val="20"/>
              </w:rPr>
              <w:t xml:space="preserve">ommunity partnership funding </w:t>
            </w:r>
            <w:r w:rsidRPr="00AE27FF">
              <w:rPr>
                <w:rFonts w:cs="Times New Roman"/>
                <w:szCs w:val="20"/>
              </w:rPr>
              <w:t>was</w:t>
            </w:r>
            <w:r w:rsidRPr="0091450A">
              <w:rPr>
                <w:rFonts w:cs="Times New Roman"/>
                <w:szCs w:val="20"/>
              </w:rPr>
              <w:t xml:space="preserve"> </w:t>
            </w:r>
            <w:r w:rsidR="00892A6E" w:rsidRPr="0091450A">
              <w:rPr>
                <w:rFonts w:cs="Times New Roman"/>
                <w:szCs w:val="20"/>
              </w:rPr>
              <w:t xml:space="preserve">first </w:t>
            </w:r>
            <w:r w:rsidR="00892A6E" w:rsidRPr="0027191E">
              <w:rPr>
                <w:rFonts w:cs="Times New Roman"/>
                <w:szCs w:val="20"/>
              </w:rPr>
              <w:t xml:space="preserve">offered in 2013/14. </w:t>
            </w:r>
            <w:r w:rsidR="00F13AF4" w:rsidRPr="0027191E">
              <w:rPr>
                <w:rFonts w:cs="Times New Roman"/>
                <w:szCs w:val="20"/>
              </w:rPr>
              <w:t>In 2017</w:t>
            </w:r>
            <w:r w:rsidR="00965E2B">
              <w:rPr>
                <w:rFonts w:cs="Times New Roman"/>
                <w:szCs w:val="20"/>
              </w:rPr>
              <w:t xml:space="preserve">, sixteen community projects were funded and </w:t>
            </w:r>
            <w:r w:rsidR="00E7204A">
              <w:rPr>
                <w:rFonts w:cs="Times New Roman"/>
                <w:szCs w:val="20"/>
              </w:rPr>
              <w:t>monitored</w:t>
            </w:r>
            <w:r w:rsidR="006A449F">
              <w:rPr>
                <w:rFonts w:cs="Times New Roman"/>
                <w:szCs w:val="20"/>
              </w:rPr>
              <w:t>, though not nutrition related.</w:t>
            </w:r>
          </w:p>
          <w:p w14:paraId="5F6D40B3" w14:textId="54DDB58C" w:rsidR="000B7F38" w:rsidRPr="0091450A" w:rsidRDefault="000B7F38"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A455F5">
              <w:rPr>
                <w:rFonts w:cs="Times New Roman"/>
                <w:szCs w:val="20"/>
              </w:rPr>
              <w:t>The National Science Challenges</w:t>
            </w:r>
            <w:r w:rsidRPr="0091450A">
              <w:rPr>
                <w:rFonts w:cs="Times New Roman"/>
                <w:szCs w:val="20"/>
              </w:rPr>
              <w:t xml:space="preserve"> encourage collaboration with academia, </w:t>
            </w:r>
            <w:r w:rsidR="00CA1A87" w:rsidRPr="0091450A">
              <w:rPr>
                <w:rFonts w:cs="Times New Roman"/>
                <w:szCs w:val="20"/>
              </w:rPr>
              <w:t>C</w:t>
            </w:r>
            <w:r w:rsidRPr="0091450A">
              <w:rPr>
                <w:rFonts w:cs="Times New Roman"/>
                <w:szCs w:val="20"/>
              </w:rPr>
              <w:t xml:space="preserve">rown </w:t>
            </w:r>
            <w:r w:rsidR="00CA1A87" w:rsidRPr="0091450A">
              <w:rPr>
                <w:rFonts w:cs="Times New Roman"/>
                <w:szCs w:val="20"/>
              </w:rPr>
              <w:t>R</w:t>
            </w:r>
            <w:r w:rsidRPr="0091450A">
              <w:rPr>
                <w:rFonts w:cs="Times New Roman"/>
                <w:szCs w:val="20"/>
              </w:rPr>
              <w:t xml:space="preserve">esearch </w:t>
            </w:r>
            <w:r w:rsidR="00CA1A87" w:rsidRPr="0091450A">
              <w:rPr>
                <w:rFonts w:cs="Times New Roman"/>
                <w:szCs w:val="20"/>
              </w:rPr>
              <w:t>I</w:t>
            </w:r>
            <w:r w:rsidRPr="0091450A">
              <w:rPr>
                <w:rFonts w:cs="Times New Roman"/>
                <w:szCs w:val="20"/>
              </w:rPr>
              <w:t xml:space="preserve">nstitutes and NGOs and </w:t>
            </w:r>
            <w:proofErr w:type="spellStart"/>
            <w:r w:rsidRPr="0091450A">
              <w:rPr>
                <w:rFonts w:cs="Times New Roman"/>
                <w:szCs w:val="20"/>
              </w:rPr>
              <w:t>Malaghan</w:t>
            </w:r>
            <w:proofErr w:type="spellEnd"/>
            <w:r w:rsidRPr="0091450A">
              <w:rPr>
                <w:rFonts w:cs="Times New Roman"/>
                <w:szCs w:val="20"/>
              </w:rPr>
              <w:t xml:space="preserve"> Institute. </w:t>
            </w:r>
            <w:r w:rsidR="00CA1A87" w:rsidRPr="0091450A">
              <w:rPr>
                <w:rFonts w:cs="Times New Roman"/>
                <w:szCs w:val="20"/>
              </w:rPr>
              <w:t>Challenges are f</w:t>
            </w:r>
            <w:r w:rsidRPr="0091450A">
              <w:rPr>
                <w:rFonts w:cs="Times New Roman"/>
                <w:szCs w:val="20"/>
              </w:rPr>
              <w:t xml:space="preserve">unded by MBIE </w:t>
            </w:r>
            <w:r w:rsidR="002B4368" w:rsidRPr="0091450A">
              <w:rPr>
                <w:rFonts w:cs="Times New Roman"/>
                <w:szCs w:val="20"/>
              </w:rPr>
              <w:fldChar w:fldCharType="begin" w:fldLock="1"/>
            </w:r>
            <w:r w:rsidR="00657137">
              <w:rPr>
                <w:rFonts w:cs="Times New Roman"/>
                <w:szCs w:val="20"/>
              </w:rPr>
              <w:instrText>ADDIN CSL_CITATION {"citationItems":[{"id":"ITEM-1","itemData":{"URL":"http://www.mbie.govt.nz/info-services/science-innovation/national-science-challenges","author":[{"dropping-particle":"","family":"Ministry of Business Innovation and Employment","given":"","non-dropping-particle":"","parse-names":false,"suffix":""}],"id":"ITEM-1","issue":"23/2/2017","issued":{"date-parts":[["2016"]]},"title":"National Science Challenges","type":"webpage"},"uris":["http://www.mendeley.com/documents/?uuid=4fda6fec-8653-33f3-985e-c3df41d36767","http://www.mendeley.com/documents/?uuid=cffcb4ea-4000-43e3-8bd5-e53898fcdc6d"]}],"mendeley":{"formattedCitation":"(267)","plainTextFormattedCitation":"(267)","previouslyFormattedCitation":"(267)"},"properties":{"noteIndex":0},"schema":"https://github.com/citation-style-language/schema/raw/master/csl-citation.json"}</w:instrText>
            </w:r>
            <w:r w:rsidR="002B4368" w:rsidRPr="0091450A">
              <w:rPr>
                <w:rFonts w:cs="Times New Roman"/>
                <w:szCs w:val="20"/>
              </w:rPr>
              <w:fldChar w:fldCharType="separate"/>
            </w:r>
            <w:r w:rsidR="009C4029" w:rsidRPr="009C4029">
              <w:rPr>
                <w:rFonts w:cs="Times New Roman"/>
                <w:noProof/>
                <w:szCs w:val="20"/>
              </w:rPr>
              <w:t>(267)</w:t>
            </w:r>
            <w:r w:rsidR="002B4368" w:rsidRPr="0091450A">
              <w:rPr>
                <w:rFonts w:cs="Times New Roman"/>
                <w:szCs w:val="20"/>
              </w:rPr>
              <w:fldChar w:fldCharType="end"/>
            </w:r>
            <w:r w:rsidR="00760316" w:rsidRPr="0091450A">
              <w:rPr>
                <w:rFonts w:cs="Times New Roman"/>
                <w:szCs w:val="20"/>
              </w:rPr>
              <w:t>.</w:t>
            </w:r>
          </w:p>
          <w:p w14:paraId="44393185" w14:textId="1E7F04B9" w:rsidR="00703661" w:rsidRPr="0091450A" w:rsidRDefault="001D6AA9" w:rsidP="002D613F">
            <w:pPr>
              <w:pStyle w:val="ListParagraph"/>
              <w:numPr>
                <w:ilvl w:val="0"/>
                <w:numId w:val="19"/>
              </w:numPr>
              <w:shd w:val="clear" w:color="auto" w:fill="FFFFFF" w:themeFill="background1"/>
              <w:spacing w:before="40" w:after="40"/>
              <w:ind w:left="284" w:hanging="284"/>
              <w:contextualSpacing w:val="0"/>
              <w:rPr>
                <w:rFonts w:cs="Times New Roman"/>
                <w:szCs w:val="20"/>
              </w:rPr>
            </w:pPr>
            <w:r w:rsidRPr="0091450A">
              <w:rPr>
                <w:rFonts w:cstheme="minorHAnsi"/>
                <w:color w:val="717171"/>
                <w:szCs w:val="20"/>
                <w:shd w:val="clear" w:color="auto" w:fill="FFFFFF"/>
              </w:rPr>
              <w:t>​​</w:t>
            </w:r>
            <w:r w:rsidRPr="0091450A">
              <w:rPr>
                <w:rFonts w:cstheme="minorHAnsi"/>
                <w:szCs w:val="20"/>
                <w:shd w:val="clear" w:color="auto" w:fill="FFFFFF"/>
              </w:rPr>
              <w:t>The FSANZ Consumer and Public Health Dialogue provides a means by which FSANZ can engage in deeper and more meaningful consultation with peak consumer and public health bodies and academics</w:t>
            </w:r>
            <w:r w:rsidR="00C66C6C">
              <w:rPr>
                <w:rFonts w:cstheme="minorHAnsi"/>
                <w:szCs w:val="20"/>
                <w:shd w:val="clear" w:color="auto" w:fill="FFFFFF"/>
              </w:rPr>
              <w:t xml:space="preserve"> </w:t>
            </w:r>
            <w:r w:rsidR="00C66C6C">
              <w:rPr>
                <w:rFonts w:cstheme="minorHAnsi"/>
                <w:szCs w:val="20"/>
                <w:shd w:val="clear" w:color="auto" w:fill="FFFFFF"/>
              </w:rPr>
              <w:fldChar w:fldCharType="begin" w:fldLock="1"/>
            </w:r>
            <w:r w:rsidR="00EC12A7">
              <w:rPr>
                <w:rFonts w:cstheme="minorHAnsi"/>
                <w:szCs w:val="20"/>
                <w:shd w:val="clear" w:color="auto" w:fill="FFFFFF"/>
              </w:rPr>
              <w:instrText>ADDIN CSL_CITATION {"citationItems":[{"id":"ITEM-1","itemData":{"URL":"https://www.foodstandards.govt.nz/about/committees/Pages/Consumer-and-Public-Health-Dialogue-.aspx","accessed":{"date-parts":[["2020","1","20"]]},"author":[{"dropping-particle":"","family":"Food Standards Australia New Zealand","given":"","non-dropping-particle":"","parse-names":false,"suffix":""}],"id":"ITEM-1","issued":{"date-parts":[["2019"]]},"title":"Consumer and Public Health Dialogue","type":"webpage"},"uris":["http://www.mendeley.com/documents/?uuid=9b4f983c-6b12-36c1-88d0-713925bb099a"]}],"mendeley":{"formattedCitation":"(268)","plainTextFormattedCitation":"(268)","previouslyFormattedCitation":"(268)"},"properties":{"noteIndex":0},"schema":"https://github.com/citation-style-language/schema/raw/master/csl-citation.json"}</w:instrText>
            </w:r>
            <w:r w:rsidR="00C66C6C">
              <w:rPr>
                <w:rFonts w:cstheme="minorHAnsi"/>
                <w:szCs w:val="20"/>
                <w:shd w:val="clear" w:color="auto" w:fill="FFFFFF"/>
              </w:rPr>
              <w:fldChar w:fldCharType="separate"/>
            </w:r>
            <w:r w:rsidR="009C4029" w:rsidRPr="009C4029">
              <w:rPr>
                <w:rFonts w:cstheme="minorHAnsi"/>
                <w:noProof/>
                <w:szCs w:val="20"/>
                <w:shd w:val="clear" w:color="auto" w:fill="FFFFFF"/>
              </w:rPr>
              <w:t>(268)</w:t>
            </w:r>
            <w:r w:rsidR="00C66C6C">
              <w:rPr>
                <w:rFonts w:cstheme="minorHAnsi"/>
                <w:szCs w:val="20"/>
                <w:shd w:val="clear" w:color="auto" w:fill="FFFFFF"/>
              </w:rPr>
              <w:fldChar w:fldCharType="end"/>
            </w:r>
            <w:r w:rsidRPr="0091450A">
              <w:rPr>
                <w:rFonts w:cstheme="minorHAnsi"/>
                <w:szCs w:val="20"/>
                <w:shd w:val="clear" w:color="auto" w:fill="FFFFFF"/>
              </w:rPr>
              <w:t xml:space="preserve">. The objective is to improve FSANZ’s awareness and understanding of community food and health issues; and public priorities, and through this communication, provide a more effective food regulatory response. The Ministry of Health and Ministry </w:t>
            </w:r>
            <w:r w:rsidR="0096758C">
              <w:rPr>
                <w:rFonts w:cstheme="minorHAnsi"/>
                <w:szCs w:val="20"/>
                <w:shd w:val="clear" w:color="auto" w:fill="FFFFFF"/>
              </w:rPr>
              <w:t>for</w:t>
            </w:r>
            <w:r w:rsidRPr="0091450A">
              <w:rPr>
                <w:rFonts w:cstheme="minorHAnsi"/>
                <w:szCs w:val="20"/>
                <w:shd w:val="clear" w:color="auto" w:fill="FFFFFF"/>
              </w:rPr>
              <w:t xml:space="preserve"> Primary Industries attend as observers.</w:t>
            </w:r>
          </w:p>
          <w:p w14:paraId="36F11CCD" w14:textId="77777777" w:rsidR="00DD7B28" w:rsidRPr="0091450A" w:rsidRDefault="00DD7B28" w:rsidP="002D613F">
            <w:pPr>
              <w:shd w:val="clear" w:color="auto" w:fill="FFFFFF" w:themeFill="background1"/>
              <w:spacing w:before="40" w:after="40"/>
              <w:rPr>
                <w:rFonts w:cs="Times New Roman"/>
                <w:b/>
                <w:color w:val="002060"/>
                <w:szCs w:val="20"/>
              </w:rPr>
            </w:pPr>
          </w:p>
          <w:p w14:paraId="0082FB33" w14:textId="7DC875C1"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6391BC58" w14:textId="134BE7A3" w:rsidR="00FE20A7" w:rsidRPr="0091450A" w:rsidRDefault="00FE20A7" w:rsidP="002D613F">
            <w:pPr>
              <w:pStyle w:val="ListParagraph"/>
              <w:numPr>
                <w:ilvl w:val="0"/>
                <w:numId w:val="88"/>
              </w:numPr>
              <w:shd w:val="clear" w:color="auto" w:fill="FFFFFF" w:themeFill="background1"/>
              <w:spacing w:before="40" w:after="40"/>
              <w:ind w:left="284" w:hanging="284"/>
              <w:contextualSpacing w:val="0"/>
              <w:rPr>
                <w:rFonts w:cs="Times New Roman"/>
                <w:b/>
                <w:color w:val="002060"/>
                <w:szCs w:val="20"/>
              </w:rPr>
            </w:pPr>
            <w:r w:rsidRPr="0091450A">
              <w:rPr>
                <w:rFonts w:eastAsia="Times New Roman" w:cs="Times New Roman"/>
                <w:b/>
                <w:szCs w:val="20"/>
                <w:lang w:eastAsia="en-NZ"/>
              </w:rPr>
              <w:t>Brazil</w:t>
            </w:r>
            <w:r w:rsidRPr="0091450A">
              <w:rPr>
                <w:rFonts w:eastAsia="Times New Roman" w:cs="Times New Roman"/>
                <w:szCs w:val="20"/>
                <w:lang w:eastAsia="en-NZ"/>
              </w:rPr>
              <w:t xml:space="preserve">:  The National Council of Food and Nutrition Security (CONSEA) is a body made up of civil society and government representatives, which advises the President’s office on matters involving food and nutrition security </w:t>
            </w:r>
            <w:r w:rsidR="002B4368"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fao.org.br/download/Seguranca_Alimentar_Ingles.pdf","author":[{"dropping-particle":"","family":"CONSEA","given":"","non-dropping-particle":"","parse-names":false,"suffix":""}],"id":"ITEM-1","issue":"08/03/2016","issued":{"date-parts":[["0"]]},"title":"Building up the National Policy and System for Food and Nutrition Security: the Brazilian experience","type":"webpage"},"uris":["http://www.mendeley.com/documents/?uuid=38faff04-c55e-3620-bfb0-f0586091287f","http://www.mendeley.com/documents/?uuid=d643336e-5cbb-419c-b839-84591794f2fd"]}],"mendeley":{"formattedCitation":"(269)","plainTextFormattedCitation":"(269)","previouslyFormattedCitation":"(269)"},"properties":{"noteIndex":0},"schema":"https://github.com/citation-style-language/schema/raw/master/csl-citation.json"}</w:instrText>
            </w:r>
            <w:r w:rsidR="002B4368"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(269)</w:t>
            </w:r>
            <w:r w:rsidR="002B4368" w:rsidRPr="0091450A">
              <w:rPr>
                <w:rFonts w:eastAsia="Times New Roman" w:cs="Times New Roman"/>
                <w:szCs w:val="20"/>
                <w:lang w:eastAsia="en-NZ"/>
              </w:rPr>
              <w:fldChar w:fldCharType="end"/>
            </w:r>
            <w:r w:rsidRPr="0091450A">
              <w:rPr>
                <w:rFonts w:eastAsia="Times New Roman" w:cs="Times New Roman"/>
                <w:szCs w:val="20"/>
                <w:lang w:eastAsia="en-NZ"/>
              </w:rPr>
              <w:t>.</w:t>
            </w:r>
            <w:r w:rsidRPr="0091450A">
              <w:rPr>
                <w:szCs w:val="20"/>
              </w:rPr>
              <w:t xml:space="preserve"> CONSEA is</w:t>
            </w:r>
            <w:r w:rsidRPr="0091450A">
              <w:rPr>
                <w:rFonts w:eastAsia="Times New Roman" w:cs="Times New Roman"/>
                <w:szCs w:val="20"/>
                <w:lang w:eastAsia="en-NZ"/>
              </w:rPr>
              <w:t xml:space="preserve"> made up </w:t>
            </w:r>
            <w:r w:rsidR="0072615A">
              <w:rPr>
                <w:rFonts w:eastAsia="Times New Roman" w:cs="Times New Roman"/>
                <w:szCs w:val="20"/>
                <w:lang w:eastAsia="en-NZ"/>
              </w:rPr>
              <w:t>of</w:t>
            </w:r>
            <w:r w:rsidRPr="0091450A">
              <w:rPr>
                <w:rFonts w:eastAsia="Times New Roman" w:cs="Times New Roman"/>
                <w:szCs w:val="20"/>
                <w:lang w:eastAsia="en-NZ"/>
              </w:rPr>
              <w:t xml:space="preserve"> one-third government and two-thirds non-government executives and workers. It has special powers. It is housed in and reports to the office of the president of the republic. </w:t>
            </w:r>
            <w:r w:rsidRPr="0091450A">
              <w:rPr>
                <w:rFonts w:eastAsia="Times New Roman" w:cs="Times New Roman"/>
                <w:szCs w:val="20"/>
                <w:lang w:eastAsia="en-NZ"/>
              </w:rPr>
              <w:lastRenderedPageBreak/>
              <w:t>It is responsible for formulating and proposing public policies whose purpose is to guarantee the human right to healthy and adequate food. There are also CONSEAs at state and municipal levels that deal with specific issues, also responsible for organising CONSEA conferences at their levels. CONSEAs are charged to represent Brazilian social, regional, racial and cultural diversity at municipal, state or national level. The elected politicians in Brazil's parliament formally have the power to challenge and even overturn proposals made by CONSEA. In practice</w:t>
            </w:r>
            <w:r w:rsidR="0072615A">
              <w:rPr>
                <w:rFonts w:eastAsia="Times New Roman" w:cs="Times New Roman"/>
                <w:szCs w:val="20"/>
                <w:lang w:eastAsia="en-NZ"/>
              </w:rPr>
              <w:t>,</w:t>
            </w:r>
            <w:r w:rsidRPr="0091450A">
              <w:rPr>
                <w:rFonts w:eastAsia="Times New Roman" w:cs="Times New Roman"/>
                <w:szCs w:val="20"/>
                <w:lang w:eastAsia="en-NZ"/>
              </w:rPr>
              <w:t xml:space="preserve"> it is most unlikely that any Brazilian government whether of the left or right would wish to do so, partly because of the constitutional status of the CONSEA system, </w:t>
            </w:r>
            <w:r w:rsidR="007A7A1E" w:rsidRPr="0091450A">
              <w:rPr>
                <w:rFonts w:eastAsia="Times New Roman" w:cs="Times New Roman"/>
                <w:szCs w:val="20"/>
                <w:lang w:eastAsia="en-NZ"/>
              </w:rPr>
              <w:t>and</w:t>
            </w:r>
            <w:r w:rsidRPr="0091450A">
              <w:rPr>
                <w:rFonts w:eastAsia="Times New Roman" w:cs="Times New Roman"/>
                <w:szCs w:val="20"/>
                <w:lang w:eastAsia="en-NZ"/>
              </w:rPr>
              <w:t xml:space="preserve"> because, being so carefully representative of all sectors and levels of society, it remains strong and popular.</w:t>
            </w:r>
          </w:p>
        </w:tc>
      </w:tr>
    </w:tbl>
    <w:p w14:paraId="08A13F24" w14:textId="716134B2" w:rsidR="005C2B19" w:rsidRPr="0091450A" w:rsidRDefault="005C2B19" w:rsidP="002D613F">
      <w:pPr>
        <w:spacing w:line="240" w:lineRule="auto"/>
      </w:pPr>
    </w:p>
    <w:tbl>
      <w:tblPr>
        <w:tblStyle w:val="TableGrid"/>
        <w:tblW w:w="9209" w:type="dxa"/>
        <w:tblLook w:val="04A0" w:firstRow="1" w:lastRow="0" w:firstColumn="1" w:lastColumn="0" w:noHBand="0" w:noVBand="1"/>
      </w:tblPr>
      <w:tblGrid>
        <w:gridCol w:w="9209"/>
      </w:tblGrid>
      <w:tr w:rsidR="00B84363" w:rsidRPr="0091450A" w14:paraId="620D665C" w14:textId="77777777" w:rsidTr="00E83F10">
        <w:tc>
          <w:tcPr>
            <w:tcW w:w="9209" w:type="dxa"/>
          </w:tcPr>
          <w:p w14:paraId="75C357D4" w14:textId="4438790D" w:rsidR="00B84363" w:rsidRPr="0091450A" w:rsidRDefault="00B84363"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 xml:space="preserve">12 PLATFORMS FOR INTERACTION: </w:t>
            </w:r>
            <w:r w:rsidRPr="0091450A">
              <w:rPr>
                <w:rFonts w:cs="Times New Roman"/>
                <w:szCs w:val="20"/>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r w:rsidR="009B3B51" w:rsidRPr="0091450A">
              <w:rPr>
                <w:rFonts w:cs="Times New Roman"/>
                <w:szCs w:val="20"/>
              </w:rPr>
              <w:t>.</w:t>
            </w:r>
          </w:p>
        </w:tc>
      </w:tr>
      <w:tr w:rsidR="00B84363" w:rsidRPr="0091450A" w14:paraId="66B73BBF" w14:textId="77777777" w:rsidTr="00E83F10">
        <w:tc>
          <w:tcPr>
            <w:tcW w:w="9209" w:type="dxa"/>
          </w:tcPr>
          <w:p w14:paraId="371CCB7D" w14:textId="77C6F3FA" w:rsidR="00B84363" w:rsidRPr="0091450A" w:rsidRDefault="00D921CC" w:rsidP="002D613F">
            <w:pPr>
              <w:shd w:val="clear" w:color="auto" w:fill="FFFFFF" w:themeFill="background1"/>
              <w:spacing w:before="40" w:after="40"/>
              <w:rPr>
                <w:rFonts w:cs="Times New Roman"/>
                <w:color w:val="000000"/>
                <w:szCs w:val="20"/>
                <w:lang w:eastAsia="en-NZ"/>
              </w:rPr>
            </w:pPr>
            <w:bookmarkStart w:id="72" w:name="_Toc31623770"/>
            <w:r w:rsidRPr="0091450A">
              <w:rPr>
                <w:rStyle w:val="Heading3Char"/>
              </w:rPr>
              <w:t>PLATF4</w:t>
            </w:r>
            <w:bookmarkEnd w:id="72"/>
            <w:r w:rsidR="00B84363" w:rsidRPr="0091450A">
              <w:rPr>
                <w:rFonts w:cs="Times New Roman"/>
                <w:b/>
                <w:color w:val="1F497D" w:themeColor="text2"/>
                <w:sz w:val="28"/>
                <w:szCs w:val="28"/>
              </w:rPr>
              <w:t xml:space="preserve">: </w:t>
            </w:r>
            <w:r w:rsidR="007A5446" w:rsidRPr="0091450A">
              <w:rPr>
                <w:rFonts w:cs="Times New Roman"/>
                <w:b/>
                <w:szCs w:val="20"/>
              </w:rPr>
              <w:t xml:space="preserve">The government leads a broad, effective and sustainable systems-based approach with local organisations to improve the healthiness of food environments at </w:t>
            </w:r>
            <w:r w:rsidR="00942266" w:rsidRPr="0091450A">
              <w:rPr>
                <w:rFonts w:cs="Times New Roman"/>
                <w:b/>
                <w:szCs w:val="20"/>
              </w:rPr>
              <w:t xml:space="preserve">a national </w:t>
            </w:r>
            <w:r w:rsidR="007A5446" w:rsidRPr="0091450A">
              <w:rPr>
                <w:rFonts w:cs="Times New Roman"/>
                <w:b/>
                <w:szCs w:val="20"/>
              </w:rPr>
              <w:t>level</w:t>
            </w:r>
            <w:r w:rsidR="009B3B51" w:rsidRPr="0091450A">
              <w:rPr>
                <w:rFonts w:cs="Times New Roman"/>
                <w:b/>
                <w:szCs w:val="20"/>
              </w:rPr>
              <w:t>.</w:t>
            </w:r>
          </w:p>
        </w:tc>
      </w:tr>
      <w:tr w:rsidR="00B84363" w:rsidRPr="0091450A" w14:paraId="0B2A513C" w14:textId="77777777" w:rsidTr="00E83F10">
        <w:tc>
          <w:tcPr>
            <w:tcW w:w="9209" w:type="dxa"/>
          </w:tcPr>
          <w:p w14:paraId="5740F368" w14:textId="562A3AED"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70CAEEA9" w14:textId="0C642BAD" w:rsidR="0047173B" w:rsidRPr="0091450A" w:rsidRDefault="000B7F38" w:rsidP="002D613F">
            <w:pPr>
              <w:pStyle w:val="ListParagraph"/>
              <w:numPr>
                <w:ilvl w:val="0"/>
                <w:numId w:val="37"/>
              </w:numPr>
              <w:shd w:val="clear" w:color="auto" w:fill="FFFFFF" w:themeFill="background1"/>
              <w:spacing w:before="40" w:after="40"/>
              <w:contextualSpacing w:val="0"/>
              <w:rPr>
                <w:rFonts w:cs="Times New Roman"/>
                <w:szCs w:val="20"/>
              </w:rPr>
            </w:pPr>
            <w:r w:rsidRPr="007159FF">
              <w:rPr>
                <w:rFonts w:cs="Times New Roman"/>
                <w:szCs w:val="20"/>
              </w:rPr>
              <w:t>P</w:t>
            </w:r>
            <w:r w:rsidR="00863447" w:rsidRPr="007159FF">
              <w:rPr>
                <w:rFonts w:cs="Times New Roman"/>
                <w:szCs w:val="20"/>
              </w:rPr>
              <w:t xml:space="preserve">roject Energize </w:t>
            </w:r>
            <w:r w:rsidRPr="0091450A">
              <w:rPr>
                <w:rFonts w:cs="Times New Roman"/>
                <w:szCs w:val="20"/>
              </w:rPr>
              <w:t xml:space="preserve">began in 2005 </w:t>
            </w:r>
            <w:r w:rsidR="00863447" w:rsidRPr="0091450A">
              <w:rPr>
                <w:rFonts w:cs="Times New Roman"/>
                <w:szCs w:val="20"/>
              </w:rPr>
              <w:t>in the Waikato region</w:t>
            </w:r>
            <w:r w:rsidR="00803CE4" w:rsidRPr="0091450A">
              <w:rPr>
                <w:rFonts w:cs="Times New Roman"/>
                <w:szCs w:val="20"/>
              </w:rPr>
              <w:t xml:space="preserve"> </w:t>
            </w:r>
            <w:r w:rsidR="002B4368" w:rsidRPr="0091450A">
              <w:rPr>
                <w:rFonts w:cs="Times New Roman"/>
                <w:szCs w:val="20"/>
              </w:rPr>
              <w:fldChar w:fldCharType="begin" w:fldLock="1"/>
            </w:r>
            <w:r w:rsidR="00EC12A7">
              <w:rPr>
                <w:rFonts w:cs="Times New Roman"/>
                <w:szCs w:val="20"/>
              </w:rPr>
              <w:instrText>ADDIN CSL_CITATION {"citationItems":[{"id":"ITEM-1","itemData":{"URL":"http://www.waikatodhb.govt.nz/events/pageid/2145872029/Project_Energize.html","author":[{"dropping-particle":"","family":"Waikato District Health Board","given":"","non-dropping-particle":"","parse-names":false,"suffix":""}],"id":"ITEM-1","issue":"28/01/2014","issued":{"date-parts":[["0"]]},"title":"Project Energize","type":"webpage"},"uris":["http://www.mendeley.com/documents/?uuid=8ae2dd8f-90dc-3c15-8c9f-e85c1bc53d5c","http://www.mendeley.com/documents/?uuid=62f57e3c-c3f8-4aac-8b29-c11665468043"]}],"mendeley":{"formattedCitation":"(270)","plainTextFormattedCitation":"(270)","previouslyFormattedCitation":"(270)"},"properties":{"noteIndex":0},"schema":"https://github.com/citation-style-language/schema/raw/master/csl-citation.json"}</w:instrText>
            </w:r>
            <w:r w:rsidR="002B4368" w:rsidRPr="0091450A">
              <w:rPr>
                <w:rFonts w:cs="Times New Roman"/>
                <w:szCs w:val="20"/>
              </w:rPr>
              <w:fldChar w:fldCharType="separate"/>
            </w:r>
            <w:r w:rsidR="009C4029" w:rsidRPr="009C4029">
              <w:rPr>
                <w:rFonts w:cs="Times New Roman"/>
                <w:noProof/>
                <w:szCs w:val="20"/>
              </w:rPr>
              <w:t>(270)</w:t>
            </w:r>
            <w:r w:rsidR="002B4368" w:rsidRPr="0091450A">
              <w:rPr>
                <w:rFonts w:cs="Times New Roman"/>
                <w:szCs w:val="20"/>
              </w:rPr>
              <w:fldChar w:fldCharType="end"/>
            </w:r>
            <w:r w:rsidR="001B5F29" w:rsidRPr="0091450A">
              <w:rPr>
                <w:rFonts w:cs="Times New Roman"/>
                <w:szCs w:val="20"/>
              </w:rPr>
              <w:t xml:space="preserve">. </w:t>
            </w:r>
            <w:r w:rsidRPr="0091450A">
              <w:rPr>
                <w:rFonts w:cs="Times New Roman"/>
                <w:szCs w:val="20"/>
              </w:rPr>
              <w:t>It</w:t>
            </w:r>
            <w:r w:rsidR="001B5F29" w:rsidRPr="0091450A">
              <w:rPr>
                <w:rFonts w:cs="Times New Roman"/>
                <w:szCs w:val="20"/>
              </w:rPr>
              <w:t xml:space="preserve"> is funded by Waikato District Health Board. </w:t>
            </w:r>
            <w:r w:rsidRPr="0091450A">
              <w:rPr>
                <w:rFonts w:cs="Times New Roman"/>
                <w:szCs w:val="20"/>
              </w:rPr>
              <w:t xml:space="preserve">Project Energize partners with </w:t>
            </w:r>
            <w:r w:rsidRPr="0091450A">
              <w:t xml:space="preserve">Maori and Pacific providers, and organisations that are experts in community development, research, nutrition, sports science and clinical skills, Sport NZ, AUT, Wintec. </w:t>
            </w:r>
            <w:r w:rsidR="001B5F29" w:rsidRPr="0091450A">
              <w:rPr>
                <w:rFonts w:cs="Times New Roman"/>
                <w:szCs w:val="20"/>
              </w:rPr>
              <w:t xml:space="preserve">A </w:t>
            </w:r>
            <w:r w:rsidR="001B5F29" w:rsidRPr="006A449F">
              <w:rPr>
                <w:rFonts w:cs="Times New Roman"/>
                <w:szCs w:val="20"/>
              </w:rPr>
              <w:t xml:space="preserve">total of </w:t>
            </w:r>
            <w:r w:rsidR="00F54B2C" w:rsidRPr="006A449F">
              <w:rPr>
                <w:rFonts w:cs="Times New Roman"/>
                <w:szCs w:val="20"/>
              </w:rPr>
              <w:t xml:space="preserve">45,438 </w:t>
            </w:r>
            <w:r w:rsidR="001B5F29" w:rsidRPr="006A449F">
              <w:rPr>
                <w:rFonts w:cs="Times New Roman"/>
                <w:szCs w:val="20"/>
              </w:rPr>
              <w:t>primary and intermediate school</w:t>
            </w:r>
            <w:r w:rsidR="00F54B2C" w:rsidRPr="006A449F">
              <w:rPr>
                <w:rFonts w:cs="Times New Roman"/>
                <w:szCs w:val="20"/>
              </w:rPr>
              <w:t xml:space="preserve"> </w:t>
            </w:r>
            <w:r w:rsidR="001B5F29" w:rsidRPr="006A449F">
              <w:rPr>
                <w:rFonts w:cs="Times New Roman"/>
                <w:szCs w:val="20"/>
              </w:rPr>
              <w:t xml:space="preserve">children are now part of Project Energize through </w:t>
            </w:r>
            <w:r w:rsidR="007D182B" w:rsidRPr="006A449F">
              <w:rPr>
                <w:rFonts w:cs="Times New Roman"/>
                <w:szCs w:val="20"/>
              </w:rPr>
              <w:t>24</w:t>
            </w:r>
            <w:r w:rsidR="000D18E9" w:rsidRPr="006A449F">
              <w:rPr>
                <w:rFonts w:cs="Times New Roman"/>
                <w:szCs w:val="20"/>
              </w:rPr>
              <w:t>0</w:t>
            </w:r>
            <w:r w:rsidR="007D182B" w:rsidRPr="006A449F">
              <w:rPr>
                <w:rFonts w:cs="Times New Roman"/>
                <w:szCs w:val="20"/>
              </w:rPr>
              <w:t xml:space="preserve"> </w:t>
            </w:r>
            <w:r w:rsidR="001B5F29" w:rsidRPr="006A449F">
              <w:rPr>
                <w:rFonts w:cs="Times New Roman"/>
                <w:szCs w:val="20"/>
              </w:rPr>
              <w:t xml:space="preserve">Waikato schools. </w:t>
            </w:r>
            <w:r w:rsidR="008D6CC0" w:rsidRPr="006A449F">
              <w:rPr>
                <w:rFonts w:cs="Times New Roman"/>
                <w:szCs w:val="20"/>
              </w:rPr>
              <w:t>5417 children and 126 early childhood centres (</w:t>
            </w:r>
            <w:r w:rsidR="00803CE4" w:rsidRPr="006A449F">
              <w:rPr>
                <w:rFonts w:cs="Times New Roman"/>
                <w:szCs w:val="20"/>
              </w:rPr>
              <w:t xml:space="preserve">personal </w:t>
            </w:r>
            <w:r w:rsidRPr="006A449F">
              <w:rPr>
                <w:rFonts w:cs="Times New Roman"/>
                <w:szCs w:val="20"/>
              </w:rPr>
              <w:t>communication, Sport Waikato</w:t>
            </w:r>
            <w:r w:rsidR="00803CE4" w:rsidRPr="006A449F">
              <w:rPr>
                <w:rFonts w:cs="Times New Roman"/>
                <w:szCs w:val="20"/>
              </w:rPr>
              <w:t>, 20</w:t>
            </w:r>
            <w:r w:rsidR="00C140BC" w:rsidRPr="006A449F">
              <w:rPr>
                <w:rFonts w:cs="Times New Roman"/>
                <w:szCs w:val="20"/>
              </w:rPr>
              <w:t>20</w:t>
            </w:r>
            <w:r w:rsidR="00B42934" w:rsidRPr="006A449F">
              <w:rPr>
                <w:rFonts w:cs="Times New Roman"/>
                <w:szCs w:val="20"/>
              </w:rPr>
              <w:t xml:space="preserve">). </w:t>
            </w:r>
            <w:r w:rsidR="001B5F29" w:rsidRPr="006A449F">
              <w:rPr>
                <w:rFonts w:cs="Times New Roman"/>
                <w:szCs w:val="20"/>
              </w:rPr>
              <w:t>Vital to the success</w:t>
            </w:r>
            <w:r w:rsidR="00803CE4" w:rsidRPr="006A449F">
              <w:rPr>
                <w:rFonts w:cs="Times New Roman"/>
                <w:szCs w:val="20"/>
              </w:rPr>
              <w:t xml:space="preserve"> of Project Energize </w:t>
            </w:r>
            <w:r w:rsidR="00E660B7" w:rsidRPr="006A449F">
              <w:rPr>
                <w:rFonts w:cs="Times New Roman"/>
                <w:szCs w:val="20"/>
              </w:rPr>
              <w:t>is</w:t>
            </w:r>
            <w:r w:rsidR="00803CE4" w:rsidRPr="006A449F">
              <w:rPr>
                <w:rFonts w:cs="Times New Roman"/>
                <w:szCs w:val="20"/>
              </w:rPr>
              <w:t xml:space="preserve"> the </w:t>
            </w:r>
            <w:r w:rsidR="000D18E9" w:rsidRPr="006A449F">
              <w:rPr>
                <w:rFonts w:cs="Times New Roman"/>
                <w:szCs w:val="20"/>
              </w:rPr>
              <w:t>21</w:t>
            </w:r>
            <w:r w:rsidR="007D182B" w:rsidRPr="006A449F">
              <w:rPr>
                <w:rFonts w:cs="Times New Roman"/>
                <w:szCs w:val="20"/>
              </w:rPr>
              <w:t xml:space="preserve"> </w:t>
            </w:r>
            <w:r w:rsidR="000E462E" w:rsidRPr="006A449F">
              <w:rPr>
                <w:rFonts w:cs="Times New Roman"/>
                <w:szCs w:val="20"/>
              </w:rPr>
              <w:t>‘</w:t>
            </w:r>
            <w:r w:rsidR="001B5F29" w:rsidRPr="006A449F">
              <w:rPr>
                <w:rFonts w:cs="Times New Roman"/>
                <w:szCs w:val="20"/>
              </w:rPr>
              <w:t>Energizers</w:t>
            </w:r>
            <w:r w:rsidR="000E462E" w:rsidRPr="006A449F">
              <w:rPr>
                <w:rFonts w:cs="Times New Roman"/>
                <w:szCs w:val="20"/>
              </w:rPr>
              <w:t>’</w:t>
            </w:r>
            <w:r w:rsidR="001B5F29" w:rsidRPr="006A449F">
              <w:rPr>
                <w:rFonts w:cs="Times New Roman"/>
                <w:szCs w:val="20"/>
              </w:rPr>
              <w:t xml:space="preserve"> who work with schools, teachers and parents, giving physical fitness and nutritional advice and helping implement health and fitness programmes. </w:t>
            </w:r>
            <w:r w:rsidR="00291504" w:rsidRPr="006A449F">
              <w:rPr>
                <w:rFonts w:cs="Times New Roman"/>
                <w:szCs w:val="20"/>
              </w:rPr>
              <w:t>In New Zealand, a 2011 evaluation of Project Energize (Waikato) found that ‘Energize’</w:t>
            </w:r>
            <w:r w:rsidR="00291504" w:rsidRPr="0091450A">
              <w:rPr>
                <w:rFonts w:cs="Times New Roman"/>
                <w:szCs w:val="20"/>
              </w:rPr>
              <w:t xml:space="preserve"> children had: smaller waist circumferences and lower body-mass index than Waikato children of the same age measured in 2004 and 2006, obesity rates three percent less than the national level and faster running times over 550m compared to national data</w:t>
            </w:r>
            <w:r w:rsidR="002B4368" w:rsidRPr="0091450A">
              <w:rPr>
                <w:rFonts w:cs="Times New Roman"/>
                <w:szCs w:val="20"/>
              </w:rPr>
              <w:t xml:space="preserve"> </w:t>
            </w:r>
            <w:r w:rsidR="002B4368" w:rsidRPr="0091450A">
              <w:rPr>
                <w:rFonts w:cs="Times New Roman"/>
                <w:szCs w:val="20"/>
              </w:rPr>
              <w:fldChar w:fldCharType="begin" w:fldLock="1"/>
            </w:r>
            <w:r w:rsidR="00EC12A7">
              <w:rPr>
                <w:rFonts w:cs="Times New Roman"/>
                <w:szCs w:val="20"/>
              </w:rPr>
              <w:instrText>ADDIN CSL_CITATION {"citationItems":[{"id":"ITEM-1","itemData":{"DOI":"10.1017/S0007114513002316","ISBN":"1475-2662 (Electronic)\r0007-1145 (Linking)","PMID":"23867069","abstract":"Project Energize, a region-wide whole-school nutrition and physical activity programme, commenced as a randomised controlled trial (RCT) in the period 2004-6 in 124 schools in Waikato, New Zealand. In 2007, sixty-two control schools were engaged in the programme, and by 2011, all but two of the 235 schools in the region were engaged. Energizers (trained nutrition and physical activity specialists) work with eight to twelve schools each to achieve the goals of the programme, which are based on healthier eating and enhanced physical activity. In 2011, indices of obesity and physical fitness of 2474 younger (7.58 (sd 0.57) years) and 2330 older (10.30 (sd 0.51) years) children attending 193 of the 235 primary schools were compared with historical measurements. After adjusting for age, sex, ethnicity, socio-economic status (SES) and school cluster effects, the combined prevalence of obesity and overweight among younger and older children in 2011 was lower by 31 and 15 %, respectively, than that among 'unEnergized' children in the 2004 to 2006 RCT. Similarly, BMI was lower by 3.0 % (95 % CI - 5.8, - 1.3) and 2.4 % (95 % CI - 4.3, - 0.5). Physical fitness (time taken to complete a 550 m run) was significantly higher in the Energized children (13.7 and 11.3 %, respectively) than in a group of similarly aged children from another region. These effects were observed for boys and girls, both indigenous Maori and non-Maori children, and across SES. The long-term regional commitment to the Energize programme in schools may potentially lead to a secular reduction in the prevalence of overweight and obesity and gains in physical fitness, which may reduce the risk of developing obesity and type 2 diabetes.","author":[{"dropping-particle":"","family":"Rush","given":"E","non-dropping-particle":"","parse-names":false,"suffix":""},{"dropping-particle":"","family":"McLennan","given":"S","non-dropping-particle":"","parse-names":false,"suffix":""},{"dropping-particle":"","family":"Obolonkin","given":"V","non-dropping-particle":"","parse-names":false,"suffix":""},{"dropping-particle":"","family":"Vandal","given":"A C","non-dropping-particle":"","parse-names":false,"suffix":""},{"dropping-particle":"","family":"Hamlin","given":"M","non-dropping-particle":"","parse-names":false,"suffix":""},{"dropping-particle":"","family":"Simmons","given":"D","non-dropping-particle":"","parse-names":false,"suffix":""},{"dropping-particle":"","family":"Graham","given":"D","non-dropping-particle":"","parse-names":false,"suffix":""}],"container-title":"Br J Nutr","id":"ITEM-1","issue":"2","issued":{"date-parts":[["2014"]]},"note":"Rush, Elaine\nMcLennan, Stephanie\nObolonkin, Victor\nVandal, Alain C\nHamlin, Michael\nSimmons, David\nGraham, David\neng\nResearch Support, Non-U.S. Gov't\nEngland\n2013/07/23 06:00\nBr J Nutr. 2014 Jan 28;111(2):363-71. doi: 10.1017/S0007114513002316. Epub 2013 Jul 19.","page":"363-371","title":"Project Energize: whole-region primary school nutrition and physical activity programme; evaluation of body size and fitness 5 years after the randomised controlled trial","type":"article-journal","volume":"111"},"uris":["http://www.mendeley.com/documents/?uuid=8c626c3c-1079-3ce6-9adf-93538035d3b5","http://www.mendeley.com/documents/?uuid=f0534a3f-b546-4ae3-9a4f-907a71f6cf1e"]}],"mendeley":{"formattedCitation":"(271)","plainTextFormattedCitation":"(271)","previouslyFormattedCitation":"(271)"},"properties":{"noteIndex":0},"schema":"https://github.com/citation-style-language/schema/raw/master/csl-citation.json"}</w:instrText>
            </w:r>
            <w:r w:rsidR="002B4368" w:rsidRPr="0091450A">
              <w:rPr>
                <w:rFonts w:cs="Times New Roman"/>
                <w:szCs w:val="20"/>
              </w:rPr>
              <w:fldChar w:fldCharType="separate"/>
            </w:r>
            <w:r w:rsidR="009C4029" w:rsidRPr="009C4029">
              <w:rPr>
                <w:rFonts w:cs="Times New Roman"/>
                <w:noProof/>
                <w:szCs w:val="20"/>
              </w:rPr>
              <w:t>(271)</w:t>
            </w:r>
            <w:r w:rsidR="002B4368" w:rsidRPr="0091450A">
              <w:rPr>
                <w:rFonts w:cs="Times New Roman"/>
                <w:szCs w:val="20"/>
              </w:rPr>
              <w:fldChar w:fldCharType="end"/>
            </w:r>
            <w:r w:rsidR="00291504" w:rsidRPr="0091450A">
              <w:rPr>
                <w:rFonts w:cs="Times New Roman"/>
                <w:szCs w:val="20"/>
              </w:rPr>
              <w:t>.</w:t>
            </w:r>
            <w:r w:rsidR="005C575C" w:rsidRPr="0091450A">
              <w:rPr>
                <w:rFonts w:cs="Times New Roman"/>
                <w:szCs w:val="20"/>
              </w:rPr>
              <w:t xml:space="preserve"> </w:t>
            </w:r>
            <w:r w:rsidR="005C575C" w:rsidRPr="0091450A">
              <w:t xml:space="preserve">There are an additional 5787 children and 137 early childhood centres involved in Under 5 Energize supported by 4 Energizers. (personal communication, Sport Waikato, 2020). </w:t>
            </w:r>
            <w:r w:rsidR="00291504" w:rsidRPr="0091450A">
              <w:t xml:space="preserve"> </w:t>
            </w:r>
          </w:p>
          <w:p w14:paraId="3316B72E" w14:textId="53A6D176" w:rsidR="0047173B" w:rsidRPr="0091450A" w:rsidRDefault="000B7F38" w:rsidP="002D613F">
            <w:pPr>
              <w:pStyle w:val="ListParagraph"/>
              <w:numPr>
                <w:ilvl w:val="0"/>
                <w:numId w:val="37"/>
              </w:numPr>
              <w:shd w:val="clear" w:color="auto" w:fill="FFFFFF" w:themeFill="background1"/>
              <w:spacing w:before="40" w:after="40"/>
              <w:contextualSpacing w:val="0"/>
              <w:rPr>
                <w:rFonts w:cs="Times New Roman"/>
                <w:szCs w:val="20"/>
              </w:rPr>
            </w:pPr>
            <w:r w:rsidRPr="00C538D6">
              <w:rPr>
                <w:rFonts w:cs="Times New Roman"/>
                <w:szCs w:val="20"/>
              </w:rPr>
              <w:t xml:space="preserve">Project Energize </w:t>
            </w:r>
            <w:r w:rsidRPr="00FB5269">
              <w:rPr>
                <w:rFonts w:cs="Times New Roman"/>
                <w:szCs w:val="20"/>
              </w:rPr>
              <w:t>has expanded to early chil</w:t>
            </w:r>
            <w:r w:rsidR="00082A0E" w:rsidRPr="00047C75">
              <w:rPr>
                <w:rFonts w:cs="Times New Roman"/>
                <w:szCs w:val="20"/>
              </w:rPr>
              <w:t xml:space="preserve">dhood and other </w:t>
            </w:r>
            <w:r w:rsidR="007A7A1E" w:rsidRPr="00F534DF">
              <w:rPr>
                <w:rFonts w:cs="Times New Roman"/>
                <w:szCs w:val="20"/>
              </w:rPr>
              <w:t>areas</w:t>
            </w:r>
            <w:r w:rsidR="000623C2" w:rsidRPr="006B1742">
              <w:rPr>
                <w:rFonts w:cs="Times New Roman"/>
                <w:szCs w:val="20"/>
              </w:rPr>
              <w:t xml:space="preserve"> (including Ireland)</w:t>
            </w:r>
            <w:r w:rsidR="00082A0E" w:rsidRPr="00C538D6">
              <w:rPr>
                <w:rFonts w:cs="Times New Roman"/>
                <w:szCs w:val="20"/>
              </w:rPr>
              <w:t>. Under 5 E</w:t>
            </w:r>
            <w:r w:rsidRPr="00FB5269">
              <w:rPr>
                <w:rFonts w:cs="Times New Roman"/>
                <w:szCs w:val="20"/>
              </w:rPr>
              <w:t xml:space="preserve">nergize is </w:t>
            </w:r>
            <w:r w:rsidR="00C77664" w:rsidRPr="00047C75">
              <w:rPr>
                <w:rFonts w:cs="Times New Roman"/>
                <w:szCs w:val="20"/>
              </w:rPr>
              <w:t xml:space="preserve">funded through MoH. AUT </w:t>
            </w:r>
            <w:r w:rsidR="00E660B7">
              <w:rPr>
                <w:rFonts w:cs="Times New Roman"/>
                <w:szCs w:val="20"/>
              </w:rPr>
              <w:t>is</w:t>
            </w:r>
            <w:r w:rsidR="00C77664" w:rsidRPr="00F534DF">
              <w:rPr>
                <w:rFonts w:cs="Times New Roman"/>
                <w:szCs w:val="20"/>
              </w:rPr>
              <w:t xml:space="preserve"> evaluat</w:t>
            </w:r>
            <w:r w:rsidRPr="006B1742">
              <w:rPr>
                <w:rFonts w:cs="Times New Roman"/>
                <w:szCs w:val="20"/>
              </w:rPr>
              <w:t>ing</w:t>
            </w:r>
            <w:r w:rsidR="00C77664" w:rsidRPr="006B1742">
              <w:rPr>
                <w:rFonts w:cs="Times New Roman"/>
                <w:szCs w:val="20"/>
              </w:rPr>
              <w:t xml:space="preserve"> and monitor</w:t>
            </w:r>
            <w:r w:rsidRPr="006E41E5">
              <w:rPr>
                <w:rFonts w:cs="Times New Roman"/>
                <w:szCs w:val="20"/>
              </w:rPr>
              <w:t>ing</w:t>
            </w:r>
            <w:r w:rsidR="00C77664" w:rsidRPr="006E41E5">
              <w:rPr>
                <w:rFonts w:cs="Times New Roman"/>
                <w:szCs w:val="20"/>
              </w:rPr>
              <w:t xml:space="preserve"> the project. </w:t>
            </w:r>
            <w:r w:rsidRPr="006E41E5">
              <w:rPr>
                <w:rFonts w:cs="Times New Roman"/>
                <w:szCs w:val="20"/>
              </w:rPr>
              <w:t>It is active in four</w:t>
            </w:r>
            <w:r w:rsidR="00C77664" w:rsidRPr="006E41E5">
              <w:rPr>
                <w:rFonts w:cs="Times New Roman"/>
                <w:szCs w:val="20"/>
              </w:rPr>
              <w:t xml:space="preserve"> communities in Waikato</w:t>
            </w:r>
            <w:r w:rsidRPr="006E41E5">
              <w:rPr>
                <w:rFonts w:cs="Times New Roman"/>
                <w:szCs w:val="20"/>
              </w:rPr>
              <w:t xml:space="preserve"> </w:t>
            </w:r>
            <w:r w:rsidR="002B4368" w:rsidRPr="00FB5269">
              <w:rPr>
                <w:rFonts w:cs="Times New Roman"/>
                <w:szCs w:val="20"/>
              </w:rPr>
              <w:fldChar w:fldCharType="begin" w:fldLock="1"/>
            </w:r>
            <w:r w:rsidR="00EC12A7">
              <w:rPr>
                <w:rFonts w:cs="Times New Roman"/>
                <w:szCs w:val="20"/>
              </w:rPr>
              <w:instrText>ADDIN CSL_CITATION {"citationItems":[{"id":"ITEM-1","itemData":{"URL":"http://www.sportwaikato.org.nz/programmes/under-5-energize.aspx","author":[{"dropping-particle":"","family":"Sport Waikato","given":"","non-dropping-particle":"","parse-names":false,"suffix":""}],"id":"ITEM-1","issue":"1/12/2016","issued":{"date-parts":[["0"]]},"title":"Under 5 Energize","type":"webpage"},"uris":["http://www.mendeley.com/documents/?uuid=09d77e54-db7f-33c7-b20f-533a5d98f38c","http://www.mendeley.com/documents/?uuid=fcb02d2c-296c-4548-8659-e513cec52f47"]}],"mendeley":{"formattedCitation":"(272)","plainTextFormattedCitation":"(272)","previouslyFormattedCitation":"(272)"},"properties":{"noteIndex":0},"schema":"https://github.com/citation-style-language/schema/raw/master/csl-citation.json"}</w:instrText>
            </w:r>
            <w:r w:rsidR="002B4368" w:rsidRPr="00FB5269">
              <w:rPr>
                <w:rFonts w:cs="Times New Roman"/>
                <w:szCs w:val="20"/>
              </w:rPr>
              <w:fldChar w:fldCharType="separate"/>
            </w:r>
            <w:r w:rsidR="009C4029" w:rsidRPr="009C4029">
              <w:rPr>
                <w:rFonts w:cs="Times New Roman"/>
                <w:noProof/>
                <w:szCs w:val="20"/>
              </w:rPr>
              <w:t>(272)</w:t>
            </w:r>
            <w:r w:rsidR="002B4368" w:rsidRPr="00FB5269">
              <w:rPr>
                <w:rFonts w:cs="Times New Roman"/>
                <w:szCs w:val="20"/>
              </w:rPr>
              <w:fldChar w:fldCharType="end"/>
            </w:r>
            <w:r w:rsidR="00760316" w:rsidRPr="00C538D6">
              <w:rPr>
                <w:rFonts w:cs="Times New Roman"/>
                <w:szCs w:val="20"/>
              </w:rPr>
              <w:t>.</w:t>
            </w:r>
            <w:r w:rsidR="002F2C1A" w:rsidRPr="00FB5269">
              <w:rPr>
                <w:rFonts w:cs="Times New Roman"/>
                <w:szCs w:val="20"/>
              </w:rPr>
              <w:t xml:space="preserve"> </w:t>
            </w:r>
            <w:r w:rsidR="002F2C1A" w:rsidRPr="006A449F">
              <w:rPr>
                <w:rFonts w:cs="Times New Roman"/>
                <w:szCs w:val="20"/>
              </w:rPr>
              <w:t>Capital Coast Health funds t</w:t>
            </w:r>
            <w:r w:rsidRPr="006A449F">
              <w:rPr>
                <w:rFonts w:cs="Times New Roman"/>
                <w:szCs w:val="20"/>
              </w:rPr>
              <w:t xml:space="preserve">he </w:t>
            </w:r>
            <w:r w:rsidR="003F064D" w:rsidRPr="006A449F">
              <w:rPr>
                <w:rFonts w:cs="Times New Roman"/>
                <w:szCs w:val="20"/>
              </w:rPr>
              <w:t xml:space="preserve">Heart Foundation </w:t>
            </w:r>
            <w:r w:rsidR="002F2C1A" w:rsidRPr="006A449F">
              <w:rPr>
                <w:rFonts w:cs="Times New Roman"/>
                <w:szCs w:val="20"/>
              </w:rPr>
              <w:t xml:space="preserve">to </w:t>
            </w:r>
            <w:r w:rsidR="003F064D" w:rsidRPr="006A449F">
              <w:rPr>
                <w:rFonts w:cs="Times New Roman"/>
                <w:szCs w:val="20"/>
              </w:rPr>
              <w:t xml:space="preserve">deliver Project Energize in </w:t>
            </w:r>
            <w:r w:rsidR="00D2702C" w:rsidRPr="006A449F">
              <w:rPr>
                <w:rFonts w:cs="Times New Roman"/>
                <w:szCs w:val="20"/>
              </w:rPr>
              <w:t>the Wellington region</w:t>
            </w:r>
            <w:r w:rsidR="002F2C1A" w:rsidRPr="006A449F">
              <w:rPr>
                <w:rFonts w:cs="Times New Roman"/>
                <w:szCs w:val="20"/>
              </w:rPr>
              <w:t>. Currently</w:t>
            </w:r>
            <w:r w:rsidR="00E660B7" w:rsidRPr="006A449F">
              <w:rPr>
                <w:rFonts w:cs="Times New Roman"/>
                <w:szCs w:val="20"/>
              </w:rPr>
              <w:t>,</w:t>
            </w:r>
            <w:r w:rsidR="002F2C1A" w:rsidRPr="006A449F">
              <w:rPr>
                <w:rFonts w:cs="Times New Roman"/>
                <w:szCs w:val="20"/>
              </w:rPr>
              <w:t xml:space="preserve"> there is </w:t>
            </w:r>
            <w:r w:rsidR="000610C2" w:rsidRPr="006A449F">
              <w:rPr>
                <w:rFonts w:cs="Times New Roman"/>
                <w:szCs w:val="20"/>
              </w:rPr>
              <w:t>2.8</w:t>
            </w:r>
            <w:r w:rsidR="002F2C1A" w:rsidRPr="006A449F">
              <w:rPr>
                <w:rFonts w:cs="Times New Roman"/>
                <w:szCs w:val="20"/>
              </w:rPr>
              <w:t xml:space="preserve">FTE working with </w:t>
            </w:r>
            <w:r w:rsidR="000610C2" w:rsidRPr="006A449F">
              <w:rPr>
                <w:rFonts w:cs="Times New Roman"/>
                <w:szCs w:val="20"/>
              </w:rPr>
              <w:t>30 Wellington</w:t>
            </w:r>
            <w:r w:rsidR="002F2C1A" w:rsidRPr="006A449F">
              <w:rPr>
                <w:rFonts w:cs="Times New Roman"/>
                <w:szCs w:val="20"/>
              </w:rPr>
              <w:t xml:space="preserve"> </w:t>
            </w:r>
            <w:r w:rsidR="00FE4FCD" w:rsidRPr="006A449F">
              <w:rPr>
                <w:rFonts w:cs="Times New Roman"/>
                <w:szCs w:val="20"/>
              </w:rPr>
              <w:t>schools</w:t>
            </w:r>
            <w:r w:rsidR="0047173B" w:rsidRPr="006A449F">
              <w:rPr>
                <w:rFonts w:cs="Times New Roman"/>
                <w:szCs w:val="20"/>
              </w:rPr>
              <w:t>. Energizers provide practical 'hands</w:t>
            </w:r>
            <w:r w:rsidR="00E660B7" w:rsidRPr="006A449F">
              <w:rPr>
                <w:rFonts w:cs="Times New Roman"/>
                <w:szCs w:val="20"/>
              </w:rPr>
              <w:t>-</w:t>
            </w:r>
            <w:r w:rsidR="0047173B" w:rsidRPr="006A449F">
              <w:rPr>
                <w:rFonts w:cs="Times New Roman"/>
                <w:szCs w:val="20"/>
              </w:rPr>
              <w:t>on' support and assistance to schools and teachers with initiatives that will increase the quality and quantity of physical activity or improve the uptake of healthy eating</w:t>
            </w:r>
            <w:r w:rsidR="002F2C1A" w:rsidRPr="006A449F">
              <w:rPr>
                <w:rFonts w:cs="Times New Roman"/>
                <w:szCs w:val="20"/>
              </w:rPr>
              <w:t xml:space="preserve"> </w:t>
            </w:r>
            <w:r w:rsidR="0047173B" w:rsidRPr="006A449F">
              <w:rPr>
                <w:rFonts w:cs="Times New Roman"/>
                <w:szCs w:val="20"/>
              </w:rPr>
              <w:t xml:space="preserve">(personal communication, </w:t>
            </w:r>
            <w:r w:rsidR="0091450A" w:rsidRPr="006A449F">
              <w:rPr>
                <w:rFonts w:cs="Times New Roman"/>
                <w:szCs w:val="20"/>
              </w:rPr>
              <w:t>Heart Foundation</w:t>
            </w:r>
            <w:r w:rsidR="0047173B" w:rsidRPr="006A449F">
              <w:rPr>
                <w:rFonts w:cs="Times New Roman"/>
                <w:szCs w:val="20"/>
              </w:rPr>
              <w:t>, 2020)</w:t>
            </w:r>
            <w:r w:rsidR="00D2702C" w:rsidRPr="006A449F">
              <w:rPr>
                <w:rFonts w:cs="Times New Roman"/>
                <w:szCs w:val="20"/>
              </w:rPr>
              <w:t>.</w:t>
            </w:r>
            <w:r w:rsidR="00760316" w:rsidRPr="00C538D6">
              <w:rPr>
                <w:rFonts w:cs="Times New Roman"/>
                <w:szCs w:val="20"/>
              </w:rPr>
              <w:t xml:space="preserve"> </w:t>
            </w:r>
          </w:p>
          <w:p w14:paraId="327F85BF" w14:textId="144B57BF" w:rsidR="00EF6501" w:rsidRPr="002D5E33" w:rsidRDefault="00EF6501" w:rsidP="002D613F">
            <w:pPr>
              <w:pStyle w:val="ListParagraph"/>
              <w:numPr>
                <w:ilvl w:val="0"/>
                <w:numId w:val="37"/>
              </w:numPr>
              <w:shd w:val="clear" w:color="auto" w:fill="FFFFFF" w:themeFill="background1"/>
              <w:spacing w:before="40" w:after="40"/>
              <w:contextualSpacing w:val="0"/>
              <w:rPr>
                <w:rFonts w:cs="Times New Roman"/>
                <w:szCs w:val="20"/>
              </w:rPr>
            </w:pPr>
            <w:r w:rsidRPr="00C538D6">
              <w:rPr>
                <w:rFonts w:cs="Times New Roman"/>
                <w:szCs w:val="20"/>
              </w:rPr>
              <w:t xml:space="preserve">Project Energize in Northland funded by Northland DHB and Sport NZ </w:t>
            </w:r>
            <w:r w:rsidRPr="002D5E33">
              <w:rPr>
                <w:rFonts w:cs="Times New Roman"/>
                <w:szCs w:val="20"/>
              </w:rPr>
              <w:t xml:space="preserve">with </w:t>
            </w:r>
            <w:r w:rsidR="00601991" w:rsidRPr="002D5E33">
              <w:rPr>
                <w:rFonts w:cs="Times New Roman"/>
                <w:szCs w:val="20"/>
              </w:rPr>
              <w:t>90</w:t>
            </w:r>
            <w:r w:rsidR="00175A50" w:rsidRPr="002D5E33">
              <w:rPr>
                <w:rFonts w:cs="Times New Roman"/>
                <w:szCs w:val="20"/>
              </w:rPr>
              <w:t xml:space="preserve"> </w:t>
            </w:r>
            <w:r w:rsidRPr="002D5E33">
              <w:rPr>
                <w:rFonts w:cs="Times New Roman"/>
                <w:szCs w:val="20"/>
              </w:rPr>
              <w:t xml:space="preserve">primary </w:t>
            </w:r>
            <w:r w:rsidR="00601991" w:rsidRPr="002D5E33">
              <w:rPr>
                <w:rFonts w:cs="Times New Roman"/>
                <w:szCs w:val="20"/>
              </w:rPr>
              <w:t xml:space="preserve">and intermediate </w:t>
            </w:r>
            <w:r w:rsidRPr="002D5E33">
              <w:rPr>
                <w:rFonts w:cs="Times New Roman"/>
                <w:szCs w:val="20"/>
              </w:rPr>
              <w:t>schools involved</w:t>
            </w:r>
            <w:r w:rsidR="00175A50" w:rsidRPr="002D5E33">
              <w:rPr>
                <w:rFonts w:cs="Times New Roman"/>
                <w:szCs w:val="20"/>
              </w:rPr>
              <w:t xml:space="preserve">, </w:t>
            </w:r>
            <w:r w:rsidR="00601991" w:rsidRPr="002D5E33">
              <w:rPr>
                <w:rFonts w:cs="Times New Roman"/>
                <w:szCs w:val="20"/>
              </w:rPr>
              <w:t>9</w:t>
            </w:r>
            <w:r w:rsidR="00175A50" w:rsidRPr="002D5E33">
              <w:rPr>
                <w:rFonts w:cs="Times New Roman"/>
                <w:szCs w:val="20"/>
              </w:rPr>
              <w:t xml:space="preserve"> energizers and over 10 000 school children (personal communication</w:t>
            </w:r>
            <w:r w:rsidR="000E67A6" w:rsidRPr="002D5E33">
              <w:rPr>
                <w:rFonts w:cs="Times New Roman"/>
                <w:szCs w:val="20"/>
              </w:rPr>
              <w:t xml:space="preserve">, </w:t>
            </w:r>
            <w:r w:rsidR="00C140BC" w:rsidRPr="002D5E33">
              <w:rPr>
                <w:rFonts w:cs="Times New Roman"/>
                <w:szCs w:val="20"/>
              </w:rPr>
              <w:t>Sport Northland</w:t>
            </w:r>
            <w:r w:rsidR="00803CE4" w:rsidRPr="002D5E33">
              <w:rPr>
                <w:rFonts w:cs="Times New Roman"/>
                <w:szCs w:val="20"/>
              </w:rPr>
              <w:t>, 20</w:t>
            </w:r>
            <w:r w:rsidR="00601991" w:rsidRPr="002D5E33">
              <w:rPr>
                <w:rFonts w:cs="Times New Roman"/>
                <w:szCs w:val="20"/>
              </w:rPr>
              <w:t>20</w:t>
            </w:r>
            <w:r w:rsidR="006A449F" w:rsidRPr="002D5E33">
              <w:rPr>
                <w:rFonts w:cs="Times New Roman"/>
                <w:szCs w:val="20"/>
              </w:rPr>
              <w:t>).</w:t>
            </w:r>
          </w:p>
          <w:p w14:paraId="2D000EE3" w14:textId="7DA23B73" w:rsidR="005C2B19" w:rsidRPr="00C66C6C" w:rsidRDefault="00C27012" w:rsidP="002D613F">
            <w:pPr>
              <w:pStyle w:val="ListParagraph"/>
              <w:numPr>
                <w:ilvl w:val="0"/>
                <w:numId w:val="37"/>
              </w:numPr>
              <w:shd w:val="clear" w:color="auto" w:fill="FFFFFF" w:themeFill="background1"/>
              <w:spacing w:before="40" w:after="40"/>
              <w:contextualSpacing w:val="0"/>
              <w:rPr>
                <w:rFonts w:cs="Times New Roman"/>
                <w:szCs w:val="20"/>
              </w:rPr>
            </w:pPr>
            <w:r w:rsidRPr="006A449F">
              <w:rPr>
                <w:rFonts w:cs="Times New Roman"/>
                <w:szCs w:val="20"/>
              </w:rPr>
              <w:t xml:space="preserve">Healthy </w:t>
            </w:r>
            <w:r w:rsidR="00082A0E" w:rsidRPr="006A449F">
              <w:rPr>
                <w:rFonts w:cs="Times New Roman"/>
                <w:szCs w:val="20"/>
              </w:rPr>
              <w:t>F</w:t>
            </w:r>
            <w:r w:rsidRPr="006A449F">
              <w:rPr>
                <w:rFonts w:cs="Times New Roman"/>
                <w:szCs w:val="20"/>
              </w:rPr>
              <w:t xml:space="preserve">amilies NZ </w:t>
            </w:r>
            <w:r w:rsidR="00F764E1" w:rsidRPr="006A449F">
              <w:rPr>
                <w:rFonts w:cs="Times New Roman"/>
                <w:szCs w:val="20"/>
              </w:rPr>
              <w:t xml:space="preserve">(HFNZ) </w:t>
            </w:r>
            <w:r w:rsidRPr="006A449F">
              <w:rPr>
                <w:rFonts w:cs="Times New Roman"/>
                <w:szCs w:val="20"/>
              </w:rPr>
              <w:t xml:space="preserve">was launched in </w:t>
            </w:r>
            <w:r w:rsidR="00803CE4" w:rsidRPr="006A449F">
              <w:rPr>
                <w:rFonts w:cs="Times New Roman"/>
                <w:szCs w:val="20"/>
              </w:rPr>
              <w:t>2014</w:t>
            </w:r>
            <w:r w:rsidRPr="006A449F">
              <w:rPr>
                <w:rFonts w:cs="Times New Roman"/>
                <w:szCs w:val="20"/>
              </w:rPr>
              <w:t xml:space="preserve"> </w:t>
            </w:r>
            <w:r w:rsidR="00437032" w:rsidRPr="006A449F">
              <w:rPr>
                <w:rFonts w:cs="Times New Roman"/>
                <w:szCs w:val="20"/>
              </w:rPr>
              <w:fldChar w:fldCharType="begin" w:fldLock="1"/>
            </w:r>
            <w:r w:rsidR="00EC12A7" w:rsidRPr="006A449F">
              <w:rPr>
                <w:rFonts w:cs="Times New Roman"/>
                <w:szCs w:val="20"/>
              </w:rPr>
              <w:instrText>ADDIN CSL_CITATION {"citationItems":[{"id":"ITEM-1","itemData":{"URL":"http://www.health.govt.nz/our-work/preventative-health-wellness/healthy-families-nz","accessed":{"date-parts":[["2014","4","2"]]},"author":[{"dropping-particle":"","family":"Ministry of Health","given":"","non-dropping-particle":"","parse-names":false,"suffix":""}],"id":"ITEM-1","issued":{"date-parts":[["2014"]]},"title":"Healthy Families NZ","type":"webpage"},"uris":["http://www.mendeley.com/documents/?uuid=e8f890f4-5150-483c-84d3-0225e81ba74c","http://www.mendeley.com/documents/?uuid=90e9e83d-581a-41d5-848b-69e59b564387"]}],"mendeley":{"formattedCitation":"(193)","plainTextFormattedCitation":"(193)","previouslyFormattedCitation":"(193)"},"properties":{"noteIndex":0},"schema":"https://github.com/citation-style-language/schema/raw/master/csl-citation.json"}</w:instrText>
            </w:r>
            <w:r w:rsidR="00437032" w:rsidRPr="006A449F">
              <w:rPr>
                <w:rFonts w:cs="Times New Roman"/>
                <w:szCs w:val="20"/>
              </w:rPr>
              <w:fldChar w:fldCharType="separate"/>
            </w:r>
            <w:r w:rsidR="009C4029" w:rsidRPr="006A449F">
              <w:rPr>
                <w:rFonts w:cs="Times New Roman"/>
                <w:noProof/>
                <w:szCs w:val="20"/>
              </w:rPr>
              <w:t>(193)</w:t>
            </w:r>
            <w:r w:rsidR="00437032" w:rsidRPr="006A449F">
              <w:rPr>
                <w:rFonts w:cs="Times New Roman"/>
                <w:szCs w:val="20"/>
              </w:rPr>
              <w:fldChar w:fldCharType="end"/>
            </w:r>
            <w:r w:rsidRPr="006A449F">
              <w:rPr>
                <w:rFonts w:cs="Times New Roman"/>
                <w:szCs w:val="20"/>
              </w:rPr>
              <w:t xml:space="preserve">. Healthy Families </w:t>
            </w:r>
            <w:r w:rsidR="00EA4AD4" w:rsidRPr="006A449F">
              <w:rPr>
                <w:rFonts w:cs="Times New Roman"/>
                <w:szCs w:val="20"/>
              </w:rPr>
              <w:t xml:space="preserve">NZ </w:t>
            </w:r>
            <w:r w:rsidRPr="006A449F">
              <w:rPr>
                <w:rFonts w:cs="Times New Roman"/>
                <w:szCs w:val="20"/>
              </w:rPr>
              <w:t xml:space="preserve">is a collaborative, whole of </w:t>
            </w:r>
            <w:r w:rsidR="00E660B7" w:rsidRPr="006A449F">
              <w:rPr>
                <w:rFonts w:cs="Times New Roman"/>
                <w:szCs w:val="20"/>
              </w:rPr>
              <w:t xml:space="preserve">the </w:t>
            </w:r>
            <w:r w:rsidRPr="006A449F">
              <w:rPr>
                <w:rFonts w:cs="Times New Roman"/>
                <w:szCs w:val="20"/>
              </w:rPr>
              <w:t>community, collective approach to prevention. It aims to make changes to systems that influence the health and wellbeing of families and communities.</w:t>
            </w:r>
            <w:r w:rsidR="007A773E" w:rsidRPr="006A449F">
              <w:rPr>
                <w:rFonts w:cs="Times New Roman"/>
                <w:szCs w:val="20"/>
              </w:rPr>
              <w:t xml:space="preserve"> The Ministry of Health </w:t>
            </w:r>
            <w:r w:rsidRPr="006A449F">
              <w:rPr>
                <w:rFonts w:cs="Times New Roman"/>
                <w:szCs w:val="20"/>
              </w:rPr>
              <w:t xml:space="preserve">has </w:t>
            </w:r>
            <w:r w:rsidR="00FE4FCD" w:rsidRPr="006A449F">
              <w:rPr>
                <w:rFonts w:cs="Times New Roman"/>
                <w:szCs w:val="20"/>
              </w:rPr>
              <w:t>led</w:t>
            </w:r>
            <w:r w:rsidR="007A773E" w:rsidRPr="006A449F">
              <w:rPr>
                <w:rFonts w:cs="Times New Roman"/>
                <w:szCs w:val="20"/>
              </w:rPr>
              <w:t xml:space="preserve"> the establishment of HFNZ communi</w:t>
            </w:r>
            <w:r w:rsidRPr="006A449F">
              <w:rPr>
                <w:rFonts w:cs="Times New Roman"/>
                <w:szCs w:val="20"/>
              </w:rPr>
              <w:t>ties in 10 locations across NZ (</w:t>
            </w:r>
            <w:r w:rsidR="000346D4" w:rsidRPr="006A449F">
              <w:rPr>
                <w:lang w:eastAsia="en-NZ"/>
              </w:rPr>
              <w:t>The Far North</w:t>
            </w:r>
            <w:r w:rsidR="006157AF" w:rsidRPr="006A449F">
              <w:rPr>
                <w:lang w:eastAsia="en-NZ"/>
              </w:rPr>
              <w:t xml:space="preserve">, </w:t>
            </w:r>
            <w:r w:rsidR="000346D4" w:rsidRPr="006A449F">
              <w:rPr>
                <w:lang w:eastAsia="en-NZ"/>
              </w:rPr>
              <w:t>Waitakere</w:t>
            </w:r>
            <w:r w:rsidR="006157AF" w:rsidRPr="006A449F">
              <w:rPr>
                <w:lang w:eastAsia="en-NZ"/>
              </w:rPr>
              <w:t xml:space="preserve">, </w:t>
            </w:r>
            <w:r w:rsidR="000346D4" w:rsidRPr="006A449F">
              <w:rPr>
                <w:lang w:eastAsia="en-NZ"/>
              </w:rPr>
              <w:t>South Auckland</w:t>
            </w:r>
            <w:r w:rsidR="006157AF" w:rsidRPr="006A449F">
              <w:rPr>
                <w:lang w:eastAsia="en-NZ"/>
              </w:rPr>
              <w:t xml:space="preserve">, </w:t>
            </w:r>
            <w:r w:rsidR="000346D4" w:rsidRPr="006A449F">
              <w:rPr>
                <w:lang w:eastAsia="en-NZ"/>
              </w:rPr>
              <w:t>Rotorua</w:t>
            </w:r>
            <w:r w:rsidR="006157AF" w:rsidRPr="006A449F">
              <w:rPr>
                <w:lang w:eastAsia="en-NZ"/>
              </w:rPr>
              <w:t xml:space="preserve">, </w:t>
            </w:r>
            <w:r w:rsidR="000346D4" w:rsidRPr="006A449F">
              <w:rPr>
                <w:lang w:eastAsia="en-NZ"/>
              </w:rPr>
              <w:t>East Cape</w:t>
            </w:r>
            <w:r w:rsidR="006157AF" w:rsidRPr="006A449F">
              <w:rPr>
                <w:lang w:eastAsia="en-NZ"/>
              </w:rPr>
              <w:t xml:space="preserve">, </w:t>
            </w:r>
            <w:r w:rsidR="000346D4" w:rsidRPr="006A449F">
              <w:rPr>
                <w:lang w:eastAsia="en-NZ"/>
              </w:rPr>
              <w:t>Whanganui-Rangitikei-Ruapehu</w:t>
            </w:r>
            <w:r w:rsidR="006157AF" w:rsidRPr="006A449F">
              <w:rPr>
                <w:lang w:eastAsia="en-NZ"/>
              </w:rPr>
              <w:t xml:space="preserve">, </w:t>
            </w:r>
            <w:r w:rsidR="000346D4" w:rsidRPr="006A449F">
              <w:rPr>
                <w:lang w:eastAsia="en-NZ"/>
              </w:rPr>
              <w:t>Lower Hutt</w:t>
            </w:r>
            <w:r w:rsidR="006157AF" w:rsidRPr="006A449F">
              <w:rPr>
                <w:lang w:eastAsia="en-NZ"/>
              </w:rPr>
              <w:t xml:space="preserve">, </w:t>
            </w:r>
            <w:r w:rsidR="000346D4" w:rsidRPr="006A449F">
              <w:rPr>
                <w:lang w:eastAsia="en-NZ"/>
              </w:rPr>
              <w:t>Christchurch</w:t>
            </w:r>
            <w:r w:rsidR="006157AF" w:rsidRPr="006A449F">
              <w:rPr>
                <w:lang w:eastAsia="en-NZ"/>
              </w:rPr>
              <w:t xml:space="preserve"> and </w:t>
            </w:r>
            <w:r w:rsidR="000346D4" w:rsidRPr="006A449F">
              <w:rPr>
                <w:lang w:eastAsia="en-NZ"/>
              </w:rPr>
              <w:t>Invercargill</w:t>
            </w:r>
            <w:r w:rsidR="006157AF" w:rsidRPr="006A449F">
              <w:rPr>
                <w:lang w:eastAsia="en-NZ"/>
              </w:rPr>
              <w:t>)</w:t>
            </w:r>
            <w:r w:rsidR="007A773E" w:rsidRPr="006A449F">
              <w:rPr>
                <w:rFonts w:cs="Times New Roman"/>
                <w:szCs w:val="20"/>
              </w:rPr>
              <w:t>. HFNZ support</w:t>
            </w:r>
            <w:r w:rsidRPr="006A449F">
              <w:rPr>
                <w:rFonts w:cs="Times New Roman"/>
                <w:szCs w:val="20"/>
              </w:rPr>
              <w:t>s</w:t>
            </w:r>
            <w:r w:rsidR="007A773E" w:rsidRPr="006A449F">
              <w:rPr>
                <w:rFonts w:cs="Times New Roman"/>
                <w:szCs w:val="20"/>
              </w:rPr>
              <w:t xml:space="preserve"> local leaders to implement voluntary initiatives that encourage families to live healthy, active lives</w:t>
            </w:r>
            <w:r w:rsidR="007A773E" w:rsidRPr="0091450A">
              <w:rPr>
                <w:rFonts w:cs="Times New Roman"/>
                <w:szCs w:val="20"/>
              </w:rPr>
              <w:t>. Through investment in community partnerships and a skilled health promotion workforce, these communities find local solutions to local needs, supporting healthy living. Activities initially focus on the settings where people live, learn, work, and play. The 10 HFNZ communities come from areas with higher-than-average rates of preventable chronic diseases, risk factors for these diseases (such as smoking), and/or high levels of deprivation.</w:t>
            </w:r>
            <w:r w:rsidR="008C77CB" w:rsidRPr="0091450A">
              <w:rPr>
                <w:rFonts w:cs="Times New Roman"/>
                <w:szCs w:val="20"/>
              </w:rPr>
              <w:t xml:space="preserve"> </w:t>
            </w:r>
            <w:r w:rsidR="002D40B6" w:rsidRPr="0091450A">
              <w:rPr>
                <w:rFonts w:cs="Times New Roman"/>
                <w:szCs w:val="20"/>
              </w:rPr>
              <w:t xml:space="preserve">It is expected that HFNZ communities will reach approximately 900,000 New Zealanders. </w:t>
            </w:r>
            <w:r w:rsidR="006A040B" w:rsidRPr="0091450A">
              <w:rPr>
                <w:rFonts w:cs="Times New Roman"/>
                <w:szCs w:val="20"/>
              </w:rPr>
              <w:t>The design for Healthy Families NZ communities draws on evidence from the Be Active Eat Well pilot (</w:t>
            </w:r>
            <w:proofErr w:type="spellStart"/>
            <w:r w:rsidR="006A040B" w:rsidRPr="0091450A">
              <w:rPr>
                <w:rFonts w:cs="Times New Roman"/>
                <w:szCs w:val="20"/>
              </w:rPr>
              <w:t>Colac</w:t>
            </w:r>
            <w:proofErr w:type="spellEnd"/>
            <w:r w:rsidR="006A040B" w:rsidRPr="0091450A">
              <w:rPr>
                <w:rFonts w:cs="Times New Roman"/>
                <w:szCs w:val="20"/>
              </w:rPr>
              <w:t xml:space="preserve">, Australia), EPODE pilots (France) and Project Energize (New Zealand), which have been associated with </w:t>
            </w:r>
            <w:r w:rsidR="007A7A1E" w:rsidRPr="0091450A">
              <w:rPr>
                <w:rFonts w:cs="Times New Roman"/>
                <w:szCs w:val="20"/>
              </w:rPr>
              <w:t>several</w:t>
            </w:r>
            <w:r w:rsidR="006A040B" w:rsidRPr="0091450A">
              <w:rPr>
                <w:rFonts w:cs="Times New Roman"/>
                <w:szCs w:val="20"/>
              </w:rPr>
              <w:t xml:space="preserve"> measurable improvements that will support the health and wellbeing of children. </w:t>
            </w:r>
            <w:r w:rsidR="00CA3B20" w:rsidRPr="0091450A">
              <w:rPr>
                <w:rFonts w:cs="Times New Roman"/>
                <w:szCs w:val="20"/>
              </w:rPr>
              <w:t xml:space="preserve">A skilled </w:t>
            </w:r>
            <w:r w:rsidR="00CA3B20" w:rsidRPr="0091450A">
              <w:rPr>
                <w:rFonts w:cs="Times New Roman"/>
                <w:szCs w:val="20"/>
              </w:rPr>
              <w:lastRenderedPageBreak/>
              <w:t>prevention team is established at each site to bring together partnerships of key organisations and local leaders who can influence transformational change in their communities. The approach is based on a dedicated, reflective and skilled workforce, building leadership</w:t>
            </w:r>
            <w:r w:rsidR="00C140BC" w:rsidRPr="0091450A">
              <w:rPr>
                <w:rFonts w:cs="Times New Roman"/>
                <w:szCs w:val="20"/>
              </w:rPr>
              <w:t xml:space="preserve"> and relationships</w:t>
            </w:r>
            <w:r w:rsidR="00CA3B20" w:rsidRPr="0091450A">
              <w:rPr>
                <w:rFonts w:cs="Times New Roman"/>
                <w:szCs w:val="20"/>
              </w:rPr>
              <w:t xml:space="preserve"> for prevention across the </w:t>
            </w:r>
            <w:r w:rsidR="00C140BC" w:rsidRPr="0091450A">
              <w:rPr>
                <w:rFonts w:cs="Times New Roman"/>
                <w:szCs w:val="20"/>
              </w:rPr>
              <w:t>s</w:t>
            </w:r>
            <w:r w:rsidR="00CA3B20" w:rsidRPr="0091450A">
              <w:rPr>
                <w:rFonts w:cs="Times New Roman"/>
                <w:szCs w:val="20"/>
              </w:rPr>
              <w:t xml:space="preserve">ystem, allocating resources to effect sustainable change, capturing and feeding back knowledge and data. It is guided by principles: implementation at scale, collaboration for collective effect, equity of outcome, line-of-sight, adaptation, experimentation and leadership. A range of organisations </w:t>
            </w:r>
            <w:r w:rsidR="00CC4626">
              <w:rPr>
                <w:rFonts w:cs="Times New Roman"/>
                <w:szCs w:val="20"/>
              </w:rPr>
              <w:t>is</w:t>
            </w:r>
            <w:r w:rsidR="00CA3B20" w:rsidRPr="0091450A">
              <w:rPr>
                <w:rFonts w:cs="Times New Roman"/>
                <w:szCs w:val="20"/>
              </w:rPr>
              <w:t xml:space="preserve"> leading Healthy Families</w:t>
            </w:r>
            <w:r w:rsidR="00EA4AD4" w:rsidRPr="0091450A">
              <w:rPr>
                <w:rFonts w:cs="Times New Roman"/>
                <w:szCs w:val="20"/>
              </w:rPr>
              <w:t xml:space="preserve"> NZ</w:t>
            </w:r>
            <w:r w:rsidR="00CA3B20" w:rsidRPr="0091450A">
              <w:rPr>
                <w:rFonts w:cs="Times New Roman"/>
                <w:szCs w:val="20"/>
              </w:rPr>
              <w:t xml:space="preserve"> </w:t>
            </w:r>
            <w:r w:rsidR="00CA3B20" w:rsidRPr="00C66C6C">
              <w:rPr>
                <w:rFonts w:cs="Times New Roman"/>
                <w:szCs w:val="20"/>
              </w:rPr>
              <w:t>including sports trusts, iwi organisations, councils, Pacific PHOs. Massey University</w:t>
            </w:r>
            <w:r w:rsidR="003477FD" w:rsidRPr="00C66C6C">
              <w:rPr>
                <w:rFonts w:cs="Times New Roman"/>
                <w:szCs w:val="20"/>
              </w:rPr>
              <w:t xml:space="preserve"> </w:t>
            </w:r>
            <w:r w:rsidR="00327B7A" w:rsidRPr="00C66C6C">
              <w:rPr>
                <w:rFonts w:cs="Times New Roman"/>
                <w:szCs w:val="20"/>
              </w:rPr>
              <w:t>ha</w:t>
            </w:r>
            <w:r w:rsidR="00CC4626">
              <w:rPr>
                <w:rFonts w:cs="Times New Roman"/>
                <w:szCs w:val="20"/>
              </w:rPr>
              <w:t>s</w:t>
            </w:r>
            <w:r w:rsidR="00327B7A" w:rsidRPr="00C66C6C">
              <w:rPr>
                <w:rFonts w:cs="Times New Roman"/>
                <w:szCs w:val="20"/>
              </w:rPr>
              <w:t xml:space="preserve"> </w:t>
            </w:r>
            <w:r w:rsidR="00CA3B20" w:rsidRPr="00C66C6C">
              <w:rPr>
                <w:rFonts w:cs="Times New Roman"/>
                <w:szCs w:val="20"/>
              </w:rPr>
              <w:t>conduct</w:t>
            </w:r>
            <w:r w:rsidR="00327B7A" w:rsidRPr="00C66C6C">
              <w:rPr>
                <w:rFonts w:cs="Times New Roman"/>
                <w:szCs w:val="20"/>
              </w:rPr>
              <w:t>ed</w:t>
            </w:r>
            <w:r w:rsidR="00CA3B20" w:rsidRPr="00C66C6C">
              <w:rPr>
                <w:rFonts w:cs="Times New Roman"/>
                <w:szCs w:val="20"/>
              </w:rPr>
              <w:t xml:space="preserve"> a progress evaluation. </w:t>
            </w:r>
          </w:p>
          <w:p w14:paraId="7F77F831" w14:textId="477866D7" w:rsidR="00B92363" w:rsidRPr="0091450A" w:rsidRDefault="00894569" w:rsidP="002D613F">
            <w:pPr>
              <w:pStyle w:val="ListParagraph"/>
              <w:numPr>
                <w:ilvl w:val="0"/>
                <w:numId w:val="37"/>
              </w:numPr>
              <w:spacing w:before="40" w:after="40"/>
              <w:contextualSpacing w:val="0"/>
              <w:rPr>
                <w:rFonts w:cs="Times New Roman"/>
                <w:szCs w:val="20"/>
              </w:rPr>
            </w:pPr>
            <w:r w:rsidRPr="00C66C6C">
              <w:rPr>
                <w:rFonts w:cs="Times New Roman"/>
                <w:szCs w:val="20"/>
              </w:rPr>
              <w:t>Healthy Auckland</w:t>
            </w:r>
            <w:r w:rsidR="000E67A6" w:rsidRPr="00C66C6C">
              <w:rPr>
                <w:rFonts w:cs="Times New Roman"/>
                <w:szCs w:val="20"/>
              </w:rPr>
              <w:t xml:space="preserve"> </w:t>
            </w:r>
            <w:r w:rsidR="00767344" w:rsidRPr="00C66C6C">
              <w:rPr>
                <w:rFonts w:cs="Times New Roman"/>
                <w:szCs w:val="20"/>
              </w:rPr>
              <w:t>Together</w:t>
            </w:r>
            <w:r w:rsidR="00967757" w:rsidRPr="00C66C6C">
              <w:rPr>
                <w:rFonts w:cs="Times New Roman"/>
                <w:szCs w:val="20"/>
              </w:rPr>
              <w:t xml:space="preserve"> (HAT)</w:t>
            </w:r>
            <w:r w:rsidR="00767344" w:rsidRPr="00C66C6C">
              <w:rPr>
                <w:rFonts w:cs="Times New Roman"/>
                <w:szCs w:val="20"/>
              </w:rPr>
              <w:t xml:space="preserve"> </w:t>
            </w:r>
            <w:r w:rsidR="002B4368" w:rsidRPr="00C66C6C">
              <w:rPr>
                <w:rFonts w:cs="Times New Roman"/>
                <w:szCs w:val="20"/>
              </w:rPr>
              <w:fldChar w:fldCharType="begin" w:fldLock="1"/>
            </w:r>
            <w:r w:rsidR="00EC12A7">
              <w:rPr>
                <w:rFonts w:cs="Times New Roman"/>
                <w:szCs w:val="20"/>
              </w:rPr>
              <w:instrText>ADDIN CSL_CITATION {"citationItems":[{"id":"ITEM-1","itemData":{"URL":"http://www.healthyaucklandtogether.org.nz/","author":[{"dropping-particle":"","family":"Healthy Auckland Together","given":"","non-dropping-particle":"","parse-names":false,"suffix":""}],"id":"ITEM-1","issue":"23/2/2017","issued":{"date-parts":[["2017"]]},"title":"Healthy Auckland Together","type":"webpage"},"uris":["http://www.mendeley.com/documents/?uuid=8d3bd582-bd47-3c74-801b-08a932107505","http://www.mendeley.com/documents/?uuid=ae319a67-475a-4859-9689-1ece33966a1d"]}],"mendeley":{"formattedCitation":"(273)","plainTextFormattedCitation":"(273)","previouslyFormattedCitation":"(273)"},"properties":{"noteIndex":0},"schema":"https://github.com/citation-style-language/schema/raw/master/csl-citation.json"}</w:instrText>
            </w:r>
            <w:r w:rsidR="002B4368" w:rsidRPr="00C66C6C">
              <w:rPr>
                <w:rFonts w:cs="Times New Roman"/>
                <w:szCs w:val="20"/>
              </w:rPr>
              <w:fldChar w:fldCharType="separate"/>
            </w:r>
            <w:r w:rsidR="009C4029" w:rsidRPr="009C4029">
              <w:rPr>
                <w:rFonts w:cs="Times New Roman"/>
                <w:noProof/>
                <w:szCs w:val="20"/>
              </w:rPr>
              <w:t>(273)</w:t>
            </w:r>
            <w:r w:rsidR="002B4368" w:rsidRPr="00C66C6C">
              <w:rPr>
                <w:rFonts w:cs="Times New Roman"/>
                <w:szCs w:val="20"/>
              </w:rPr>
              <w:fldChar w:fldCharType="end"/>
            </w:r>
            <w:r w:rsidRPr="00C66C6C">
              <w:rPr>
                <w:rFonts w:cs="Times New Roman"/>
                <w:szCs w:val="20"/>
              </w:rPr>
              <w:t xml:space="preserve">: </w:t>
            </w:r>
            <w:r w:rsidR="003F6E4B" w:rsidRPr="00C66C6C">
              <w:rPr>
                <w:rFonts w:cs="Times New Roman"/>
                <w:szCs w:val="20"/>
                <w:lang w:eastAsia="en-NZ"/>
              </w:rPr>
              <w:t>Auckland</w:t>
            </w:r>
            <w:r w:rsidR="003F6E4B" w:rsidRPr="0091450A">
              <w:rPr>
                <w:rFonts w:cs="Times New Roman"/>
                <w:szCs w:val="20"/>
                <w:lang w:eastAsia="en-NZ"/>
              </w:rPr>
              <w:t xml:space="preserve"> Regional Public Health Service facilitates </w:t>
            </w:r>
            <w:r w:rsidR="00767344" w:rsidRPr="0091450A">
              <w:rPr>
                <w:rFonts w:cs="Times New Roman"/>
                <w:szCs w:val="20"/>
                <w:lang w:eastAsia="en-NZ"/>
              </w:rPr>
              <w:t xml:space="preserve">a </w:t>
            </w:r>
            <w:r w:rsidR="003F6E4B" w:rsidRPr="0091450A">
              <w:rPr>
                <w:rFonts w:cs="Times New Roman"/>
                <w:szCs w:val="20"/>
              </w:rPr>
              <w:t>c</w:t>
            </w:r>
            <w:r w:rsidRPr="0091450A">
              <w:rPr>
                <w:rFonts w:cs="Times New Roman"/>
                <w:szCs w:val="20"/>
              </w:rPr>
              <w:t xml:space="preserve">oalition of local government, NGOs, health, iwi, and others working collaboratively to make it easier for everyone to </w:t>
            </w:r>
            <w:r w:rsidR="003F6E4B" w:rsidRPr="0091450A">
              <w:rPr>
                <w:rFonts w:cs="Times New Roman"/>
                <w:szCs w:val="20"/>
              </w:rPr>
              <w:t>reach the 3 goals: improving nutrition</w:t>
            </w:r>
            <w:r w:rsidRPr="0091450A">
              <w:rPr>
                <w:rFonts w:cs="Times New Roman"/>
                <w:szCs w:val="20"/>
              </w:rPr>
              <w:t xml:space="preserve">, </w:t>
            </w:r>
            <w:r w:rsidR="003F6E4B" w:rsidRPr="0091450A">
              <w:rPr>
                <w:rFonts w:cs="Times New Roman"/>
                <w:szCs w:val="20"/>
              </w:rPr>
              <w:t>increasing physical activity, reducing obesity</w:t>
            </w:r>
            <w:r w:rsidRPr="0091450A">
              <w:rPr>
                <w:rFonts w:cs="Times New Roman"/>
                <w:szCs w:val="20"/>
              </w:rPr>
              <w:t>. There is a strategic framework with a vision and the context the group operates within with six action pla</w:t>
            </w:r>
            <w:r w:rsidR="00F02CB9" w:rsidRPr="0091450A">
              <w:rPr>
                <w:rFonts w:cs="Times New Roman"/>
                <w:szCs w:val="20"/>
              </w:rPr>
              <w:t>ns of which one is food environ</w:t>
            </w:r>
            <w:r w:rsidRPr="0091450A">
              <w:rPr>
                <w:rFonts w:cs="Times New Roman"/>
                <w:szCs w:val="20"/>
              </w:rPr>
              <w:t>ments and marketing. There are a set of</w:t>
            </w:r>
            <w:r w:rsidR="003F6E4B" w:rsidRPr="0091450A">
              <w:rPr>
                <w:rFonts w:cs="Times New Roman"/>
                <w:szCs w:val="20"/>
              </w:rPr>
              <w:t xml:space="preserve"> 17</w:t>
            </w:r>
            <w:r w:rsidRPr="0091450A">
              <w:rPr>
                <w:rFonts w:cs="Times New Roman"/>
                <w:szCs w:val="20"/>
              </w:rPr>
              <w:t xml:space="preserve"> indicator</w:t>
            </w:r>
            <w:r w:rsidR="003F6E4B" w:rsidRPr="0091450A">
              <w:rPr>
                <w:rFonts w:cs="Times New Roman"/>
                <w:szCs w:val="20"/>
              </w:rPr>
              <w:t>s and</w:t>
            </w:r>
            <w:r w:rsidRPr="0091450A">
              <w:rPr>
                <w:rFonts w:cs="Times New Roman"/>
                <w:szCs w:val="20"/>
              </w:rPr>
              <w:t xml:space="preserve"> targets and a baseline </w:t>
            </w:r>
            <w:r w:rsidR="00E27091" w:rsidRPr="0091450A">
              <w:rPr>
                <w:rFonts w:cs="Times New Roman"/>
                <w:szCs w:val="20"/>
              </w:rPr>
              <w:t>monitoring</w:t>
            </w:r>
            <w:r w:rsidRPr="0091450A">
              <w:rPr>
                <w:rFonts w:cs="Times New Roman"/>
                <w:szCs w:val="20"/>
              </w:rPr>
              <w:t xml:space="preserve"> report</w:t>
            </w:r>
            <w:r w:rsidR="003F6E4B" w:rsidRPr="0091450A">
              <w:rPr>
                <w:rFonts w:cs="Times New Roman"/>
                <w:szCs w:val="20"/>
              </w:rPr>
              <w:t xml:space="preserve"> showing baseline status of these</w:t>
            </w:r>
            <w:r w:rsidRPr="0091450A">
              <w:rPr>
                <w:rFonts w:cs="Times New Roman"/>
                <w:szCs w:val="20"/>
              </w:rPr>
              <w:t xml:space="preserve">. </w:t>
            </w:r>
            <w:r w:rsidR="003F6E4B" w:rsidRPr="0091450A">
              <w:rPr>
                <w:rFonts w:cs="Times New Roman"/>
                <w:szCs w:val="20"/>
              </w:rPr>
              <w:t xml:space="preserve"> Nutrition and obesity</w:t>
            </w:r>
            <w:r w:rsidR="00CC4626">
              <w:rPr>
                <w:rFonts w:cs="Times New Roman"/>
                <w:szCs w:val="20"/>
              </w:rPr>
              <w:t>-</w:t>
            </w:r>
            <w:r w:rsidR="003F6E4B" w:rsidRPr="0091450A">
              <w:rPr>
                <w:rFonts w:cs="Times New Roman"/>
                <w:szCs w:val="20"/>
              </w:rPr>
              <w:t xml:space="preserve">related targets: dental caries in children, </w:t>
            </w:r>
            <w:r w:rsidR="00870834" w:rsidRPr="0091450A">
              <w:rPr>
                <w:rFonts w:cs="Times New Roman"/>
                <w:szCs w:val="20"/>
              </w:rPr>
              <w:t xml:space="preserve">adults </w:t>
            </w:r>
            <w:r w:rsidR="003F6E4B" w:rsidRPr="0091450A">
              <w:rPr>
                <w:rFonts w:cs="Times New Roman"/>
                <w:szCs w:val="20"/>
              </w:rPr>
              <w:t>eating more fruit</w:t>
            </w:r>
            <w:r w:rsidR="00870834" w:rsidRPr="0091450A">
              <w:rPr>
                <w:rFonts w:cs="Times New Roman"/>
                <w:szCs w:val="20"/>
              </w:rPr>
              <w:t xml:space="preserve"> and vegetables</w:t>
            </w:r>
            <w:r w:rsidR="003F6E4B" w:rsidRPr="0091450A">
              <w:rPr>
                <w:rFonts w:cs="Times New Roman"/>
                <w:szCs w:val="20"/>
              </w:rPr>
              <w:t>,</w:t>
            </w:r>
            <w:r w:rsidR="00870834" w:rsidRPr="0091450A">
              <w:rPr>
                <w:rFonts w:cs="Times New Roman"/>
                <w:szCs w:val="20"/>
              </w:rPr>
              <w:t xml:space="preserve"> reduction obesity </w:t>
            </w:r>
            <w:r w:rsidR="00FE4FCD" w:rsidRPr="0091450A">
              <w:rPr>
                <w:rFonts w:cs="Times New Roman"/>
                <w:szCs w:val="20"/>
              </w:rPr>
              <w:t>4-5-year</w:t>
            </w:r>
            <w:r w:rsidR="00870834" w:rsidRPr="0091450A">
              <w:rPr>
                <w:rFonts w:cs="Times New Roman"/>
                <w:szCs w:val="20"/>
              </w:rPr>
              <w:t xml:space="preserve"> olds, reduce excess supply fast food outlets, increase availability healthy food in outlets, more schools and ECEs providing a heart</w:t>
            </w:r>
            <w:r w:rsidR="00CC4626">
              <w:rPr>
                <w:rFonts w:cs="Times New Roman"/>
                <w:szCs w:val="20"/>
              </w:rPr>
              <w:t>-</w:t>
            </w:r>
            <w:r w:rsidR="00870834" w:rsidRPr="0091450A">
              <w:rPr>
                <w:rFonts w:cs="Times New Roman"/>
                <w:szCs w:val="20"/>
              </w:rPr>
              <w:t>healthy environment, more Pacific Heartbeat community nutrition courses.</w:t>
            </w:r>
            <w:r w:rsidR="003F6E4B" w:rsidRPr="0091450A">
              <w:rPr>
                <w:rFonts w:cs="Times New Roman"/>
                <w:szCs w:val="20"/>
              </w:rPr>
              <w:t xml:space="preserve"> </w:t>
            </w:r>
            <w:r w:rsidR="00767344" w:rsidRPr="0091450A">
              <w:rPr>
                <w:rFonts w:cs="Times New Roman"/>
                <w:szCs w:val="20"/>
              </w:rPr>
              <w:t>H</w:t>
            </w:r>
            <w:r w:rsidR="00967757" w:rsidRPr="0091450A">
              <w:rPr>
                <w:rFonts w:cs="Times New Roman"/>
                <w:szCs w:val="20"/>
              </w:rPr>
              <w:t>AT</w:t>
            </w:r>
            <w:r w:rsidR="00767344" w:rsidRPr="0091450A">
              <w:rPr>
                <w:rFonts w:cs="Times New Roman"/>
                <w:szCs w:val="20"/>
              </w:rPr>
              <w:t xml:space="preserve"> f</w:t>
            </w:r>
            <w:r w:rsidR="00767344" w:rsidRPr="0091450A">
              <w:rPr>
                <w:rFonts w:cs="Times New Roman"/>
                <w:szCs w:val="20"/>
                <w:lang w:eastAsia="en-NZ"/>
              </w:rPr>
              <w:t>ocuses</w:t>
            </w:r>
            <w:r w:rsidR="003F6E4B" w:rsidRPr="0091450A">
              <w:rPr>
                <w:rFonts w:cs="Times New Roman"/>
                <w:szCs w:val="20"/>
                <w:lang w:eastAsia="en-NZ"/>
              </w:rPr>
              <w:t xml:space="preserve"> on collaboration, profile raising, monitoring across streets, parks and places, food environments and marketing, schools and early childhood education </w:t>
            </w:r>
            <w:r w:rsidR="00E27091" w:rsidRPr="0091450A">
              <w:rPr>
                <w:rFonts w:cs="Times New Roman"/>
                <w:szCs w:val="20"/>
                <w:lang w:eastAsia="en-NZ"/>
              </w:rPr>
              <w:t>services</w:t>
            </w:r>
            <w:r w:rsidR="003F6E4B" w:rsidRPr="0091450A">
              <w:rPr>
                <w:rFonts w:cs="Times New Roman"/>
                <w:szCs w:val="20"/>
                <w:lang w:eastAsia="en-NZ"/>
              </w:rPr>
              <w:t>, workplaces and community settings.</w:t>
            </w:r>
            <w:r w:rsidR="00B92363" w:rsidRPr="0091450A">
              <w:rPr>
                <w:rFonts w:cs="Times New Roman"/>
                <w:color w:val="0000FF"/>
                <w:szCs w:val="20"/>
                <w:lang w:eastAsia="en-NZ"/>
              </w:rPr>
              <w:t xml:space="preserve"> </w:t>
            </w:r>
            <w:r w:rsidR="00767344" w:rsidRPr="0091450A">
              <w:rPr>
                <w:rFonts w:cs="Times New Roman"/>
                <w:szCs w:val="20"/>
              </w:rPr>
              <w:t>HAT</w:t>
            </w:r>
            <w:r w:rsidR="00B92363" w:rsidRPr="0091450A">
              <w:rPr>
                <w:rFonts w:cs="Times New Roman"/>
                <w:szCs w:val="20"/>
              </w:rPr>
              <w:t xml:space="preserve"> ha</w:t>
            </w:r>
            <w:r w:rsidR="00CC4626">
              <w:rPr>
                <w:rFonts w:cs="Times New Roman"/>
                <w:szCs w:val="20"/>
              </w:rPr>
              <w:t>s</w:t>
            </w:r>
            <w:r w:rsidR="00B92363" w:rsidRPr="0091450A">
              <w:rPr>
                <w:rFonts w:cs="Times New Roman"/>
                <w:szCs w:val="20"/>
              </w:rPr>
              <w:t xml:space="preserve"> committed to implementing the Healthy Food and Drink Policy for Organisations (</w:t>
            </w:r>
            <w:r w:rsidR="00B92363" w:rsidRPr="0091450A">
              <w:rPr>
                <w:rFonts w:cs="Times New Roman"/>
                <w:color w:val="002639"/>
                <w:szCs w:val="20"/>
                <w:shd w:val="clear" w:color="auto" w:fill="FFFFFF"/>
              </w:rPr>
              <w:t xml:space="preserve">developed </w:t>
            </w:r>
            <w:r w:rsidR="00B92363" w:rsidRPr="0091450A">
              <w:rPr>
                <w:rFonts w:cs="Times New Roman"/>
                <w:szCs w:val="20"/>
                <w:shd w:val="clear" w:color="auto" w:fill="FFFFFF"/>
              </w:rPr>
              <w:t>by the National DHB Food and Drink Environments Network</w:t>
            </w:r>
            <w:r w:rsidR="00B92363" w:rsidRPr="0091450A">
              <w:rPr>
                <w:rFonts w:cs="Times New Roman"/>
                <w:color w:val="002639"/>
                <w:szCs w:val="20"/>
                <w:shd w:val="clear" w:color="auto" w:fill="FFFFFF"/>
              </w:rPr>
              <w:t>)</w:t>
            </w:r>
            <w:r w:rsidR="00B92363" w:rsidRPr="0091450A">
              <w:rPr>
                <w:rFonts w:cs="Times New Roman"/>
                <w:szCs w:val="20"/>
              </w:rPr>
              <w:t xml:space="preserve"> within their own organisations</w:t>
            </w:r>
            <w:r w:rsidR="00767344" w:rsidRPr="0091450A">
              <w:rPr>
                <w:rFonts w:cs="Times New Roman"/>
                <w:szCs w:val="20"/>
              </w:rPr>
              <w:t xml:space="preserve"> with each member</w:t>
            </w:r>
            <w:r w:rsidR="00B92363" w:rsidRPr="0091450A">
              <w:rPr>
                <w:rFonts w:cs="Times New Roman"/>
                <w:szCs w:val="20"/>
              </w:rPr>
              <w:t xml:space="preserve"> currently at different stages with implementation</w:t>
            </w:r>
            <w:r w:rsidR="00767344" w:rsidRPr="0091450A">
              <w:rPr>
                <w:rFonts w:cs="Times New Roman"/>
                <w:szCs w:val="20"/>
              </w:rPr>
              <w:t>.</w:t>
            </w:r>
            <w:r w:rsidR="00124B8F" w:rsidRPr="0091450A">
              <w:rPr>
                <w:rFonts w:cs="Times New Roman"/>
                <w:szCs w:val="20"/>
              </w:rPr>
              <w:t xml:space="preserve"> E</w:t>
            </w:r>
            <w:r w:rsidR="00C16562" w:rsidRPr="0091450A">
              <w:rPr>
                <w:rFonts w:cs="Times New Roman"/>
                <w:szCs w:val="20"/>
              </w:rPr>
              <w:t xml:space="preserve">very year </w:t>
            </w:r>
            <w:r w:rsidR="00C140BC" w:rsidRPr="0091450A">
              <w:rPr>
                <w:rFonts w:cs="Times New Roman"/>
                <w:szCs w:val="20"/>
              </w:rPr>
              <w:t>HAT</w:t>
            </w:r>
            <w:r w:rsidR="00C16562" w:rsidRPr="0091450A">
              <w:rPr>
                <w:rFonts w:cs="Times New Roman"/>
                <w:szCs w:val="20"/>
              </w:rPr>
              <w:t xml:space="preserve"> complete a Monitoring Report </w:t>
            </w:r>
            <w:r w:rsidR="0091450A" w:rsidRPr="0091450A">
              <w:rPr>
                <w:rFonts w:cs="Times New Roman"/>
                <w:szCs w:val="20"/>
              </w:rPr>
              <w:t>on Auckland</w:t>
            </w:r>
            <w:r w:rsidR="00124B8F" w:rsidRPr="0091450A">
              <w:rPr>
                <w:rFonts w:cs="Times New Roman"/>
                <w:szCs w:val="20"/>
              </w:rPr>
              <w:t xml:space="preserve"> progress on population weight, diet and lack of physical activity</w:t>
            </w:r>
            <w:r w:rsidR="00BE072A" w:rsidRPr="0091450A">
              <w:rPr>
                <w:rFonts w:cs="Times New Roman"/>
                <w:szCs w:val="20"/>
              </w:rPr>
              <w:t xml:space="preserve"> </w:t>
            </w:r>
            <w:r w:rsidR="00F86D3E" w:rsidRPr="0091450A">
              <w:rPr>
                <w:rFonts w:cs="Times New Roman"/>
                <w:szCs w:val="20"/>
              </w:rPr>
              <w:t>with supportive infographics and updated information</w:t>
            </w:r>
            <w:r w:rsidR="0054012F" w:rsidRPr="0091450A">
              <w:rPr>
                <w:rFonts w:cs="Times New Roman"/>
                <w:szCs w:val="20"/>
              </w:rPr>
              <w:t xml:space="preserve"> </w:t>
            </w:r>
            <w:r w:rsidR="00CC2CEC" w:rsidRPr="0091450A">
              <w:rPr>
                <w:rFonts w:cs="Times New Roman"/>
                <w:szCs w:val="20"/>
              </w:rPr>
              <w:fldChar w:fldCharType="begin" w:fldLock="1"/>
            </w:r>
            <w:r w:rsidR="00EC12A7">
              <w:rPr>
                <w:rFonts w:cs="Times New Roman"/>
                <w:szCs w:val="20"/>
              </w:rPr>
              <w:instrText>ADDIN CSL_CITATION {"citationItems":[{"id":"ITEM-1","itemData":{"abstract":"Too often it's sugary drinks, not enough fruit and vegetables and cheap, low quality snacks and take-aways. Our food choices are influenced by cues in our surroundings. Currently a wide variety of energy dense food is heavily promoted on the streets, in stores and in the media, and to children and young people as well. Some neighbourhoods have very few fruit and vegetable shops and a glut of unhealthy food options. Most schools are close to a convenience store where junk food is prominently displayed. Sometimes the food and drink available in schools or early childhood centres is not much healthier. Every year Healthy Auckland Together looks at what's changing so Aucklanders are able to live healthy lives. This is our 2018 summary showing whether our neighbourhoods are making it easy to eat well.","author":[{"dropping-particle":"","family":"Healthy Auckland Together","given":"","non-dropping-particle":"","parse-names":false,"suffix":""}],"id":"ITEM-1","issued":{"date-parts":[["2018"]]},"title":"Auckland's Nutrition Snapshot; Monitoring Report Summary 2018","type":"report"},"uris":["http://www.mendeley.com/documents/?uuid=22b87bc6-b109-3374-b3b0-0dfce1a153ca","http://www.mendeley.com/documents/?uuid=b8bc7c0c-c6f5-46bc-a4a1-9d78d6c2080f"]},{"id":"ITEM-2","itemData":{"URL":"http://www.healthyaucklandtogether.org.nz/reports/monitoring-report-2018/","accessed":{"date-parts":[["2020","1","21"]]},"author":[{"dropping-particle":"","family":"Healthy Auckland Together","given":"","non-dropping-particle":"","parse-names":false,"suffix":""}],"id":"ITEM-2","issued":{"date-parts":[["2018"]]},"title":"Monitoring Report 2018","type":"webpage"},"uris":["http://www.mendeley.com/documents/?uuid=a3da4ae8-b058-368b-ae68-9e6c6bd90f2a","http://www.mendeley.com/documents/?uuid=9b6b72ba-0fb7-44fa-b31f-88593bee8aae"]}],"mendeley":{"formattedCitation":"(274,275)","plainTextFormattedCitation":"(274,275)","previouslyFormattedCitation":"(274,275)"},"properties":{"noteIndex":0},"schema":"https://github.com/citation-style-language/schema/raw/master/csl-citation.json"}</w:instrText>
            </w:r>
            <w:r w:rsidR="00CC2CEC" w:rsidRPr="0091450A">
              <w:rPr>
                <w:rFonts w:cs="Times New Roman"/>
                <w:szCs w:val="20"/>
              </w:rPr>
              <w:fldChar w:fldCharType="separate"/>
            </w:r>
            <w:r w:rsidR="009C4029" w:rsidRPr="009C4029">
              <w:rPr>
                <w:rFonts w:cs="Times New Roman"/>
                <w:noProof/>
                <w:szCs w:val="20"/>
              </w:rPr>
              <w:t>(274,275)</w:t>
            </w:r>
            <w:r w:rsidR="00CC2CEC" w:rsidRPr="0091450A">
              <w:rPr>
                <w:rFonts w:cs="Times New Roman"/>
                <w:szCs w:val="20"/>
              </w:rPr>
              <w:fldChar w:fldCharType="end"/>
            </w:r>
          </w:p>
          <w:p w14:paraId="42426A9A" w14:textId="361DF942" w:rsidR="00C04080" w:rsidRPr="0091450A" w:rsidRDefault="00331183" w:rsidP="002D613F">
            <w:pPr>
              <w:pStyle w:val="ListParagraph"/>
              <w:numPr>
                <w:ilvl w:val="0"/>
                <w:numId w:val="37"/>
              </w:numPr>
              <w:spacing w:before="40" w:after="40"/>
              <w:contextualSpacing w:val="0"/>
              <w:rPr>
                <w:b/>
                <w:color w:val="1F497D"/>
                <w:szCs w:val="20"/>
              </w:rPr>
            </w:pPr>
            <w:r w:rsidRPr="0091450A">
              <w:rPr>
                <w:color w:val="191919"/>
              </w:rPr>
              <w:t xml:space="preserve">The National Good Food Network (http://sustainable.org.nz/good-food-nation-2/) is a coordinated approach driven by Sustainable Business Network, to bring together and strengthen organisations working regionally in their food system through sharing learning and building capacity. </w:t>
            </w:r>
          </w:p>
          <w:p w14:paraId="2D236765" w14:textId="51388909"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6623DD37" w14:textId="710FCE77" w:rsidR="009B3B51" w:rsidRPr="0091450A" w:rsidRDefault="009B3B51" w:rsidP="002D613F">
            <w:pPr>
              <w:pStyle w:val="ListParagraph"/>
              <w:keepNext/>
              <w:numPr>
                <w:ilvl w:val="0"/>
                <w:numId w:val="37"/>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New Zealand</w:t>
            </w:r>
            <w:r w:rsidRPr="0091450A">
              <w:rPr>
                <w:rFonts w:eastAsia="Times New Roman" w:cs="Times New Roman"/>
                <w:szCs w:val="20"/>
                <w:lang w:eastAsia="en-NZ"/>
              </w:rPr>
              <w:t xml:space="preserve">: Healthy Families NZ is a large-scale initiative that brings community leadership together in a united effort for better health. It aims to improve people’s health where they live, learn, work and play, </w:t>
            </w:r>
            <w:r w:rsidR="0014643A" w:rsidRPr="0091450A">
              <w:rPr>
                <w:rFonts w:eastAsia="Times New Roman" w:cs="Times New Roman"/>
                <w:szCs w:val="20"/>
                <w:lang w:eastAsia="en-NZ"/>
              </w:rPr>
              <w:t>to</w:t>
            </w:r>
            <w:r w:rsidRPr="0091450A">
              <w:rPr>
                <w:rFonts w:eastAsia="Times New Roman" w:cs="Times New Roman"/>
                <w:szCs w:val="20"/>
                <w:lang w:eastAsia="en-NZ"/>
              </w:rPr>
              <w:t xml:space="preserve"> prevent chronic disease.</w:t>
            </w:r>
            <w:r w:rsidRPr="0091450A">
              <w:rPr>
                <w:szCs w:val="20"/>
              </w:rPr>
              <w:t xml:space="preserve"> </w:t>
            </w:r>
            <w:r w:rsidRPr="0091450A">
              <w:rPr>
                <w:rFonts w:eastAsia="Times New Roman" w:cs="Times New Roman"/>
                <w:szCs w:val="20"/>
                <w:lang w:eastAsia="en-NZ"/>
              </w:rPr>
              <w:t xml:space="preserve">Led by the Ministry of Health, the initiative will focus on ten locations in New Zealand in the first instance. It has the potential to impact the lives of over a million New Zealanders. The Government has allocated $40 million over four years to support Healthy Families NZ </w:t>
            </w:r>
            <w:r w:rsidR="00395D3D"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{"citationItems":[{"id":"ITEM-1","itemData":{"URL":"http://www.health.govt.nz/our-work/preventative-health-wellness/healthy-families-nz","author":[{"dropping-particle":"","family":"Ministry of Health New Zealand","given":"","non-dropping-particle":"","parse-names":false,"suffix":""},{"dropping-particle":"","family":"Ministry of Health","given":"","non-dropping-particle":"","parse-names":false,"suffix":""}],"id":"ITEM-1","issue":"17/04/2016","issued":{"date-parts":[["2016"]]},"title":"Healthy Families NZ","type":"webpage"},"uris":["http://www.mendeley.com/documents/?uuid=546a01d6-5004-4522-8609-8cf0bc4bb2ec","http://www.mendeley.com/documents/?uuid=438b7169-54df-4ff7-84e0-2fc18906856d"]}],"mendeley":{"formattedCitation":"(276)","plainTextFormattedCitation":"(276)","previouslyFormattedCitation":"(276)"},"properties":{"noteIndex":0},"schema":"https://github.com/citation-style-language/schema/raw/master/csl-citation.json"}</w:instrText>
            </w:r>
            <w:r w:rsidR="00395D3D"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(276)</w:t>
            </w:r>
            <w:r w:rsidR="00395D3D" w:rsidRPr="0091450A">
              <w:rPr>
                <w:rFonts w:eastAsia="Times New Roman" w:cs="Times New Roman"/>
                <w:szCs w:val="20"/>
                <w:lang w:eastAsia="en-NZ"/>
              </w:rPr>
              <w:fldChar w:fldCharType="end"/>
            </w:r>
            <w:r w:rsidR="00395D3D" w:rsidRPr="0091450A">
              <w:rPr>
                <w:rFonts w:eastAsia="Times New Roman" w:cs="Times New Roman"/>
                <w:szCs w:val="20"/>
                <w:lang w:eastAsia="en-NZ"/>
              </w:rPr>
              <w:t>.</w:t>
            </w:r>
          </w:p>
          <w:p w14:paraId="7F1CB3CA" w14:textId="241A7192" w:rsidR="00FE20A7" w:rsidRPr="0091450A" w:rsidRDefault="00FE20A7" w:rsidP="002D613F">
            <w:pPr>
              <w:pStyle w:val="ListParagraph"/>
              <w:keepNext/>
              <w:numPr>
                <w:ilvl w:val="0"/>
                <w:numId w:val="37"/>
              </w:numPr>
              <w:spacing w:before="40" w:after="40"/>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xml:space="preserve">: Healthy together Victoria in Australia aims to improve people's health where they live, learn, work and play. It focuses on addressing the underlying causes of poor health in children's settings, workplaces and communities by encouraging healthy eating and physical </w:t>
            </w:r>
            <w:r w:rsidR="00FE4FCD" w:rsidRPr="0091450A">
              <w:rPr>
                <w:rFonts w:eastAsia="Times New Roman" w:cs="Times New Roman"/>
                <w:szCs w:val="20"/>
                <w:lang w:eastAsia="en-NZ"/>
              </w:rPr>
              <w:t>activity and</w:t>
            </w:r>
            <w:r w:rsidRPr="0091450A">
              <w:rPr>
                <w:rFonts w:eastAsia="Times New Roman" w:cs="Times New Roman"/>
                <w:szCs w:val="20"/>
                <w:lang w:eastAsia="en-NZ"/>
              </w:rPr>
              <w:t xml:space="preserve"> reducing smoking and harmful alcohol use. Healthy Together Victoria incorporates policies and strategies to support good health across Victoria, as well as </w:t>
            </w:r>
            <w:r w:rsidR="00FE4FCD" w:rsidRPr="0091450A">
              <w:rPr>
                <w:rFonts w:eastAsia="Times New Roman" w:cs="Times New Roman"/>
                <w:szCs w:val="20"/>
                <w:lang w:eastAsia="en-NZ"/>
              </w:rPr>
              <w:t>locally</w:t>
            </w:r>
            <w:r w:rsidR="00CC4626">
              <w:rPr>
                <w:rFonts w:eastAsia="Times New Roman" w:cs="Times New Roman"/>
                <w:szCs w:val="20"/>
                <w:lang w:eastAsia="en-NZ"/>
              </w:rPr>
              <w:t>-</w:t>
            </w:r>
            <w:r w:rsidR="00FE4FCD" w:rsidRPr="0091450A">
              <w:rPr>
                <w:rFonts w:eastAsia="Times New Roman" w:cs="Times New Roman"/>
                <w:szCs w:val="20"/>
                <w:lang w:eastAsia="en-NZ"/>
              </w:rPr>
              <w:t>led</w:t>
            </w:r>
            <w:r w:rsidRPr="0091450A">
              <w:rPr>
                <w:rFonts w:eastAsia="Times New Roman" w:cs="Times New Roman"/>
                <w:szCs w:val="20"/>
                <w:lang w:eastAsia="en-NZ"/>
              </w:rPr>
              <w:t xml:space="preserve"> Healthy Together Communities. The initiative was originally jointly funded by the State Government of Victoria and the Australian Government through the National Partnership Agreement on Preventive Health </w:t>
            </w:r>
            <w:r w:rsidR="00BF295F"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{"citationItems":[{"id":"ITEM-1","itemData":{"URL":"https://www2.health.vic.gov.au/about/publications/policiesandguidelines/What is Healthy Together Victoria","author":[{"dropping-particle":"","family":"Government","given":"Victoria State","non-dropping-particle":"","parse-names":false,"suffix":""}],"id":"ITEM-1","issue":"16/03/2017","issued":{"date-parts":[["2017"]]},"title":"What is Healthy Together Victoria","type":"webpage"},"uris":["http://www.mendeley.com/documents/?uuid=2c7977b5-556f-3a92-9536-ed357809636d","http://www.mendeley.com/documents/?uuid=d84248ad-9e6b-47b7-b14e-354620ba79b6"]},{"id":"ITEM-2","itemData":{"ISBN":"2049-3258\r0778-7367","author":[{"dropping-particle":"","family":"Strugnell","given":"C","non-dropping-particle":"","parse-names":false,"suffix":""},{"dropping-particle":"","family":"Millar","given":"L","non-dropping-particle":"","parse-names":false,"suffix":""},{"dropping-particle":"","family":"Churchill","given":"A","non-dropping-particle":"","parse-names":false,"suffix":""},{"dropping-particle":"","family":"Jacka","given":"F","non-dropping-particle":"","parse-names":false,"suffix":""},{"dropping-particle":"","family":"Bell","given":"C","non-dropping-particle":"","parse-names":false,"suffix":""},{"dropping-particle":"","family":"Malakellis","given":"M","non-dropping-particle":"","parse-names":false,"suffix":""},{"dropping-particle":"","family":"Swinburn","given":"B","non-dropping-particle":"","parse-names":false,"suffix":""},{"dropping-particle":"","family":"Allender","given":"S","non-dropping-particle":"","parse-names":false,"suffix":""}],"container-title":"Archives of public health = Archives belges de sante publique","id":"ITEM-2","issue":"Electronic-eCollection","issued":{"date-parts":[["2016"]]},"page":"16","title":"Healthy together Victoria and childhood obesity-a methodology for measuring changes in childhood obesity in response to a community-based, whole of system cluster randomized control trial","type":"article-journal","volume":"74"},"uris":["http://www.mendeley.com/documents/?uuid=f55f363e-5cf6-3a89-a508-eded2c912d86","http://www.mendeley.com/documents/?uuid=97e052c3-e216-44b3-97af-38e62a40c27d"]}],"mendeley":{"formattedCitation":"(277,278)","plainTextFormattedCitation":"(277,278)","previouslyFormattedCitation":"(277,278)"},"properties":{"noteIndex":0},"schema":"https://github.com/citation-style-language/schema/raw/master/csl-citation.json"}</w:instrText>
            </w:r>
            <w:r w:rsidR="00BF295F"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(277,278)</w:t>
            </w:r>
            <w:r w:rsidR="00BF295F" w:rsidRPr="0091450A">
              <w:rPr>
                <w:rFonts w:eastAsia="Times New Roman" w:cs="Times New Roman"/>
                <w:szCs w:val="20"/>
                <w:lang w:eastAsia="en-NZ"/>
              </w:rPr>
              <w:fldChar w:fldCharType="end"/>
            </w:r>
            <w:r w:rsidRPr="0091450A">
              <w:rPr>
                <w:rFonts w:eastAsia="Times New Roman" w:cs="Times New Roman"/>
                <w:szCs w:val="20"/>
                <w:lang w:eastAsia="en-NZ"/>
              </w:rPr>
              <w:t>. It is unclear at this stage whether funding for Healthy Together Victoria will continue.</w:t>
            </w:r>
          </w:p>
        </w:tc>
      </w:tr>
    </w:tbl>
    <w:p w14:paraId="7C39C0FD" w14:textId="5F743204" w:rsidR="002406C7" w:rsidRPr="0091450A" w:rsidRDefault="002406C7" w:rsidP="002D613F">
      <w:pPr>
        <w:spacing w:line="240" w:lineRule="auto"/>
      </w:pPr>
    </w:p>
    <w:tbl>
      <w:tblPr>
        <w:tblStyle w:val="TableGrid"/>
        <w:tblW w:w="9209" w:type="dxa"/>
        <w:tblLook w:val="04A0" w:firstRow="1" w:lastRow="0" w:firstColumn="1" w:lastColumn="0" w:noHBand="0" w:noVBand="1"/>
      </w:tblPr>
      <w:tblGrid>
        <w:gridCol w:w="9209"/>
      </w:tblGrid>
      <w:tr w:rsidR="00BA2214" w:rsidRPr="0091450A" w14:paraId="2697334C" w14:textId="77777777" w:rsidTr="00E83F10">
        <w:tc>
          <w:tcPr>
            <w:tcW w:w="9209" w:type="dxa"/>
          </w:tcPr>
          <w:p w14:paraId="28783508" w14:textId="77777777" w:rsidR="00BA2214" w:rsidRPr="0091450A" w:rsidRDefault="004C3C9D" w:rsidP="002D613F">
            <w:pPr>
              <w:shd w:val="clear" w:color="auto" w:fill="FFFFFF" w:themeFill="background1"/>
              <w:spacing w:before="40" w:after="40"/>
              <w:rPr>
                <w:rFonts w:cs="Times New Roman"/>
                <w:szCs w:val="20"/>
              </w:rPr>
            </w:pPr>
            <w:bookmarkStart w:id="73" w:name="_Toc31623771"/>
            <w:r w:rsidRPr="0091450A">
              <w:rPr>
                <w:rStyle w:val="Heading2Char"/>
              </w:rPr>
              <w:t>13</w:t>
            </w:r>
            <w:r w:rsidR="008C0F53" w:rsidRPr="0091450A">
              <w:rPr>
                <w:rStyle w:val="Heading2Char"/>
              </w:rPr>
              <w:t xml:space="preserve"> </w:t>
            </w:r>
            <w:r w:rsidR="00BA2214" w:rsidRPr="0091450A">
              <w:rPr>
                <w:rStyle w:val="Heading2Char"/>
              </w:rPr>
              <w:t>HEALTH IN ALL POLICIES</w:t>
            </w:r>
            <w:bookmarkEnd w:id="73"/>
            <w:r w:rsidR="00BA2214" w:rsidRPr="0091450A">
              <w:rPr>
                <w:rFonts w:cs="Times New Roman"/>
                <w:b/>
                <w:color w:val="1F497D" w:themeColor="text2"/>
                <w:sz w:val="28"/>
                <w:szCs w:val="28"/>
              </w:rPr>
              <w:t xml:space="preserve">: </w:t>
            </w:r>
            <w:r w:rsidR="007A5446" w:rsidRPr="0091450A">
              <w:rPr>
                <w:rFonts w:cs="Times New Roman"/>
                <w:bCs/>
                <w:szCs w:val="20"/>
              </w:rPr>
              <w:t>Processes are in place to ensure policy coherence and alignment, and that population health impacts are explicitly considered in the development of government policies</w:t>
            </w:r>
          </w:p>
        </w:tc>
      </w:tr>
      <w:tr w:rsidR="00BA2214" w:rsidRPr="0091450A" w14:paraId="046F9770" w14:textId="77777777" w:rsidTr="00E83F10">
        <w:tc>
          <w:tcPr>
            <w:tcW w:w="9209" w:type="dxa"/>
          </w:tcPr>
          <w:p w14:paraId="1197B7B7" w14:textId="07AFBDAA" w:rsidR="00BA2214" w:rsidRPr="0091450A" w:rsidRDefault="00605980" w:rsidP="002D613F">
            <w:pPr>
              <w:shd w:val="clear" w:color="auto" w:fill="FFFFFF" w:themeFill="background1"/>
              <w:spacing w:before="40" w:after="40"/>
              <w:rPr>
                <w:rFonts w:cs="Times New Roman"/>
                <w:color w:val="000000"/>
                <w:szCs w:val="20"/>
                <w:lang w:eastAsia="en-NZ"/>
              </w:rPr>
            </w:pPr>
            <w:bookmarkStart w:id="74" w:name="_Toc31623772"/>
            <w:r w:rsidRPr="0091450A">
              <w:rPr>
                <w:rStyle w:val="Heading3Char"/>
              </w:rPr>
              <w:t>HIAP1</w:t>
            </w:r>
            <w:bookmarkEnd w:id="74"/>
            <w:r w:rsidR="00BA2214" w:rsidRPr="0091450A">
              <w:rPr>
                <w:rFonts w:cs="Times New Roman"/>
                <w:b/>
                <w:color w:val="1F497D" w:themeColor="text2"/>
                <w:sz w:val="28"/>
                <w:szCs w:val="28"/>
              </w:rPr>
              <w:t xml:space="preserve">: </w:t>
            </w:r>
            <w:r w:rsidR="007A5446" w:rsidRPr="0091450A">
              <w:rPr>
                <w:rFonts w:cs="Times New Roman"/>
                <w:b/>
                <w:szCs w:val="20"/>
              </w:rPr>
              <w:t xml:space="preserve">There are </w:t>
            </w:r>
            <w:r w:rsidR="0014643A" w:rsidRPr="0091450A">
              <w:rPr>
                <w:rFonts w:cs="Times New Roman"/>
                <w:b/>
                <w:szCs w:val="20"/>
              </w:rPr>
              <w:t>processes in</w:t>
            </w:r>
            <w:r w:rsidR="007A5446" w:rsidRPr="0091450A">
              <w:rPr>
                <w:rFonts w:cs="Times New Roman"/>
                <w:b/>
                <w:szCs w:val="20"/>
              </w:rPr>
              <w:t xml:space="preserve"> place to ensure that population nutrition, health outcomes and reducing health inequalities are considered and prioritised in the development of all government policies relating to food</w:t>
            </w:r>
          </w:p>
        </w:tc>
      </w:tr>
      <w:tr w:rsidR="00BA2214" w:rsidRPr="0091450A" w14:paraId="1788BF1F" w14:textId="77777777" w:rsidTr="00E83F10">
        <w:tc>
          <w:tcPr>
            <w:tcW w:w="9209" w:type="dxa"/>
          </w:tcPr>
          <w:p w14:paraId="71C6C933" w14:textId="7226342B"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5DB9A760" w14:textId="77777777" w:rsidR="00BA2214" w:rsidRPr="0091450A" w:rsidRDefault="00D308A7" w:rsidP="002D613F">
            <w:pPr>
              <w:pStyle w:val="ListParagraph"/>
              <w:numPr>
                <w:ilvl w:val="0"/>
                <w:numId w:val="20"/>
              </w:numPr>
              <w:shd w:val="clear" w:color="auto" w:fill="FFFFFF" w:themeFill="background1"/>
              <w:spacing w:before="40" w:after="40"/>
              <w:ind w:left="284" w:hanging="284"/>
              <w:contextualSpacing w:val="0"/>
              <w:rPr>
                <w:rFonts w:cs="Times New Roman"/>
                <w:szCs w:val="20"/>
              </w:rPr>
            </w:pPr>
            <w:r w:rsidRPr="0091450A">
              <w:rPr>
                <w:rFonts w:cs="Times New Roman"/>
                <w:szCs w:val="20"/>
              </w:rPr>
              <w:t xml:space="preserve">FSANZ does not undertake health impact assessments. However, </w:t>
            </w:r>
            <w:r w:rsidR="00417655" w:rsidRPr="0091450A">
              <w:rPr>
                <w:rFonts w:cs="Times New Roman"/>
                <w:szCs w:val="20"/>
              </w:rPr>
              <w:t xml:space="preserve">their </w:t>
            </w:r>
            <w:r w:rsidRPr="0091450A">
              <w:rPr>
                <w:rFonts w:cs="Times New Roman"/>
                <w:szCs w:val="20"/>
              </w:rPr>
              <w:t xml:space="preserve">standards development process (which is based on the Codex risk analysis model) incorporates key elements, including assessment of issues (including health impacts, if relevant) and consultation. </w:t>
            </w:r>
            <w:r w:rsidR="00417655" w:rsidRPr="0091450A">
              <w:rPr>
                <w:rFonts w:cs="Times New Roman"/>
                <w:szCs w:val="20"/>
              </w:rPr>
              <w:t xml:space="preserve">Their </w:t>
            </w:r>
            <w:r w:rsidRPr="0091450A">
              <w:rPr>
                <w:rFonts w:cs="Times New Roman"/>
                <w:szCs w:val="20"/>
              </w:rPr>
              <w:t>process also includes a regulatory impact analysis, and a Regulation Impact Statement (RIS) may be prepared to inform this process.</w:t>
            </w:r>
            <w:r w:rsidR="00417655" w:rsidRPr="0091450A">
              <w:rPr>
                <w:rFonts w:cs="Times New Roman"/>
                <w:szCs w:val="20"/>
              </w:rPr>
              <w:t xml:space="preserve"> </w:t>
            </w:r>
            <w:r w:rsidR="00BA2214" w:rsidRPr="0091450A">
              <w:rPr>
                <w:rFonts w:cs="Times New Roman"/>
                <w:szCs w:val="20"/>
              </w:rPr>
              <w:lastRenderedPageBreak/>
              <w:t xml:space="preserve">Regulatory impact assessments usually compare several scenarios: no regulation, voluntary regulation and mandatory regulation (1 or 2 different scenarios), but this is not considered a health impact assessment. </w:t>
            </w:r>
          </w:p>
          <w:p w14:paraId="3B8C154F" w14:textId="77777777" w:rsidR="00CD07F3" w:rsidRPr="0091450A" w:rsidRDefault="00CD07F3" w:rsidP="002D613F">
            <w:pPr>
              <w:shd w:val="clear" w:color="auto" w:fill="FFFFFF" w:themeFill="background1"/>
              <w:spacing w:before="40" w:after="40"/>
              <w:rPr>
                <w:rFonts w:cs="Times New Roman"/>
                <w:b/>
                <w:szCs w:val="20"/>
              </w:rPr>
            </w:pPr>
          </w:p>
          <w:p w14:paraId="081A3BD0" w14:textId="0E8D905C" w:rsidR="00FE20A7"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6D19F2E9" w14:textId="093E6F82" w:rsidR="00FE20A7" w:rsidRPr="0091450A" w:rsidRDefault="00FE20A7" w:rsidP="002D613F">
            <w:pPr>
              <w:pStyle w:val="ListParagraph"/>
              <w:numPr>
                <w:ilvl w:val="0"/>
                <w:numId w:val="90"/>
              </w:numPr>
              <w:shd w:val="clear" w:color="auto" w:fill="FFFFFF" w:themeFill="background1"/>
              <w:spacing w:before="40" w:after="40"/>
              <w:ind w:left="284" w:hanging="284"/>
              <w:contextualSpacing w:val="0"/>
              <w:rPr>
                <w:rFonts w:cs="Times New Roman"/>
                <w:b/>
                <w:szCs w:val="20"/>
              </w:rPr>
            </w:pPr>
            <w:r w:rsidRPr="0091450A">
              <w:rPr>
                <w:rFonts w:eastAsia="Times New Roman" w:cs="Times New Roman"/>
                <w:b/>
                <w:szCs w:val="20"/>
                <w:lang w:eastAsia="en-NZ"/>
              </w:rPr>
              <w:t>Slovenia</w:t>
            </w:r>
            <w:r w:rsidRPr="0091450A">
              <w:rPr>
                <w:rFonts w:eastAsia="Times New Roman" w:cs="Times New Roman"/>
                <w:szCs w:val="20"/>
                <w:lang w:eastAsia="en-NZ"/>
              </w:rPr>
              <w:t xml:space="preserve">: Slovenia undertook a Health Impact Assessment (HIA) in relation to </w:t>
            </w:r>
            <w:r w:rsidR="00BA3B5A">
              <w:rPr>
                <w:rFonts w:eastAsia="Times New Roman" w:cs="Times New Roman"/>
                <w:szCs w:val="20"/>
                <w:lang w:eastAsia="en-NZ"/>
              </w:rPr>
              <w:t xml:space="preserve">the </w:t>
            </w:r>
            <w:r w:rsidRPr="0091450A">
              <w:rPr>
                <w:rFonts w:eastAsia="Times New Roman" w:cs="Times New Roman"/>
                <w:szCs w:val="20"/>
                <w:lang w:eastAsia="en-NZ"/>
              </w:rPr>
              <w:t xml:space="preserve">agricultural policy at the national level. This was the first time that the health effects of an agricultural policy were assessed at the country level. The HIA followed a six-stage process: policy analysis; rapid appraisal workshops with stakeholders from a range of backgrounds; review of research evidence relevant to the agricultural policy; analysis of Slovenian data for key health-related indicators; a report on the findings to a key cross-government group; and evaluation </w:t>
            </w:r>
            <w:r w:rsidR="00965E09"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{"citationItems":[{"id":"ITEM-1","itemData":{"ISBN":"0042-9686 (Print)\r0042-9686 (Linking)","PMID":"12894321","author":[{"dropping-particle":"","family":"Lock","given":"K","non-dropping-particle":"","parse-names":false,"suffix":""},{"dropping-particle":"","family":"Gabrijelcic-Blenkus","given":"M","non-dropping-particle":"","parse-names":false,"suffix":""},{"dropping-particle":"","family":"Martuzzi","given":"M","non-dropping-particle":"","parse-names":false,"suffix":""},{"dropping-particle":"","family":"Otorepec","given":"P","non-dropping-particle":"","parse-names":false,"suffix":""},{"dropping-particle":"","family":"Wallace","given":"P","non-dropping-particle":"","parse-names":false,"suffix":""},{"dropping-particle":"","family":"Dora","given":"C","non-dropping-particle":"","parse-names":false,"suffix":""},{"dropping-particle":"","family":"Robertson","given":"A","non-dropping-particle":"","parse-names":false,"suffix":""},{"dropping-particle":"","family":"Zakotnic","given":"J M","non-dropping-particle":"","parse-names":false,"suffix":""}],"container-title":"Bull World Health Organ","id":"ITEM-1","issue":"6","issued":{"date-parts":[["2003"]]},"page":"391-398","title":"Health impact assessment of agriculture and food policies: lessons learnt from the Republic of Slovenia","type":"article-journal","volume":"81"},"uris":["http://www.mendeley.com/documents/?uuid=418ec957-a64b-394b-9d43-dbe960dbe9a3","http://www.mendeley.com/documents/?uuid=70e41925-3b53-4749-addb-8675247265ce"]}],"mendeley":{"formattedCitation":"(279)","plainTextFormattedCitation":"(279)","previouslyFormattedCitation":"(279)"},"properties":{"noteIndex":0},"schema":"https://github.com/citation-style-language/schema/raw/master/csl-citation.json"}</w:instrText>
            </w:r>
            <w:r w:rsidR="00965E09"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(279)</w:t>
            </w:r>
            <w:r w:rsidR="00965E09" w:rsidRPr="0091450A">
              <w:rPr>
                <w:rFonts w:eastAsia="Times New Roman" w:cs="Times New Roman"/>
                <w:szCs w:val="20"/>
                <w:lang w:eastAsia="en-NZ"/>
              </w:rPr>
              <w:fldChar w:fldCharType="end"/>
            </w:r>
            <w:r w:rsidRPr="0091450A">
              <w:rPr>
                <w:rFonts w:eastAsia="Times New Roman" w:cs="Times New Roman"/>
                <w:szCs w:val="20"/>
                <w:lang w:eastAsia="en-NZ"/>
              </w:rPr>
              <w:t>.</w:t>
            </w:r>
          </w:p>
        </w:tc>
      </w:tr>
    </w:tbl>
    <w:p w14:paraId="5AE0FA99" w14:textId="77777777" w:rsidR="00936BE7" w:rsidRPr="0091450A" w:rsidRDefault="00936BE7" w:rsidP="002D613F">
      <w:pPr>
        <w:shd w:val="clear" w:color="auto" w:fill="FFFFFF" w:themeFill="background1"/>
        <w:spacing w:line="240" w:lineRule="auto"/>
        <w:contextualSpacing/>
        <w:rPr>
          <w:rFonts w:cs="Times New Roman"/>
          <w:szCs w:val="20"/>
        </w:rPr>
      </w:pPr>
    </w:p>
    <w:tbl>
      <w:tblPr>
        <w:tblStyle w:val="TableGrid"/>
        <w:tblW w:w="9209" w:type="dxa"/>
        <w:tblLook w:val="04A0" w:firstRow="1" w:lastRow="0" w:firstColumn="1" w:lastColumn="0" w:noHBand="0" w:noVBand="1"/>
      </w:tblPr>
      <w:tblGrid>
        <w:gridCol w:w="9209"/>
      </w:tblGrid>
      <w:tr w:rsidR="00BA2214" w:rsidRPr="0091450A" w14:paraId="6F0B014F" w14:textId="77777777" w:rsidTr="00E83F10">
        <w:tc>
          <w:tcPr>
            <w:tcW w:w="9209" w:type="dxa"/>
          </w:tcPr>
          <w:p w14:paraId="6AA24A58" w14:textId="77777777" w:rsidR="00BA2214" w:rsidRPr="0091450A" w:rsidRDefault="00183BBD" w:rsidP="002D613F">
            <w:pPr>
              <w:shd w:val="clear" w:color="auto" w:fill="FFFFFF" w:themeFill="background1"/>
              <w:spacing w:before="40" w:after="40"/>
              <w:rPr>
                <w:rFonts w:cs="Times New Roman"/>
                <w:szCs w:val="20"/>
              </w:rPr>
            </w:pPr>
            <w:r w:rsidRPr="0091450A">
              <w:rPr>
                <w:rFonts w:cs="Times New Roman"/>
                <w:b/>
                <w:color w:val="1F497D" w:themeColor="text2"/>
                <w:sz w:val="28"/>
                <w:szCs w:val="28"/>
              </w:rPr>
              <w:t>13</w:t>
            </w:r>
            <w:r w:rsidR="008C0F53" w:rsidRPr="0091450A">
              <w:rPr>
                <w:rFonts w:cs="Times New Roman"/>
                <w:b/>
                <w:color w:val="1F497D" w:themeColor="text2"/>
                <w:sz w:val="28"/>
                <w:szCs w:val="28"/>
              </w:rPr>
              <w:t xml:space="preserve"> </w:t>
            </w:r>
            <w:r w:rsidR="00BA2214" w:rsidRPr="0091450A">
              <w:rPr>
                <w:rFonts w:cs="Times New Roman"/>
                <w:b/>
                <w:color w:val="1F497D" w:themeColor="text2"/>
                <w:sz w:val="28"/>
                <w:szCs w:val="28"/>
              </w:rPr>
              <w:t xml:space="preserve">HEALTH IN ALL POLICIES: </w:t>
            </w:r>
            <w:r w:rsidR="007A5446" w:rsidRPr="0091450A">
              <w:rPr>
                <w:rFonts w:cs="Times New Roman"/>
                <w:bCs/>
                <w:szCs w:val="20"/>
              </w:rPr>
              <w:t>Processes are in place to ensure policy coherence and alignment, and that population health impacts are explicitly considered in the development of government policies</w:t>
            </w:r>
          </w:p>
        </w:tc>
      </w:tr>
      <w:tr w:rsidR="00BA2214" w:rsidRPr="0091450A" w14:paraId="30E13C19" w14:textId="77777777" w:rsidTr="00E83F10">
        <w:tc>
          <w:tcPr>
            <w:tcW w:w="9209" w:type="dxa"/>
          </w:tcPr>
          <w:p w14:paraId="143E30C2" w14:textId="48FBA76D" w:rsidR="00BA2214" w:rsidRPr="0091450A" w:rsidRDefault="00605980" w:rsidP="002D613F">
            <w:pPr>
              <w:shd w:val="clear" w:color="auto" w:fill="FFFFFF" w:themeFill="background1"/>
              <w:spacing w:before="40" w:after="40"/>
              <w:rPr>
                <w:rFonts w:cs="Times New Roman"/>
                <w:color w:val="000000"/>
                <w:szCs w:val="20"/>
                <w:lang w:eastAsia="en-NZ"/>
              </w:rPr>
            </w:pPr>
            <w:bookmarkStart w:id="75" w:name="_Toc31623773"/>
            <w:r w:rsidRPr="0091450A">
              <w:rPr>
                <w:rStyle w:val="Heading3Char"/>
              </w:rPr>
              <w:t>HIAP2</w:t>
            </w:r>
            <w:bookmarkEnd w:id="75"/>
            <w:r w:rsidR="00BA2214" w:rsidRPr="0091450A">
              <w:rPr>
                <w:rFonts w:cs="Times New Roman"/>
                <w:b/>
                <w:color w:val="1F497D" w:themeColor="text2"/>
                <w:sz w:val="28"/>
                <w:szCs w:val="28"/>
              </w:rPr>
              <w:t xml:space="preserve">: </w:t>
            </w:r>
            <w:r w:rsidR="00046833" w:rsidRPr="0091450A">
              <w:rPr>
                <w:rFonts w:cs="Times New Roman"/>
                <w:b/>
                <w:szCs w:val="20"/>
              </w:rPr>
              <w:t>There are processes (</w:t>
            </w:r>
            <w:r w:rsidR="00AE20D3" w:rsidRPr="0091450A">
              <w:rPr>
                <w:rFonts w:cs="Times New Roman"/>
                <w:b/>
                <w:szCs w:val="20"/>
              </w:rPr>
              <w:t>e.g.</w:t>
            </w:r>
            <w:r w:rsidR="007A5446" w:rsidRPr="0091450A">
              <w:rPr>
                <w:rFonts w:cs="Times New Roman"/>
                <w:b/>
                <w:szCs w:val="20"/>
              </w:rPr>
              <w:t xml:space="preserve"> health impact assessments) to assess and consider health impacts during the development of other non-food policies</w:t>
            </w:r>
          </w:p>
        </w:tc>
      </w:tr>
      <w:tr w:rsidR="00BA2214" w:rsidRPr="0091450A" w14:paraId="1C907187" w14:textId="77777777" w:rsidTr="00E83F10">
        <w:tc>
          <w:tcPr>
            <w:tcW w:w="9209" w:type="dxa"/>
          </w:tcPr>
          <w:p w14:paraId="7221A35C" w14:textId="04F525E9" w:rsidR="0020485F" w:rsidRPr="0091450A" w:rsidRDefault="0020485F" w:rsidP="002D613F">
            <w:pPr>
              <w:spacing w:before="40" w:after="40"/>
              <w:rPr>
                <w:rFonts w:cs="Times New Roman"/>
                <w:b/>
                <w:color w:val="1F497D" w:themeColor="text2"/>
                <w:sz w:val="28"/>
                <w:szCs w:val="28"/>
              </w:rPr>
            </w:pPr>
            <w:r w:rsidRPr="0091450A">
              <w:rPr>
                <w:rFonts w:cs="Times New Roman"/>
                <w:b/>
                <w:color w:val="1F497D" w:themeColor="text2"/>
                <w:sz w:val="28"/>
                <w:szCs w:val="28"/>
              </w:rPr>
              <w:t xml:space="preserve">Evidence </w:t>
            </w:r>
            <w:r w:rsidR="00C04080" w:rsidRPr="0091450A">
              <w:rPr>
                <w:rFonts w:cs="Times New Roman"/>
                <w:b/>
                <w:color w:val="1F497D" w:themeColor="text2"/>
                <w:sz w:val="28"/>
                <w:szCs w:val="28"/>
              </w:rPr>
              <w:t>of implementation</w:t>
            </w:r>
          </w:p>
          <w:p w14:paraId="5316F87C" w14:textId="27E2E7FF" w:rsidR="001617F8" w:rsidRPr="0091450A" w:rsidRDefault="00BA2214" w:rsidP="002D613F">
            <w:pPr>
              <w:pStyle w:val="ListParagraph"/>
              <w:numPr>
                <w:ilvl w:val="0"/>
                <w:numId w:val="21"/>
              </w:numPr>
              <w:shd w:val="clear" w:color="auto" w:fill="FFFFFF" w:themeFill="background1"/>
              <w:spacing w:before="40" w:after="40"/>
              <w:ind w:left="284" w:hanging="284"/>
              <w:contextualSpacing w:val="0"/>
            </w:pPr>
            <w:r w:rsidRPr="0091450A">
              <w:rPr>
                <w:rFonts w:cs="Times New Roman"/>
                <w:szCs w:val="20"/>
              </w:rPr>
              <w:t xml:space="preserve"> </w:t>
            </w:r>
            <w:r w:rsidRPr="0091450A">
              <w:t xml:space="preserve">The MoH released HIA </w:t>
            </w:r>
            <w:r w:rsidRPr="00400EF8">
              <w:t xml:space="preserve">guidelines in 2007 </w:t>
            </w:r>
            <w:r w:rsidR="00931F19" w:rsidRPr="00400EF8">
              <w:t>with a</w:t>
            </w:r>
            <w:r w:rsidRPr="00400EF8">
              <w:t xml:space="preserve"> focus</w:t>
            </w:r>
            <w:r w:rsidRPr="0091450A">
              <w:t xml:space="preserve"> on </w:t>
            </w:r>
            <w:proofErr w:type="spellStart"/>
            <w:r w:rsidRPr="0091450A">
              <w:t>whānau</w:t>
            </w:r>
            <w:proofErr w:type="spellEnd"/>
            <w:r w:rsidRPr="0091450A">
              <w:t xml:space="preserve"> </w:t>
            </w:r>
            <w:proofErr w:type="spellStart"/>
            <w:r w:rsidRPr="0091450A">
              <w:t>ora</w:t>
            </w:r>
            <w:proofErr w:type="spellEnd"/>
            <w:r w:rsidRPr="0091450A">
              <w:t xml:space="preserve"> (health and well-being for Māori, their families and communities)</w:t>
            </w:r>
            <w:r w:rsidR="007A60CB" w:rsidRPr="0091450A">
              <w:rPr>
                <w:rFonts w:cs="Times New Roman"/>
                <w:szCs w:val="20"/>
              </w:rPr>
              <w:t xml:space="preserve"> </w:t>
            </w:r>
            <w:r w:rsidR="007A60CB" w:rsidRPr="0091450A">
              <w:rPr>
                <w:rFonts w:cs="Times New Roman"/>
                <w:szCs w:val="20"/>
              </w:rPr>
              <w:fldChar w:fldCharType="begin" w:fldLock="1"/>
            </w:r>
            <w:r w:rsidR="00EC12A7">
              <w:rPr>
                <w:rFonts w:cs="Times New Roman"/>
                <w:szCs w:val="20"/>
              </w:rPr>
              <w:instrText>ADDIN CSL_CITATION {"citationItems":[{"id":"ITEM-1","itemData":{"author":[{"dropping-particle":"","family":"Ministry of Health","given":"","non-dropping-particle":"","parse-names":false,"suffix":""}],"id":"ITEM-1","issued":{"date-parts":[["2007"]]},"publisher":"Ministry of Health","publisher-place":"Wellington","title":"Whānau Ora Health Impact Assessment","type":"report"},"uris":["http://www.mendeley.com/documents/?uuid=0ce2ac7c-ccbb-3b31-97ea-a6e21f0368d1","http://www.mendeley.com/documents/?uuid=79075777-afe7-4c67-914c-11339f1979db"]}],"mendeley":{"formattedCitation":"(280)","plainTextFormattedCitation":"(280)","previouslyFormattedCitation":"(280)"},"properties":{"noteIndex":0},"schema":"https://github.com/citation-style-language/schema/raw/master/csl-citation.json"}</w:instrText>
            </w:r>
            <w:r w:rsidR="007A60CB" w:rsidRPr="0091450A">
              <w:rPr>
                <w:rFonts w:cs="Times New Roman"/>
                <w:szCs w:val="20"/>
              </w:rPr>
              <w:fldChar w:fldCharType="separate"/>
            </w:r>
            <w:r w:rsidR="009C4029" w:rsidRPr="009C4029">
              <w:rPr>
                <w:rFonts w:cs="Times New Roman"/>
                <w:noProof/>
                <w:szCs w:val="20"/>
              </w:rPr>
              <w:t>(280)</w:t>
            </w:r>
            <w:r w:rsidR="007A60CB" w:rsidRPr="0091450A">
              <w:rPr>
                <w:rFonts w:cs="Times New Roman"/>
                <w:szCs w:val="20"/>
              </w:rPr>
              <w:fldChar w:fldCharType="end"/>
            </w:r>
            <w:r w:rsidR="007A60CB" w:rsidRPr="0091450A">
              <w:rPr>
                <w:rFonts w:cs="Times New Roman"/>
                <w:szCs w:val="20"/>
              </w:rPr>
              <w:t>.</w:t>
            </w:r>
            <w:r w:rsidR="007A60CB">
              <w:t xml:space="preserve"> It can still be accessed online</w:t>
            </w:r>
            <w:r w:rsidR="00760316" w:rsidRPr="0091450A">
              <w:t xml:space="preserve"> </w:t>
            </w:r>
            <w:r w:rsidR="007A60CB">
              <w:t>through the Ministry of Health</w:t>
            </w:r>
            <w:r w:rsidR="00F534DF">
              <w:t xml:space="preserve"> </w:t>
            </w:r>
            <w:r w:rsidR="00F534DF">
              <w:fldChar w:fldCharType="begin" w:fldLock="1"/>
            </w:r>
            <w:r w:rsidR="00EC12A7">
              <w:instrText>ADDIN CSL_CITATION {"citationItems":[{"id":"ITEM-1","itemData":{"URL":"https://www.health.govt.nz/our-work/health-impact-assessment/whanau-ora-health-impact-assessment","accessed":{"date-parts":[["2020","2","5"]]},"author":[{"dropping-particle":"","family":"Ministry of Health","given":"","non-dropping-particle":"","parse-names":false,"suffix":""}],"id":"ITEM-1","issued":{"date-parts":[["2014"]]},"title":"Whānau Ora Health Impact Assessment | Ministry of Health NZ","type":"webpage"},"uris":["http://www.mendeley.com/documents/?uuid=216875c2-af44-3314-871c-79309bbd33ae"]}],"mendeley":{"formattedCitation":"(281)","plainTextFormattedCitation":"(281)","previouslyFormattedCitation":"(281)"},"properties":{"noteIndex":0},"schema":"https://github.com/citation-style-language/schema/raw/master/csl-citation.json"}</w:instrText>
            </w:r>
            <w:r w:rsidR="00F534DF">
              <w:fldChar w:fldCharType="separate"/>
            </w:r>
            <w:r w:rsidR="009C4029" w:rsidRPr="009C4029">
              <w:rPr>
                <w:noProof/>
              </w:rPr>
              <w:t>(281)</w:t>
            </w:r>
            <w:r w:rsidR="00F534DF">
              <w:fldChar w:fldCharType="end"/>
            </w:r>
            <w:r w:rsidR="00F534DF">
              <w:t>.</w:t>
            </w:r>
          </w:p>
          <w:p w14:paraId="6F805BD8" w14:textId="62EEBD81" w:rsidR="0002557B" w:rsidRPr="00FB7571" w:rsidRDefault="00BA2214" w:rsidP="002D613F">
            <w:pPr>
              <w:pStyle w:val="ListParagraph"/>
              <w:numPr>
                <w:ilvl w:val="0"/>
                <w:numId w:val="21"/>
              </w:numPr>
              <w:shd w:val="clear" w:color="auto" w:fill="FFFFFF" w:themeFill="background1"/>
              <w:spacing w:before="40" w:after="40"/>
              <w:ind w:left="284" w:hanging="284"/>
              <w:contextualSpacing w:val="0"/>
              <w:rPr>
                <w:rFonts w:cs="Times New Roman"/>
                <w:szCs w:val="20"/>
              </w:rPr>
            </w:pPr>
            <w:r w:rsidRPr="00FB7571">
              <w:rPr>
                <w:rFonts w:cs="Times New Roman"/>
                <w:szCs w:val="20"/>
              </w:rPr>
              <w:t>Health in</w:t>
            </w:r>
            <w:r w:rsidRPr="009547EE">
              <w:rPr>
                <w:rFonts w:cs="Times New Roman"/>
                <w:szCs w:val="20"/>
              </w:rPr>
              <w:t xml:space="preserve"> All Policies (</w:t>
            </w:r>
            <w:proofErr w:type="spellStart"/>
            <w:r w:rsidRPr="009547EE">
              <w:rPr>
                <w:rFonts w:cs="Times New Roman"/>
                <w:szCs w:val="20"/>
              </w:rPr>
              <w:t>HiAP</w:t>
            </w:r>
            <w:proofErr w:type="spellEnd"/>
            <w:r w:rsidRPr="009547EE">
              <w:rPr>
                <w:rFonts w:cs="Times New Roman"/>
                <w:szCs w:val="20"/>
              </w:rPr>
              <w:t>) is defined as "an approach to public policies across sectors that systematically takes into account the health</w:t>
            </w:r>
            <w:r w:rsidRPr="0091450A">
              <w:rPr>
                <w:rFonts w:cs="Times New Roman"/>
                <w:szCs w:val="20"/>
              </w:rPr>
              <w:t xml:space="preserve"> implications of decisions, seeks synergies, and avoids harmful health impacts, in order to improve population health and health equity" </w:t>
            </w:r>
            <w:r w:rsidR="006B1742" w:rsidRPr="00FB7571">
              <w:rPr>
                <w:rFonts w:cs="Times New Roman"/>
                <w:szCs w:val="20"/>
              </w:rPr>
              <w:fldChar w:fldCharType="begin" w:fldLock="1"/>
            </w:r>
            <w:r w:rsidR="00EC12A7" w:rsidRPr="00FB7571">
              <w:rPr>
                <w:rFonts w:cs="Times New Roman"/>
                <w:szCs w:val="20"/>
              </w:rPr>
              <w:instrText>ADDIN CSL_CITATION {"citationItems":[{"id":"ITEM-1","itemData":{"URL":"https://www.cph.co.nz/your-health/health-in-all-policies/","accessed":{"date-parts":[["2020","2","5"]]},"author":[{"dropping-particle":"","family":"Community and Public Health","given":"","non-dropping-particle":"","parse-names":false,"suffix":""}],"container-title":"Canterbury District Health Board","id":"ITEM-1","issued":{"date-parts":[["2020"]]},"title":"Health in All Policies | Community &amp; Public Health Te Mana Ora","type":"webpage"},"uris":["http://www.mendeley.com/documents/?uuid=ae20d3b0-f680-3125-a59d-9cbbbe419a7b"]}],"mendeley":{"formattedCitation":"(282)","plainTextFormattedCitation":"(282)","previouslyFormattedCitation":"(282)"},"properties":{"noteIndex":0},"schema":"https://github.com/citation-style-language/schema/raw/master/csl-citation.json"}</w:instrText>
            </w:r>
            <w:r w:rsidR="006B1742" w:rsidRPr="00FB7571">
              <w:rPr>
                <w:rFonts w:cs="Times New Roman"/>
                <w:szCs w:val="20"/>
              </w:rPr>
              <w:fldChar w:fldCharType="separate"/>
            </w:r>
            <w:r w:rsidR="009C4029" w:rsidRPr="00FB7571">
              <w:rPr>
                <w:rFonts w:cs="Times New Roman"/>
                <w:noProof/>
                <w:szCs w:val="20"/>
              </w:rPr>
              <w:t>(282)</w:t>
            </w:r>
            <w:r w:rsidR="006B1742" w:rsidRPr="00FB7571">
              <w:rPr>
                <w:rFonts w:cs="Times New Roman"/>
                <w:szCs w:val="20"/>
              </w:rPr>
              <w:fldChar w:fldCharType="end"/>
            </w:r>
            <w:r w:rsidR="007317CC" w:rsidRPr="00FB7571">
              <w:rPr>
                <w:rFonts w:cs="Times New Roman"/>
                <w:szCs w:val="20"/>
              </w:rPr>
              <w:t>.</w:t>
            </w:r>
            <w:r w:rsidR="00BA3B5A" w:rsidRPr="00FB7571">
              <w:rPr>
                <w:rFonts w:cs="Times New Roman"/>
                <w:szCs w:val="20"/>
              </w:rPr>
              <w:t xml:space="preserve"> </w:t>
            </w:r>
            <w:r w:rsidR="00A778A6" w:rsidRPr="00FB7571">
              <w:rPr>
                <w:rFonts w:cs="Times New Roman"/>
                <w:szCs w:val="20"/>
              </w:rPr>
              <w:t>L</w:t>
            </w:r>
            <w:r w:rsidR="00D600EE" w:rsidRPr="00FB7571">
              <w:rPr>
                <w:rFonts w:cs="Times New Roman"/>
                <w:szCs w:val="20"/>
              </w:rPr>
              <w:t xml:space="preserve">ocal </w:t>
            </w:r>
            <w:r w:rsidR="007317CC" w:rsidRPr="00FB7571">
              <w:rPr>
                <w:rFonts w:cs="Times New Roman"/>
                <w:szCs w:val="20"/>
              </w:rPr>
              <w:t>examples include</w:t>
            </w:r>
            <w:r w:rsidR="00D600EE" w:rsidRPr="00FB7571">
              <w:rPr>
                <w:rFonts w:cs="Times New Roman"/>
                <w:szCs w:val="20"/>
              </w:rPr>
              <w:t xml:space="preserve"> </w:t>
            </w:r>
            <w:r w:rsidR="00894569" w:rsidRPr="00FB7571">
              <w:rPr>
                <w:rFonts w:cs="Times New Roman"/>
                <w:szCs w:val="20"/>
              </w:rPr>
              <w:t xml:space="preserve">Canterbury </w:t>
            </w:r>
            <w:r w:rsidR="006A449F" w:rsidRPr="00FB7571">
              <w:rPr>
                <w:rFonts w:cs="Times New Roman"/>
                <w:szCs w:val="20"/>
              </w:rPr>
              <w:t>Health in All Policies</w:t>
            </w:r>
            <w:r w:rsidR="00894569" w:rsidRPr="00FB7571">
              <w:rPr>
                <w:rFonts w:cs="Times New Roman"/>
                <w:szCs w:val="20"/>
              </w:rPr>
              <w:t xml:space="preserve"> Partnership</w:t>
            </w:r>
            <w:r w:rsidR="000E67A6" w:rsidRPr="00FB7571">
              <w:rPr>
                <w:rFonts w:cs="Times New Roman"/>
                <w:szCs w:val="20"/>
              </w:rPr>
              <w:t xml:space="preserve"> </w:t>
            </w:r>
            <w:r w:rsidR="0039414F" w:rsidRPr="00FB7571">
              <w:rPr>
                <w:rFonts w:cs="Times New Roman"/>
                <w:szCs w:val="20"/>
              </w:rPr>
              <w:fldChar w:fldCharType="begin" w:fldLock="1"/>
            </w:r>
            <w:r w:rsidR="00EC12A7" w:rsidRPr="00FB7571">
              <w:rPr>
                <w:rFonts w:cs="Times New Roman"/>
                <w:szCs w:val="20"/>
              </w:rPr>
              <w:instrText>ADDIN CSL_CITATION {"citationItems":[{"id":"ITEM-1","itemData":{"URL":"http://www.cph.co.nz/About-Us/Health-in-all-Policies/","author":[{"dropping-particle":"","family":"Canterbury District Health Board","given":"","non-dropping-particle":"","parse-names":false,"suffix":""}],"id":"ITEM-1","issued":{"date-parts":[["0"]]},"title":"Health in all policies","type":"webpage"},"uris":["http://www.mendeley.com/documents/?uuid=ebcdb9cd-b950-32e7-be8f-e64dcab412b8","http://www.mendeley.com/documents/?uuid=c0ba7abf-aa68-49e4-b2d9-8a53e731fc5f"]}],"mendeley":{"formattedCitation":"(283)","plainTextFormattedCitation":"(283)","previouslyFormattedCitation":"(283)"},"properties":{"noteIndex":0},"schema":"https://github.com/citation-style-language/schema/raw/master/csl-citation.json"}</w:instrText>
            </w:r>
            <w:r w:rsidR="0039414F" w:rsidRPr="00FB7571">
              <w:rPr>
                <w:rFonts w:cs="Times New Roman"/>
                <w:szCs w:val="20"/>
              </w:rPr>
              <w:fldChar w:fldCharType="separate"/>
            </w:r>
            <w:r w:rsidR="009C4029" w:rsidRPr="00FB7571">
              <w:rPr>
                <w:rFonts w:cs="Times New Roman"/>
                <w:noProof/>
                <w:szCs w:val="20"/>
              </w:rPr>
              <w:t>(283)</w:t>
            </w:r>
            <w:r w:rsidR="0039414F" w:rsidRPr="00FB7571">
              <w:rPr>
                <w:rFonts w:cs="Times New Roman"/>
                <w:szCs w:val="20"/>
              </w:rPr>
              <w:fldChar w:fldCharType="end"/>
            </w:r>
            <w:r w:rsidR="006A449F" w:rsidRPr="00FB7571">
              <w:rPr>
                <w:rFonts w:cs="Times New Roman"/>
                <w:szCs w:val="20"/>
              </w:rPr>
              <w:t>,</w:t>
            </w:r>
            <w:r w:rsidR="00D600EE" w:rsidRPr="00FB7571">
              <w:rPr>
                <w:rFonts w:cs="Times New Roman"/>
                <w:szCs w:val="20"/>
              </w:rPr>
              <w:t xml:space="preserve"> a</w:t>
            </w:r>
            <w:r w:rsidR="00894569" w:rsidRPr="00FB7571">
              <w:rPr>
                <w:rFonts w:cs="Times New Roman"/>
                <w:szCs w:val="20"/>
              </w:rPr>
              <w:t>n approach to public policies across sectors that</w:t>
            </w:r>
            <w:r w:rsidR="005557CE" w:rsidRPr="00FB7571">
              <w:rPr>
                <w:rFonts w:cs="Times New Roman"/>
                <w:szCs w:val="20"/>
              </w:rPr>
              <w:t xml:space="preserve"> takes into accou</w:t>
            </w:r>
            <w:r w:rsidR="00894569" w:rsidRPr="00FB7571">
              <w:rPr>
                <w:rFonts w:cs="Times New Roman"/>
                <w:szCs w:val="20"/>
              </w:rPr>
              <w:t>n</w:t>
            </w:r>
            <w:r w:rsidR="005557CE" w:rsidRPr="00FB7571">
              <w:rPr>
                <w:rFonts w:cs="Times New Roman"/>
                <w:szCs w:val="20"/>
              </w:rPr>
              <w:t>t</w:t>
            </w:r>
            <w:r w:rsidR="00894569" w:rsidRPr="00FB7571">
              <w:rPr>
                <w:rFonts w:cs="Times New Roman"/>
                <w:szCs w:val="20"/>
              </w:rPr>
              <w:t xml:space="preserve"> the health implications of </w:t>
            </w:r>
            <w:r w:rsidR="005557CE" w:rsidRPr="00FB7571">
              <w:rPr>
                <w:rFonts w:cs="Times New Roman"/>
                <w:szCs w:val="20"/>
              </w:rPr>
              <w:t>decisions, seeks synergies and avoids harmf</w:t>
            </w:r>
            <w:r w:rsidR="00894569" w:rsidRPr="00FB7571">
              <w:rPr>
                <w:rFonts w:cs="Times New Roman"/>
                <w:szCs w:val="20"/>
              </w:rPr>
              <w:t>ul health impacts in ord</w:t>
            </w:r>
            <w:r w:rsidR="005557CE" w:rsidRPr="00FB7571">
              <w:rPr>
                <w:rFonts w:cs="Times New Roman"/>
                <w:szCs w:val="20"/>
              </w:rPr>
              <w:t>e</w:t>
            </w:r>
            <w:r w:rsidR="00894569" w:rsidRPr="00FB7571">
              <w:rPr>
                <w:rFonts w:cs="Times New Roman"/>
                <w:szCs w:val="20"/>
              </w:rPr>
              <w:t>r to improve populat</w:t>
            </w:r>
            <w:r w:rsidR="005557CE" w:rsidRPr="00FB7571">
              <w:rPr>
                <w:rFonts w:cs="Times New Roman"/>
                <w:szCs w:val="20"/>
              </w:rPr>
              <w:t>i</w:t>
            </w:r>
            <w:r w:rsidR="00894569" w:rsidRPr="00FB7571">
              <w:rPr>
                <w:rFonts w:cs="Times New Roman"/>
                <w:szCs w:val="20"/>
              </w:rPr>
              <w:t>on health and equity</w:t>
            </w:r>
            <w:r w:rsidR="005557CE" w:rsidRPr="00FB7571">
              <w:rPr>
                <w:rFonts w:cs="Times New Roman"/>
                <w:szCs w:val="20"/>
              </w:rPr>
              <w:t>.</w:t>
            </w:r>
          </w:p>
          <w:p w14:paraId="66AED4C0" w14:textId="2A3ED3B2" w:rsidR="00C04080" w:rsidRPr="0091450A" w:rsidRDefault="00C04080" w:rsidP="002D613F">
            <w:pPr>
              <w:spacing w:before="40" w:after="40"/>
              <w:rPr>
                <w:b/>
                <w:color w:val="1F497D"/>
                <w:sz w:val="28"/>
                <w:szCs w:val="28"/>
              </w:rPr>
            </w:pPr>
            <w:r w:rsidRPr="0091450A">
              <w:rPr>
                <w:b/>
                <w:color w:val="1F497D"/>
                <w:sz w:val="28"/>
                <w:szCs w:val="28"/>
              </w:rPr>
              <w:t xml:space="preserve">International best practice </w:t>
            </w:r>
            <w:r w:rsidR="00AE20D3" w:rsidRPr="0091450A">
              <w:rPr>
                <w:b/>
                <w:color w:val="1F497D"/>
                <w:sz w:val="28"/>
                <w:szCs w:val="28"/>
              </w:rPr>
              <w:t>examples</w:t>
            </w:r>
            <w:r w:rsidRPr="0091450A">
              <w:rPr>
                <w:b/>
                <w:color w:val="1F497D"/>
                <w:sz w:val="28"/>
                <w:szCs w:val="28"/>
              </w:rPr>
              <w:t xml:space="preserve"> (benchmarks)</w:t>
            </w:r>
          </w:p>
          <w:p w14:paraId="10C91DC6" w14:textId="5E14714D" w:rsidR="00FE20A7" w:rsidRPr="0091450A" w:rsidRDefault="00FE20A7" w:rsidP="002D613F">
            <w:pPr>
              <w:pStyle w:val="ListParagraph"/>
              <w:keepNext/>
              <w:numPr>
                <w:ilvl w:val="0"/>
                <w:numId w:val="9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Australia</w:t>
            </w:r>
            <w:r w:rsidRPr="0091450A">
              <w:rPr>
                <w:rFonts w:eastAsia="Times New Roman" w:cs="Times New Roman"/>
                <w:szCs w:val="20"/>
                <w:lang w:eastAsia="en-NZ"/>
              </w:rPr>
              <w:t>: Established in 2007, the successful implementation of Health in All Policies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in South Australia has been supported by a high</w:t>
            </w:r>
            <w:r w:rsidR="00DC5476" w:rsidRPr="0091450A">
              <w:rPr>
                <w:rFonts w:eastAsia="Times New Roman" w:cs="Times New Roman"/>
                <w:szCs w:val="20"/>
                <w:lang w:eastAsia="en-NZ"/>
              </w:rPr>
              <w:t>-</w:t>
            </w:r>
            <w:r w:rsidRPr="0091450A">
              <w:rPr>
                <w:rFonts w:eastAsia="Times New Roman" w:cs="Times New Roman"/>
                <w:szCs w:val="20"/>
                <w:lang w:eastAsia="en-NZ"/>
              </w:rPr>
              <w:t xml:space="preserve">level mandate from central government, an overarching framework which is supportive of a diverse program of work, a commitment to work collaboratively and in partnership across agencies, and a strong evaluation process. The government has established a dedicated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xml:space="preserve"> team within South Australia Health to build workforce capacity and support Health lens Analysis projects </w:t>
            </w:r>
            <w:r w:rsidR="0039414F"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{"citationItems":[{"id":"ITEM-1","itemData":{"URL":"http://www.sahealth.sa.gov.au/wps/wcm/connect/public+content/sa+health+internet/health+reform/health+in+all+policies","author":[{"dropping-particle":"","family":"Government of South Australia","given":"","non-dropping-particle":"","parse-names":false,"suffix":""}],"id":"ITEM-1","issue":"22/02/2016","issued":{"date-parts":[["2016"]]},"title":"Health in All Policies: The South Australian Approach","type":"webpage"},"uris":["http://www.mendeley.com/documents/?uuid=002040f6-878e-377b-bb5e-71375731ae37","http://www.mendeley.com/documents/?uuid=4cc12d3b-9879-4bc3-8758-22c4d2ec4358"]}],"mendeley":{"formattedCitation":"(284)","plainTextFormattedCitation":"(284)","previouslyFormattedCitation":"(284)"},"properties":{"noteIndex":0},"schema":"https://github.com/citation-style-language/schema/raw/master/csl-citation.json"}</w:instrText>
            </w:r>
            <w:r w:rsidR="0039414F"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(284)</w:t>
            </w:r>
            <w:r w:rsidR="0039414F" w:rsidRPr="0091450A">
              <w:rPr>
                <w:rFonts w:eastAsia="Times New Roman" w:cs="Times New Roman"/>
                <w:szCs w:val="20"/>
                <w:lang w:eastAsia="en-NZ"/>
              </w:rPr>
              <w:fldChar w:fldCharType="end"/>
            </w:r>
            <w:r w:rsidRPr="0091450A">
              <w:rPr>
                <w:rFonts w:eastAsia="Times New Roman" w:cs="Times New Roman"/>
                <w:szCs w:val="20"/>
                <w:lang w:eastAsia="en-NZ"/>
              </w:rPr>
              <w:t xml:space="preserve">. Since 2007, the South Australian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xml:space="preserve"> approach has evolved to remain relevant in a changing context. However, the purpose and core principles of the approach remain unchanged. There have been five phases to the work of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xml:space="preserve"> in South Australia between 2007 and 2016: 1) Prove concept and practice emerges (2007-2008), 2) Establish and apply methodology (2008-2009), 3) Consolidate and grow (2009-2013), 4) Adapt and review (2014) </w:t>
            </w:r>
            <w:r w:rsidR="00064139" w:rsidRPr="0091450A">
              <w:rPr>
                <w:rFonts w:eastAsia="Times New Roman" w:cs="Times New Roman"/>
                <w:szCs w:val="20"/>
                <w:lang w:eastAsia="en-NZ"/>
              </w:rPr>
              <w:t>and 5</w:t>
            </w:r>
            <w:r w:rsidRPr="0091450A">
              <w:rPr>
                <w:rFonts w:eastAsia="Times New Roman" w:cs="Times New Roman"/>
                <w:szCs w:val="20"/>
                <w:lang w:eastAsia="en-NZ"/>
              </w:rPr>
              <w:t>) Strengthen and systematise (2015-2016).</w:t>
            </w:r>
          </w:p>
          <w:p w14:paraId="2793A779" w14:textId="4413E84B" w:rsidR="0089280C" w:rsidRPr="0091450A" w:rsidRDefault="00FE20A7" w:rsidP="002D613F">
            <w:pPr>
              <w:pStyle w:val="ListParagraph"/>
              <w:keepNext/>
              <w:numPr>
                <w:ilvl w:val="0"/>
                <w:numId w:val="91"/>
              </w:numPr>
              <w:spacing w:before="40" w:after="40"/>
              <w:ind w:left="284" w:hanging="284"/>
              <w:contextualSpacing w:val="0"/>
              <w:rPr>
                <w:rFonts w:eastAsia="Times New Roman" w:cs="Times New Roman"/>
                <w:szCs w:val="20"/>
                <w:lang w:eastAsia="en-NZ"/>
              </w:rPr>
            </w:pPr>
            <w:r w:rsidRPr="0091450A">
              <w:rPr>
                <w:rFonts w:eastAsia="Times New Roman" w:cs="Times New Roman"/>
                <w:b/>
                <w:szCs w:val="20"/>
                <w:lang w:eastAsia="en-NZ"/>
              </w:rPr>
              <w:t>Finland</w:t>
            </w:r>
            <w:r w:rsidRPr="0091450A">
              <w:rPr>
                <w:rFonts w:eastAsia="Times New Roman" w:cs="Times New Roman"/>
                <w:szCs w:val="20"/>
                <w:lang w:eastAsia="en-NZ"/>
              </w:rPr>
              <w:t>: Finland worked towards a Health in All Policies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xml:space="preserve">) approach over the past four decades </w:t>
            </w:r>
            <w:r w:rsidR="00DD0089"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{"citationItems":[{"id":"ITEM-1","itemData":{"DOI":"http://dx.doi.org/10.1177/1403494812472296","ISBN":"1651-1905","container-title":"Scandinavian journal of public health","id":"ITEM-1","issue":"11 Suppl","issued":{"date-parts":[["2013"]]},"language":"English","page":"3-28","title":"Health in all policies as a priority in Finnish health policy: a case study on national health policy development","type":"article-journal","volume":"41"},"uris":["http://www.mendeley.com/documents/?uuid=9d284c97-9670-341c-98aa-aa06f32c6a69","http://www.mendeley.com/documents/?uuid=7e902071-79ea-465b-8768-667b96ee087c"]}],"mendeley":{"formattedCitation":"(285)","plainTextFormattedCitation":"(285)","previouslyFormattedCitation":"(285)"},"properties":{"noteIndex":0},"schema":"https://github.com/citation-style-language/schema/raw/master/csl-citation.json"}</w:instrText>
            </w:r>
            <w:r w:rsidR="00DD0089"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(285)</w:t>
            </w:r>
            <w:r w:rsidR="00DD0089" w:rsidRPr="0091450A">
              <w:rPr>
                <w:rFonts w:eastAsia="Times New Roman" w:cs="Times New Roman"/>
                <w:szCs w:val="20"/>
                <w:lang w:eastAsia="en-NZ"/>
              </w:rPr>
              <w:fldChar w:fldCharType="end"/>
            </w:r>
            <w:r w:rsidRPr="0091450A">
              <w:rPr>
                <w:rFonts w:eastAsia="Times New Roman" w:cs="Times New Roman"/>
                <w:szCs w:val="20"/>
                <w:lang w:eastAsia="en-NZ"/>
              </w:rPr>
              <w:t xml:space="preserve">. In the early 1970s, improving public health became a political priority, and the need to influence key determinants of health through sectors beyond the health sector became evident. The work began with </w:t>
            </w:r>
            <w:r w:rsidR="00BA3B5A">
              <w:rPr>
                <w:rFonts w:eastAsia="Times New Roman" w:cs="Times New Roman"/>
                <w:szCs w:val="20"/>
                <w:lang w:eastAsia="en-NZ"/>
              </w:rPr>
              <w:t xml:space="preserve">a </w:t>
            </w:r>
            <w:r w:rsidRPr="0091450A">
              <w:rPr>
                <w:rFonts w:eastAsia="Times New Roman" w:cs="Times New Roman"/>
                <w:szCs w:val="20"/>
                <w:lang w:eastAsia="en-NZ"/>
              </w:rPr>
              <w:t xml:space="preserve">policy on nutrition, smoking and accident prevention. Finland adopted </w:t>
            </w:r>
            <w:proofErr w:type="spellStart"/>
            <w:r w:rsidRPr="0091450A">
              <w:rPr>
                <w:rFonts w:eastAsia="Times New Roman" w:cs="Times New Roman"/>
                <w:szCs w:val="20"/>
                <w:lang w:eastAsia="en-NZ"/>
              </w:rPr>
              <w:t>HiAP</w:t>
            </w:r>
            <w:proofErr w:type="spellEnd"/>
            <w:r w:rsidRPr="0091450A">
              <w:rPr>
                <w:rFonts w:eastAsia="Times New Roman" w:cs="Times New Roman"/>
                <w:szCs w:val="20"/>
                <w:lang w:eastAsia="en-NZ"/>
              </w:rPr>
              <w:t xml:space="preserve"> as the health theme for its EU Presidency in 20</w:t>
            </w:r>
            <w:r w:rsidR="00D91C68" w:rsidRPr="0091450A">
              <w:rPr>
                <w:rFonts w:eastAsia="Times New Roman" w:cs="Times New Roman"/>
                <w:szCs w:val="20"/>
                <w:lang w:eastAsia="en-NZ"/>
              </w:rPr>
              <w:t>06</w:t>
            </w:r>
            <w:r w:rsidR="00DD0089" w:rsidRPr="0091450A">
              <w:rPr>
                <w:rFonts w:eastAsia="Times New Roman" w:cs="Times New Roman"/>
                <w:szCs w:val="20"/>
                <w:lang w:eastAsia="en-NZ"/>
              </w:rPr>
              <w:t xml:space="preserve"> </w:t>
            </w:r>
            <w:r w:rsidR="00DD0089" w:rsidRPr="0091450A">
              <w:rPr>
                <w:rFonts w:eastAsia="Times New Roman" w:cs="Times New Roman"/>
                <w:szCs w:val="20"/>
                <w:lang w:eastAsia="en-NZ"/>
              </w:rPr>
              <w:fldChar w:fldCharType="begin" w:fldLock="1"/>
            </w:r>
            <w:r w:rsidR="00EC12A7">
              <w:rPr>
                <w:rFonts w:eastAsia="Times New Roman" w:cs="Times New Roman"/>
                <w:szCs w:val="20"/>
                <w:lang w:eastAsia="en-NZ"/>
              </w:rPr>
              <w:instrText>ADDIN CSL_CITATION {"citationItems":[{"id":"ITEM-1","itemData":{"author":[{"dropping-particle":"","family":"Legislative and Governance Forum on Food Regulation","given":"","non-dropping-particle":"","parse-names":false,"suffix":""}],"id":"ITEM-1","issued":{"date-parts":[["2013"]]},"publisher":"Food Standards Australia New Zealand","title":"Policy Statement: The interpretation of public health and safety in developing, reviewing and varying food regulatory measures.","type":"report"},"uris":["http://www.mendeley.com/documents/?uuid=55d9fad6-0b94-3aec-82e2-491ea201aefa","http://www.mendeley.com/documents/?uuid=b66f5a66-82a3-4740-be05-8581e67b55d8"]}],"mendeley":{"formattedCitation":"(286)","plainTextFormattedCitation":"(286)","previouslyFormattedCitation":"(286)"},"properties":{"noteIndex":0},"schema":"https://github.com/citation-style-language/schema/raw/master/csl-citation.json"}</w:instrText>
            </w:r>
            <w:r w:rsidR="00DD0089" w:rsidRPr="0091450A">
              <w:rPr>
                <w:rFonts w:eastAsia="Times New Roman" w:cs="Times New Roman"/>
                <w:szCs w:val="20"/>
                <w:lang w:eastAsia="en-NZ"/>
              </w:rPr>
              <w:fldChar w:fldCharType="separate"/>
            </w:r>
            <w:r w:rsidR="009C4029" w:rsidRPr="009C4029">
              <w:rPr>
                <w:rFonts w:eastAsia="Times New Roman" w:cs="Times New Roman"/>
                <w:noProof/>
                <w:szCs w:val="20"/>
                <w:lang w:eastAsia="en-NZ"/>
              </w:rPr>
              <w:t>(286)</w:t>
            </w:r>
            <w:r w:rsidR="00DD0089" w:rsidRPr="0091450A">
              <w:rPr>
                <w:rFonts w:eastAsia="Times New Roman" w:cs="Times New Roman"/>
                <w:szCs w:val="20"/>
                <w:lang w:eastAsia="en-NZ"/>
              </w:rPr>
              <w:fldChar w:fldCharType="end"/>
            </w:r>
            <w:r w:rsidR="00DD0089" w:rsidRPr="0091450A">
              <w:rPr>
                <w:rFonts w:eastAsia="Times New Roman" w:cs="Times New Roman"/>
                <w:szCs w:val="20"/>
                <w:lang w:eastAsia="en-NZ"/>
              </w:rPr>
              <w:t xml:space="preserve">. </w:t>
            </w:r>
          </w:p>
          <w:p w14:paraId="328E6A4A" w14:textId="45534BE7" w:rsidR="00D91C68" w:rsidRPr="0091450A" w:rsidRDefault="00D91C68" w:rsidP="002D613F">
            <w:pPr>
              <w:keepNext/>
              <w:spacing w:before="40" w:after="40"/>
              <w:rPr>
                <w:rFonts w:eastAsia="Times New Roman" w:cs="Times New Roman"/>
                <w:szCs w:val="20"/>
                <w:lang w:eastAsia="en-NZ"/>
              </w:rPr>
            </w:pPr>
          </w:p>
        </w:tc>
      </w:tr>
    </w:tbl>
    <w:p w14:paraId="1053C226" w14:textId="77777777" w:rsidR="003B362F" w:rsidRPr="0091450A" w:rsidRDefault="003B362F" w:rsidP="002D613F">
      <w:pPr>
        <w:shd w:val="clear" w:color="auto" w:fill="FFFFFF" w:themeFill="background1"/>
        <w:spacing w:line="240" w:lineRule="auto"/>
        <w:contextualSpacing/>
        <w:rPr>
          <w:b/>
          <w:sz w:val="22"/>
        </w:rPr>
      </w:pPr>
    </w:p>
    <w:p w14:paraId="1F6FFE6E" w14:textId="77777777" w:rsidR="0022493E" w:rsidRPr="0091450A" w:rsidRDefault="0022493E" w:rsidP="002D613F">
      <w:pPr>
        <w:spacing w:line="240" w:lineRule="auto"/>
        <w:rPr>
          <w:b/>
          <w:color w:val="548DD4" w:themeColor="text2" w:themeTint="99"/>
          <w:sz w:val="32"/>
        </w:rPr>
      </w:pPr>
      <w:r w:rsidRPr="0091450A">
        <w:rPr>
          <w:sz w:val="22"/>
        </w:rPr>
        <w:br w:type="page"/>
      </w:r>
    </w:p>
    <w:p w14:paraId="6C5FF6F2" w14:textId="484E956F" w:rsidR="00E86663" w:rsidRDefault="00E86663" w:rsidP="002D613F">
      <w:pPr>
        <w:pStyle w:val="Heading1"/>
        <w:spacing w:line="240" w:lineRule="auto"/>
      </w:pPr>
      <w:bookmarkStart w:id="76" w:name="_Toc31623774"/>
      <w:r w:rsidRPr="0091450A">
        <w:lastRenderedPageBreak/>
        <w:t>References</w:t>
      </w:r>
      <w:bookmarkEnd w:id="76"/>
    </w:p>
    <w:p w14:paraId="09C7A58F" w14:textId="77777777" w:rsidR="00EC12A7" w:rsidRPr="00EC12A7" w:rsidRDefault="00EC12A7" w:rsidP="00EC12A7"/>
    <w:p w14:paraId="6F86CA36" w14:textId="5D1192ED" w:rsidR="00657137" w:rsidRPr="00657137" w:rsidRDefault="0082690E" w:rsidP="00657137">
      <w:pPr>
        <w:widowControl w:val="0"/>
        <w:autoSpaceDE w:val="0"/>
        <w:autoSpaceDN w:val="0"/>
        <w:adjustRightInd w:val="0"/>
        <w:spacing w:after="100" w:line="240" w:lineRule="auto"/>
        <w:ind w:left="640" w:hanging="640"/>
        <w:rPr>
          <w:rFonts w:ascii="Calibri" w:hAnsi="Calibri" w:cs="Calibri"/>
          <w:noProof/>
          <w:szCs w:val="24"/>
        </w:rPr>
      </w:pPr>
      <w:r w:rsidRPr="0091450A">
        <w:rPr>
          <w:rFonts w:cs="Times New Roman"/>
          <w:szCs w:val="20"/>
        </w:rPr>
        <w:fldChar w:fldCharType="begin" w:fldLock="1"/>
      </w:r>
      <w:r w:rsidRPr="0091450A">
        <w:rPr>
          <w:rFonts w:cs="Times New Roman"/>
          <w:szCs w:val="20"/>
        </w:rPr>
        <w:instrText xml:space="preserve">ADDIN Mendeley Bibliography CSL_BIBLIOGRAPHY </w:instrText>
      </w:r>
      <w:r w:rsidRPr="0091450A">
        <w:rPr>
          <w:rFonts w:cs="Times New Roman"/>
          <w:szCs w:val="20"/>
        </w:rPr>
        <w:fldChar w:fldCharType="separate"/>
      </w:r>
      <w:r w:rsidR="00657137" w:rsidRPr="00657137">
        <w:rPr>
          <w:rFonts w:ascii="Calibri" w:hAnsi="Calibri" w:cs="Calibri"/>
          <w:noProof/>
          <w:szCs w:val="24"/>
        </w:rPr>
        <w:t xml:space="preserve">1. </w:t>
      </w:r>
      <w:r w:rsidR="00657137" w:rsidRPr="00657137">
        <w:rPr>
          <w:rFonts w:ascii="Calibri" w:hAnsi="Calibri" w:cs="Calibri"/>
          <w:noProof/>
          <w:szCs w:val="24"/>
        </w:rPr>
        <w:tab/>
        <w:t xml:space="preserve">Nestle. </w:t>
      </w:r>
      <w:r w:rsidR="00657137" w:rsidRPr="00657137">
        <w:rPr>
          <w:rFonts w:ascii="Calibri" w:hAnsi="Calibri" w:cs="Calibri"/>
          <w:i/>
          <w:iCs/>
          <w:noProof/>
          <w:szCs w:val="24"/>
        </w:rPr>
        <w:t>Supporting a healthy future</w:t>
      </w:r>
      <w:r w:rsidR="00657137" w:rsidRPr="00657137">
        <w:rPr>
          <w:rFonts w:ascii="Calibri" w:hAnsi="Calibri" w:cs="Calibri"/>
          <w:noProof/>
          <w:szCs w:val="24"/>
        </w:rPr>
        <w:t xml:space="preserve"> [Internet]. Available from: https://www.nestle.co.nz/csv/nutrition/Supporting-a-Healthy-Future</w:t>
      </w:r>
    </w:p>
    <w:p w14:paraId="2108618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 </w:t>
      </w:r>
      <w:r w:rsidRPr="00657137">
        <w:rPr>
          <w:rFonts w:ascii="Calibri" w:hAnsi="Calibri" w:cs="Calibri"/>
          <w:noProof/>
          <w:szCs w:val="24"/>
        </w:rPr>
        <w:tab/>
        <w:t xml:space="preserve">Fonterra. </w:t>
      </w:r>
      <w:r w:rsidRPr="00657137">
        <w:rPr>
          <w:rFonts w:ascii="Calibri" w:hAnsi="Calibri" w:cs="Calibri"/>
          <w:i/>
          <w:iCs/>
          <w:noProof/>
          <w:szCs w:val="24"/>
        </w:rPr>
        <w:t>Healthy Kids Pledge | Fonterra Co-operative Group</w:t>
      </w:r>
      <w:r w:rsidRPr="00657137">
        <w:rPr>
          <w:rFonts w:ascii="Calibri" w:hAnsi="Calibri" w:cs="Calibri"/>
          <w:noProof/>
          <w:szCs w:val="24"/>
        </w:rPr>
        <w:t xml:space="preserve"> [Internet]. 2018 [cited 2020 Jan 15]. Available from: https://www.fonterra.com/nz/en/what-we-stand-for/nutrition/healthy-kids-pledge.html</w:t>
      </w:r>
    </w:p>
    <w:p w14:paraId="5992E8F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 </w:t>
      </w:r>
      <w:r w:rsidRPr="00657137">
        <w:rPr>
          <w:rFonts w:ascii="Calibri" w:hAnsi="Calibri" w:cs="Calibri"/>
          <w:noProof/>
          <w:szCs w:val="24"/>
        </w:rPr>
        <w:tab/>
        <w:t xml:space="preserve">Retail New Zealand. </w:t>
      </w:r>
      <w:r w:rsidRPr="00657137">
        <w:rPr>
          <w:rFonts w:ascii="Calibri" w:hAnsi="Calibri" w:cs="Calibri"/>
          <w:i/>
          <w:iCs/>
          <w:noProof/>
          <w:szCs w:val="24"/>
        </w:rPr>
        <w:t>Reducing childhood obesity pledge</w:t>
      </w:r>
      <w:r w:rsidRPr="00657137">
        <w:rPr>
          <w:rFonts w:ascii="Calibri" w:hAnsi="Calibri" w:cs="Calibri"/>
          <w:noProof/>
          <w:szCs w:val="24"/>
        </w:rPr>
        <w:t xml:space="preserve"> [Internet]. 2016. Available from: http://www.retail.kiwi/advocacy/food-and-drink-issues/reducing-childhood-obesity-pledge</w:t>
      </w:r>
    </w:p>
    <w:p w14:paraId="73FF180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 </w:t>
      </w:r>
      <w:r w:rsidRPr="00657137">
        <w:rPr>
          <w:rFonts w:ascii="Calibri" w:hAnsi="Calibri" w:cs="Calibri"/>
          <w:noProof/>
          <w:szCs w:val="24"/>
        </w:rPr>
        <w:tab/>
        <w:t xml:space="preserve">Countdown. </w:t>
      </w:r>
      <w:r w:rsidRPr="00657137">
        <w:rPr>
          <w:rFonts w:ascii="Calibri" w:hAnsi="Calibri" w:cs="Calibri"/>
          <w:i/>
          <w:iCs/>
          <w:noProof/>
          <w:szCs w:val="24"/>
        </w:rPr>
        <w:t>Countdown’s Health and NutritionTargets</w:t>
      </w:r>
      <w:r w:rsidRPr="00657137">
        <w:rPr>
          <w:rFonts w:ascii="Calibri" w:hAnsi="Calibri" w:cs="Calibri"/>
          <w:noProof/>
          <w:szCs w:val="24"/>
        </w:rPr>
        <w:t xml:space="preserve"> [Internet]. 2017. Available from: https://www.countdown.co.nz/community-environment/countdowns-health-and-nutrition-targets</w:t>
      </w:r>
    </w:p>
    <w:p w14:paraId="1C4A94E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 </w:t>
      </w:r>
      <w:r w:rsidRPr="00657137">
        <w:rPr>
          <w:rFonts w:ascii="Calibri" w:hAnsi="Calibri" w:cs="Calibri"/>
          <w:noProof/>
          <w:szCs w:val="24"/>
        </w:rPr>
        <w:tab/>
        <w:t xml:space="preserve">The Coca-Cola Company. </w:t>
      </w:r>
      <w:r w:rsidRPr="00657137">
        <w:rPr>
          <w:rFonts w:ascii="Calibri" w:hAnsi="Calibri" w:cs="Calibri"/>
          <w:i/>
          <w:iCs/>
          <w:noProof/>
          <w:szCs w:val="24"/>
        </w:rPr>
        <w:t>Coca-Cola joins industry healthy kids pledge</w:t>
      </w:r>
      <w:r w:rsidRPr="00657137">
        <w:rPr>
          <w:rFonts w:ascii="Calibri" w:hAnsi="Calibri" w:cs="Calibri"/>
          <w:noProof/>
          <w:szCs w:val="24"/>
        </w:rPr>
        <w:t xml:space="preserve"> [Internet]. 2017. Available from: http://www.coca-colajourney.co.nz/media-centre/press-releases/coca-cola-joins-industry-healthy-kids-pledge</w:t>
      </w:r>
    </w:p>
    <w:p w14:paraId="743EFDD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 </w:t>
      </w:r>
      <w:r w:rsidRPr="00657137">
        <w:rPr>
          <w:rFonts w:ascii="Calibri" w:hAnsi="Calibri" w:cs="Calibri"/>
          <w:noProof/>
          <w:szCs w:val="24"/>
        </w:rPr>
        <w:tab/>
        <w:t xml:space="preserve">Heart Foundation. </w:t>
      </w:r>
      <w:r w:rsidRPr="00657137">
        <w:rPr>
          <w:rFonts w:ascii="Calibri" w:hAnsi="Calibri" w:cs="Calibri"/>
          <w:i/>
          <w:iCs/>
          <w:noProof/>
          <w:szCs w:val="24"/>
        </w:rPr>
        <w:t>Heart Foundation Food Reformulation Targets</w:t>
      </w:r>
      <w:r w:rsidRPr="00657137">
        <w:rPr>
          <w:rFonts w:ascii="Calibri" w:hAnsi="Calibri" w:cs="Calibri"/>
          <w:noProof/>
          <w:szCs w:val="24"/>
        </w:rPr>
        <w:t xml:space="preserve">. 2018. </w:t>
      </w:r>
    </w:p>
    <w:p w14:paraId="2F9DFDF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Technical evaluation for recommendation 13 (trans fatty acids)</w:t>
      </w:r>
      <w:r w:rsidRPr="00657137">
        <w:rPr>
          <w:rFonts w:ascii="Calibri" w:hAnsi="Calibri" w:cs="Calibri"/>
          <w:noProof/>
          <w:szCs w:val="24"/>
        </w:rPr>
        <w:t xml:space="preserve"> [Internet]. 2015. Available from: http://www.foodstandards.govt.nz/consumer/labelling/review/Pages/Technical-evaluation-for-recommendation-13-%28trans-fatty-acids%29-.aspx</w:t>
      </w:r>
    </w:p>
    <w:p w14:paraId="5B25088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 </w:t>
      </w:r>
      <w:r w:rsidRPr="00657137">
        <w:rPr>
          <w:rFonts w:ascii="Calibri" w:hAnsi="Calibri" w:cs="Calibri"/>
          <w:noProof/>
          <w:szCs w:val="24"/>
        </w:rPr>
        <w:tab/>
        <w:t xml:space="preserve">Public Health England. </w:t>
      </w:r>
      <w:r w:rsidRPr="00657137">
        <w:rPr>
          <w:rFonts w:ascii="Calibri" w:hAnsi="Calibri" w:cs="Calibri"/>
          <w:i/>
          <w:iCs/>
          <w:noProof/>
          <w:szCs w:val="24"/>
        </w:rPr>
        <w:t>Sugar reduction. Report on progress between 2015 and 2018.</w:t>
      </w:r>
      <w:r w:rsidRPr="00657137">
        <w:rPr>
          <w:rFonts w:ascii="Calibri" w:hAnsi="Calibri" w:cs="Calibri"/>
          <w:noProof/>
          <w:szCs w:val="24"/>
        </w:rPr>
        <w:t xml:space="preserve"> 2019. </w:t>
      </w:r>
    </w:p>
    <w:p w14:paraId="36C42EE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 </w:t>
      </w:r>
      <w:r w:rsidRPr="00657137">
        <w:rPr>
          <w:rFonts w:ascii="Calibri" w:hAnsi="Calibri" w:cs="Calibri"/>
          <w:noProof/>
          <w:szCs w:val="24"/>
        </w:rPr>
        <w:tab/>
        <w:t xml:space="preserve">Public Health England. </w:t>
      </w:r>
      <w:r w:rsidRPr="00657137">
        <w:rPr>
          <w:rFonts w:ascii="Calibri" w:hAnsi="Calibri" w:cs="Calibri"/>
          <w:i/>
          <w:iCs/>
          <w:noProof/>
          <w:szCs w:val="24"/>
        </w:rPr>
        <w:t>Sugar Reduction Programme. Progress made by industry in the first year.</w:t>
      </w:r>
      <w:r w:rsidRPr="00657137">
        <w:rPr>
          <w:rFonts w:ascii="Calibri" w:hAnsi="Calibri" w:cs="Calibri"/>
          <w:noProof/>
          <w:szCs w:val="24"/>
        </w:rPr>
        <w:t xml:space="preserve"> 2018. </w:t>
      </w:r>
    </w:p>
    <w:p w14:paraId="1F483F4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 </w:t>
      </w:r>
      <w:r w:rsidRPr="00657137">
        <w:rPr>
          <w:rFonts w:ascii="Calibri" w:hAnsi="Calibri" w:cs="Calibri"/>
          <w:noProof/>
          <w:szCs w:val="24"/>
        </w:rPr>
        <w:tab/>
        <w:t xml:space="preserve">Allemandi L, Tiscornia M V, Ponce M, Castronuovo L, Dunford E, Schoj V. </w:t>
      </w:r>
      <w:r w:rsidRPr="00657137">
        <w:rPr>
          <w:rFonts w:ascii="Calibri" w:hAnsi="Calibri" w:cs="Calibri"/>
          <w:i/>
          <w:iCs/>
          <w:noProof/>
          <w:szCs w:val="24"/>
        </w:rPr>
        <w:t>Sodium content in processed foods in Argentina: compliance with the national law</w:t>
      </w:r>
      <w:r w:rsidRPr="00657137">
        <w:rPr>
          <w:rFonts w:ascii="Calibri" w:hAnsi="Calibri" w:cs="Calibri"/>
          <w:noProof/>
          <w:szCs w:val="24"/>
        </w:rPr>
        <w:t>. Cardiovasc Diagn Ther [Internet]. 2015;5(3):197–206. Available from: http://www.ncbi.nlm.nih.gov/pubmed/26090331</w:t>
      </w:r>
    </w:p>
    <w:p w14:paraId="31B0DEE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Improving the food supply</w:t>
      </w:r>
      <w:r w:rsidRPr="00657137">
        <w:rPr>
          <w:rFonts w:ascii="Calibri" w:hAnsi="Calibri" w:cs="Calibri"/>
          <w:noProof/>
          <w:szCs w:val="24"/>
        </w:rPr>
        <w:t xml:space="preserve"> [Internet]. World Cancer Research Fund; 2016. Available from: http://www.wcrf.org/int/policy/nourishing-framework/improve-food-supply</w:t>
      </w:r>
    </w:p>
    <w:p w14:paraId="69637E9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 </w:t>
      </w:r>
      <w:r w:rsidRPr="00657137">
        <w:rPr>
          <w:rFonts w:ascii="Calibri" w:hAnsi="Calibri" w:cs="Calibri"/>
          <w:noProof/>
          <w:szCs w:val="24"/>
        </w:rPr>
        <w:tab/>
        <w:t xml:space="preserve">Ministerio de Salud. </w:t>
      </w:r>
      <w:r w:rsidRPr="00657137">
        <w:rPr>
          <w:rFonts w:ascii="Calibri" w:hAnsi="Calibri" w:cs="Calibri"/>
          <w:i/>
          <w:iCs/>
          <w:noProof/>
          <w:szCs w:val="24"/>
        </w:rPr>
        <w:t>Ley 26.905 Consumo de sodio. Valores Máximos.</w:t>
      </w:r>
      <w:r w:rsidRPr="00657137">
        <w:rPr>
          <w:rFonts w:ascii="Calibri" w:hAnsi="Calibri" w:cs="Calibri"/>
          <w:noProof/>
          <w:szCs w:val="24"/>
        </w:rPr>
        <w:t xml:space="preserve"> [Internet]. 2013. Available from: http://www.msal.gob.ar/ent/images/stories/programas/pdf/2014-08_Ley26905-Ley-Sodio.pdf</w:t>
      </w:r>
    </w:p>
    <w:p w14:paraId="28FCFFD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 </w:t>
      </w:r>
      <w:r w:rsidRPr="00657137">
        <w:rPr>
          <w:rFonts w:ascii="Calibri" w:hAnsi="Calibri" w:cs="Calibri"/>
          <w:noProof/>
          <w:szCs w:val="24"/>
        </w:rPr>
        <w:tab/>
        <w:t xml:space="preserve">Hofman KJ, Tollman SM. </w:t>
      </w:r>
      <w:r w:rsidRPr="00657137">
        <w:rPr>
          <w:rFonts w:ascii="Calibri" w:hAnsi="Calibri" w:cs="Calibri"/>
          <w:i/>
          <w:iCs/>
          <w:noProof/>
          <w:szCs w:val="24"/>
        </w:rPr>
        <w:t>Population health in South Africa: a view from the salt mines</w:t>
      </w:r>
      <w:r w:rsidRPr="00657137">
        <w:rPr>
          <w:rFonts w:ascii="Calibri" w:hAnsi="Calibri" w:cs="Calibri"/>
          <w:noProof/>
          <w:szCs w:val="24"/>
        </w:rPr>
        <w:t>. Lancet Glob Heal [Internet]. 2013;1(2):e66-7. Available from: http://www.ncbi.nlm.nih.gov/pubmed/25104152</w:t>
      </w:r>
    </w:p>
    <w:p w14:paraId="0CEF946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 </w:t>
      </w:r>
      <w:r w:rsidRPr="00657137">
        <w:rPr>
          <w:rFonts w:ascii="Calibri" w:hAnsi="Calibri" w:cs="Calibri"/>
          <w:noProof/>
          <w:szCs w:val="24"/>
        </w:rPr>
        <w:tab/>
        <w:t xml:space="preserve">Department of Health. </w:t>
      </w:r>
      <w:r w:rsidRPr="00657137">
        <w:rPr>
          <w:rFonts w:ascii="Calibri" w:hAnsi="Calibri" w:cs="Calibri"/>
          <w:i/>
          <w:iCs/>
          <w:noProof/>
          <w:szCs w:val="24"/>
        </w:rPr>
        <w:t>Regulations relating to the reduction of sodium in certain foodstuffs and related matters</w:t>
      </w:r>
      <w:r w:rsidRPr="00657137">
        <w:rPr>
          <w:rFonts w:ascii="Calibri" w:hAnsi="Calibri" w:cs="Calibri"/>
          <w:noProof/>
          <w:szCs w:val="24"/>
        </w:rPr>
        <w:t xml:space="preserve"> [Internet]. Staatskoerant; 2013. Available from: http://www.heartfoundation.co.za/sites/default/files/articles/South Africa salt legislation.pdf</w:t>
      </w:r>
    </w:p>
    <w:p w14:paraId="5E1DF1B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 </w:t>
      </w:r>
      <w:r w:rsidRPr="00657137">
        <w:rPr>
          <w:rFonts w:ascii="Calibri" w:hAnsi="Calibri" w:cs="Calibri"/>
          <w:noProof/>
          <w:szCs w:val="24"/>
        </w:rPr>
        <w:tab/>
        <w:t xml:space="preserve">Chauliac M, Hercberg S. </w:t>
      </w:r>
      <w:r w:rsidRPr="00657137">
        <w:rPr>
          <w:rFonts w:ascii="Calibri" w:hAnsi="Calibri" w:cs="Calibri"/>
          <w:i/>
          <w:iCs/>
          <w:noProof/>
          <w:szCs w:val="24"/>
        </w:rPr>
        <w:t>Changing the food environment: the French experience</w:t>
      </w:r>
      <w:r w:rsidRPr="00657137">
        <w:rPr>
          <w:rFonts w:ascii="Calibri" w:hAnsi="Calibri" w:cs="Calibri"/>
          <w:noProof/>
          <w:szCs w:val="24"/>
        </w:rPr>
        <w:t>. Adv Nutr [Internet]. 2012;3(4):605S-610S. Available from: http://www.ncbi.nlm.nih.gov/pubmed/22798000</w:t>
      </w:r>
    </w:p>
    <w:p w14:paraId="3DCEC45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 </w:t>
      </w:r>
      <w:r w:rsidRPr="00657137">
        <w:rPr>
          <w:rFonts w:ascii="Calibri" w:hAnsi="Calibri" w:cs="Calibri"/>
          <w:noProof/>
          <w:szCs w:val="24"/>
        </w:rPr>
        <w:tab/>
        <w:t xml:space="preserve">The Chip Group. </w:t>
      </w:r>
      <w:r w:rsidRPr="00657137">
        <w:rPr>
          <w:rFonts w:ascii="Calibri" w:hAnsi="Calibri" w:cs="Calibri"/>
          <w:i/>
          <w:iCs/>
          <w:noProof/>
          <w:szCs w:val="24"/>
        </w:rPr>
        <w:t>The Chip Group. Helping you to make better chips</w:t>
      </w:r>
      <w:r w:rsidRPr="00657137">
        <w:rPr>
          <w:rFonts w:ascii="Calibri" w:hAnsi="Calibri" w:cs="Calibri"/>
          <w:noProof/>
          <w:szCs w:val="24"/>
        </w:rPr>
        <w:t xml:space="preserve"> [Internet]. Available from: http://blog.thechipgroup.co.nz/</w:t>
      </w:r>
    </w:p>
    <w:p w14:paraId="404EDC5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 </w:t>
      </w:r>
      <w:r w:rsidRPr="00657137">
        <w:rPr>
          <w:rFonts w:ascii="Calibri" w:hAnsi="Calibri" w:cs="Calibri"/>
          <w:noProof/>
          <w:szCs w:val="24"/>
        </w:rPr>
        <w:tab/>
        <w:t xml:space="preserve">The Chip Group. </w:t>
      </w:r>
      <w:r w:rsidRPr="00657137">
        <w:rPr>
          <w:rFonts w:ascii="Calibri" w:hAnsi="Calibri" w:cs="Calibri"/>
          <w:i/>
          <w:iCs/>
          <w:noProof/>
          <w:szCs w:val="24"/>
        </w:rPr>
        <w:t>About the competitions - The Chip Group</w:t>
      </w:r>
      <w:r w:rsidRPr="00657137">
        <w:rPr>
          <w:rFonts w:ascii="Calibri" w:hAnsi="Calibri" w:cs="Calibri"/>
          <w:noProof/>
          <w:szCs w:val="24"/>
        </w:rPr>
        <w:t xml:space="preserve"> [Internet]. 2019 [cited 2020 Jan 30]. Available from: https://thechipgroup.co.nz/best-chip-shop-2019/about-the-competition/</w:t>
      </w:r>
    </w:p>
    <w:p w14:paraId="2C67482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 </w:t>
      </w:r>
      <w:r w:rsidRPr="00657137">
        <w:rPr>
          <w:rFonts w:ascii="Calibri" w:hAnsi="Calibri" w:cs="Calibri"/>
          <w:noProof/>
          <w:szCs w:val="24"/>
        </w:rPr>
        <w:tab/>
        <w:t xml:space="preserve">New York City Health. </w:t>
      </w:r>
      <w:r w:rsidRPr="00657137">
        <w:rPr>
          <w:rFonts w:ascii="Calibri" w:hAnsi="Calibri" w:cs="Calibri"/>
          <w:i/>
          <w:iCs/>
          <w:noProof/>
          <w:szCs w:val="24"/>
        </w:rPr>
        <w:t>National Salt Reduction Initiative (NSRI)</w:t>
      </w:r>
      <w:r w:rsidRPr="00657137">
        <w:rPr>
          <w:rFonts w:ascii="Calibri" w:hAnsi="Calibri" w:cs="Calibri"/>
          <w:noProof/>
          <w:szCs w:val="24"/>
        </w:rPr>
        <w:t xml:space="preserve"> [Internet]. 2017. Available from: https://www1.nyc.gov/site/doh/health/health-topics/national-salt-reduction-initiative.page</w:t>
      </w:r>
    </w:p>
    <w:p w14:paraId="1146C3A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 </w:t>
      </w:r>
      <w:r w:rsidRPr="00657137">
        <w:rPr>
          <w:rFonts w:ascii="Calibri" w:hAnsi="Calibri" w:cs="Calibri"/>
          <w:noProof/>
          <w:szCs w:val="24"/>
        </w:rPr>
        <w:tab/>
      </w:r>
      <w:r w:rsidRPr="00657137">
        <w:rPr>
          <w:rFonts w:ascii="Calibri" w:hAnsi="Calibri" w:cs="Calibri"/>
          <w:i/>
          <w:iCs/>
          <w:noProof/>
          <w:szCs w:val="24"/>
        </w:rPr>
        <w:t>National Agreement to improve Product Composition</w:t>
      </w:r>
      <w:r w:rsidRPr="00657137">
        <w:rPr>
          <w:rFonts w:ascii="Calibri" w:hAnsi="Calibri" w:cs="Calibri"/>
          <w:noProof/>
          <w:szCs w:val="24"/>
        </w:rPr>
        <w:t xml:space="preserve"> [Internet]. 2017. Available from: http://www.akkoordverbeteringproductsamenstelling.nl/dsresource?type=pdf&amp;disposition=inline&amp;objectid=rivmp:303682&amp;versionid=&amp;subobjectname=</w:t>
      </w:r>
    </w:p>
    <w:p w14:paraId="62CC90D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 </w:t>
      </w:r>
      <w:r w:rsidRPr="00657137">
        <w:rPr>
          <w:rFonts w:ascii="Calibri" w:hAnsi="Calibri" w:cs="Calibri"/>
          <w:noProof/>
          <w:szCs w:val="24"/>
        </w:rPr>
        <w:tab/>
        <w:t xml:space="preserve">New Zealand Government. </w:t>
      </w:r>
      <w:r w:rsidRPr="00657137">
        <w:rPr>
          <w:rFonts w:ascii="Calibri" w:hAnsi="Calibri" w:cs="Calibri"/>
          <w:i/>
          <w:iCs/>
          <w:noProof/>
          <w:szCs w:val="24"/>
        </w:rPr>
        <w:t>Codex | NZ Food Safety |</w:t>
      </w:r>
      <w:r w:rsidRPr="00657137">
        <w:rPr>
          <w:rFonts w:ascii="Calibri" w:hAnsi="Calibri" w:cs="Calibri"/>
          <w:noProof/>
          <w:szCs w:val="24"/>
        </w:rPr>
        <w:t xml:space="preserve"> [Internet]. 2019 [cited 2020 Jan 15]. Available from: https://www.mpi.govt.nz/law-and-policy/legal-overviews/food-safety/codex/</w:t>
      </w:r>
    </w:p>
    <w:p w14:paraId="5CDD8AA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21.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Australia New Zealand Food Standards Code</w:t>
      </w:r>
      <w:r w:rsidRPr="00657137">
        <w:rPr>
          <w:rFonts w:ascii="Calibri" w:hAnsi="Calibri" w:cs="Calibri"/>
          <w:noProof/>
          <w:szCs w:val="24"/>
        </w:rPr>
        <w:t xml:space="preserve"> [Internet]. Available from: http://www.foodstandards.gov.au/code/Pages/default.aspx</w:t>
      </w:r>
    </w:p>
    <w:p w14:paraId="3A1C2C5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 </w:t>
      </w:r>
      <w:r w:rsidRPr="00657137">
        <w:rPr>
          <w:rFonts w:ascii="Calibri" w:hAnsi="Calibri" w:cs="Calibri"/>
          <w:noProof/>
          <w:szCs w:val="24"/>
        </w:rPr>
        <w:tab/>
        <w:t xml:space="preserve">Australian Government. </w:t>
      </w:r>
      <w:r w:rsidRPr="00657137">
        <w:rPr>
          <w:rFonts w:ascii="Calibri" w:hAnsi="Calibri" w:cs="Calibri"/>
          <w:i/>
          <w:iCs/>
          <w:noProof/>
          <w:szCs w:val="24"/>
        </w:rPr>
        <w:t>Australia New Zealand Food Standards Code</w:t>
      </w:r>
      <w:r w:rsidRPr="00657137">
        <w:rPr>
          <w:rFonts w:ascii="Calibri" w:hAnsi="Calibri" w:cs="Calibri"/>
          <w:noProof/>
          <w:szCs w:val="24"/>
        </w:rPr>
        <w:t xml:space="preserve"> [Internet]. Available from: http://www.comlaw.gov.au/Search/Australia New Zealand Food Standards</w:t>
      </w:r>
    </w:p>
    <w:p w14:paraId="65DEB88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Food Standards Code</w:t>
      </w:r>
      <w:r w:rsidRPr="00657137">
        <w:rPr>
          <w:rFonts w:ascii="Calibri" w:hAnsi="Calibri" w:cs="Calibri"/>
          <w:noProof/>
          <w:szCs w:val="24"/>
        </w:rPr>
        <w:t xml:space="preserve"> [Internet]. 2019 [cited 2020 Jan 30]. Available from: https://www.foodstandards.govt.nz/code/Pages/default.aspx</w:t>
      </w:r>
    </w:p>
    <w:p w14:paraId="2C59536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 </w:t>
      </w:r>
      <w:r w:rsidRPr="00657137">
        <w:rPr>
          <w:rFonts w:ascii="Calibri" w:hAnsi="Calibri" w:cs="Calibri"/>
          <w:noProof/>
          <w:szCs w:val="24"/>
        </w:rPr>
        <w:tab/>
        <w:t xml:space="preserve">Australia and New Zealand Food Regulation Ministerial Council. </w:t>
      </w:r>
      <w:r w:rsidRPr="00657137">
        <w:rPr>
          <w:rFonts w:ascii="Calibri" w:hAnsi="Calibri" w:cs="Calibri"/>
          <w:i/>
          <w:iCs/>
          <w:noProof/>
          <w:szCs w:val="24"/>
        </w:rPr>
        <w:t>Labelling Logic - the Final Report of the Review of Food Labelling Law and Policy</w:t>
      </w:r>
      <w:r w:rsidRPr="00657137">
        <w:rPr>
          <w:rFonts w:ascii="Calibri" w:hAnsi="Calibri" w:cs="Calibri"/>
          <w:noProof/>
          <w:szCs w:val="24"/>
        </w:rPr>
        <w:t xml:space="preserve"> [Internet]. 2011. Available from: http://foodregulation.gov.au/internet/fr/publishing.nsf/Content/Review-of-food-labelling</w:t>
      </w:r>
    </w:p>
    <w:p w14:paraId="79E274A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Labelling review</w:t>
      </w:r>
      <w:r w:rsidRPr="00657137">
        <w:rPr>
          <w:rFonts w:ascii="Calibri" w:hAnsi="Calibri" w:cs="Calibri"/>
          <w:noProof/>
          <w:szCs w:val="24"/>
        </w:rPr>
        <w:t xml:space="preserve"> [Internet]. Food Standards Code. 2017 [cited 2020 Feb 4]. Available from: https://www.foodstandards.govt.nz/consumer/labelling/review/Pages/default.aspx</w:t>
      </w:r>
    </w:p>
    <w:p w14:paraId="7FA1443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 </w:t>
      </w:r>
      <w:r w:rsidRPr="00657137">
        <w:rPr>
          <w:rFonts w:ascii="Calibri" w:hAnsi="Calibri" w:cs="Calibri"/>
          <w:noProof/>
          <w:szCs w:val="24"/>
        </w:rPr>
        <w:tab/>
        <w:t xml:space="preserve">Food Regulation. </w:t>
      </w:r>
      <w:r w:rsidRPr="00657137">
        <w:rPr>
          <w:rFonts w:ascii="Calibri" w:hAnsi="Calibri" w:cs="Calibri"/>
          <w:i/>
          <w:iCs/>
          <w:noProof/>
          <w:szCs w:val="24"/>
        </w:rPr>
        <w:t>Food Regulation - Sugar Labelling</w:t>
      </w:r>
      <w:r w:rsidRPr="00657137">
        <w:rPr>
          <w:rFonts w:ascii="Calibri" w:hAnsi="Calibri" w:cs="Calibri"/>
          <w:noProof/>
          <w:szCs w:val="24"/>
        </w:rPr>
        <w:t xml:space="preserve"> [Internet]. 2019 [cited 2020 Jan 20]. Available from: https://foodregulation.gov.au/internet/fr/publishing.nsf/Content/sugar-labelling</w:t>
      </w:r>
    </w:p>
    <w:p w14:paraId="68C3CCD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 </w:t>
      </w:r>
      <w:r w:rsidRPr="00657137">
        <w:rPr>
          <w:rFonts w:ascii="Calibri" w:hAnsi="Calibri" w:cs="Calibri"/>
          <w:noProof/>
          <w:szCs w:val="24"/>
        </w:rPr>
        <w:tab/>
        <w:t xml:space="preserve">Australian Government Department of Health. </w:t>
      </w:r>
      <w:r w:rsidRPr="00657137">
        <w:rPr>
          <w:rFonts w:ascii="Calibri" w:hAnsi="Calibri" w:cs="Calibri"/>
          <w:i/>
          <w:iCs/>
          <w:noProof/>
          <w:szCs w:val="24"/>
        </w:rPr>
        <w:t>Current activities of Food Regulation System</w:t>
      </w:r>
      <w:r w:rsidRPr="00657137">
        <w:rPr>
          <w:rFonts w:ascii="Calibri" w:hAnsi="Calibri" w:cs="Calibri"/>
          <w:noProof/>
          <w:szCs w:val="24"/>
        </w:rPr>
        <w:t xml:space="preserve">. 2019; </w:t>
      </w:r>
    </w:p>
    <w:p w14:paraId="3A958D7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 </w:t>
      </w:r>
      <w:r w:rsidRPr="00657137">
        <w:rPr>
          <w:rFonts w:ascii="Calibri" w:hAnsi="Calibri" w:cs="Calibri"/>
          <w:noProof/>
          <w:szCs w:val="24"/>
        </w:rPr>
        <w:tab/>
        <w:t xml:space="preserve">Clark DHD, O’Connor DHD. </w:t>
      </w:r>
      <w:r w:rsidRPr="00657137">
        <w:rPr>
          <w:rFonts w:ascii="Calibri" w:hAnsi="Calibri" w:cs="Calibri"/>
          <w:i/>
          <w:iCs/>
          <w:noProof/>
          <w:szCs w:val="24"/>
        </w:rPr>
        <w:t xml:space="preserve">Government response to the Food Industry Taskforce’s Report </w:t>
      </w:r>
      <w:r w:rsidRPr="00657137">
        <w:rPr>
          <w:rFonts w:ascii="Calibri" w:hAnsi="Calibri" w:cs="Calibri"/>
          <w:noProof/>
          <w:szCs w:val="24"/>
        </w:rPr>
        <w:t xml:space="preserve">. Wellington; 2018. </w:t>
      </w:r>
    </w:p>
    <w:p w14:paraId="1660439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29. </w:t>
      </w:r>
      <w:r w:rsidRPr="00657137">
        <w:rPr>
          <w:rFonts w:ascii="Calibri" w:hAnsi="Calibri" w:cs="Calibri"/>
          <w:noProof/>
          <w:szCs w:val="24"/>
        </w:rPr>
        <w:tab/>
        <w:t xml:space="preserve">Food Standards Australia and New Zealand. </w:t>
      </w:r>
      <w:r w:rsidRPr="00657137">
        <w:rPr>
          <w:rFonts w:ascii="Calibri" w:hAnsi="Calibri" w:cs="Calibri"/>
          <w:i/>
          <w:iCs/>
          <w:noProof/>
          <w:szCs w:val="24"/>
        </w:rPr>
        <w:t>Sugar Labelling</w:t>
      </w:r>
      <w:r w:rsidRPr="00657137">
        <w:rPr>
          <w:rFonts w:ascii="Calibri" w:hAnsi="Calibri" w:cs="Calibri"/>
          <w:noProof/>
          <w:szCs w:val="24"/>
        </w:rPr>
        <w:t xml:space="preserve"> [Internet]. FSANZ. 2019 [cited 2020 Feb 7]. Available from: https://www.foodstandards.gov.au/consumer/labelling/Pages/Sugar-labelling.aspx</w:t>
      </w:r>
    </w:p>
    <w:p w14:paraId="060E481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30. </w:t>
      </w:r>
      <w:r w:rsidRPr="00657137">
        <w:rPr>
          <w:rFonts w:ascii="Calibri" w:hAnsi="Calibri" w:cs="Calibri"/>
          <w:noProof/>
          <w:szCs w:val="24"/>
        </w:rPr>
        <w:tab/>
        <w:t xml:space="preserve">Food Regulation. </w:t>
      </w:r>
      <w:r w:rsidRPr="00657137">
        <w:rPr>
          <w:rFonts w:ascii="Calibri" w:hAnsi="Calibri" w:cs="Calibri"/>
          <w:i/>
          <w:iCs/>
          <w:noProof/>
          <w:szCs w:val="24"/>
        </w:rPr>
        <w:t>Energy labelling of alcoholic beverages</w:t>
      </w:r>
      <w:r w:rsidRPr="00657137">
        <w:rPr>
          <w:rFonts w:ascii="Calibri" w:hAnsi="Calibri" w:cs="Calibri"/>
          <w:noProof/>
          <w:szCs w:val="24"/>
        </w:rPr>
        <w:t xml:space="preserve"> [Internet]. 2017 [cited 2020 Feb 7]. Available from: https://www1.health.gov.au/internet/fr/publishing.nsf/Content/activities-energy-labelling</w:t>
      </w:r>
    </w:p>
    <w:p w14:paraId="6CF01F0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31.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Nutrition labels</w:t>
      </w:r>
      <w:r w:rsidRPr="00657137">
        <w:rPr>
          <w:rFonts w:ascii="Calibri" w:hAnsi="Calibri" w:cs="Calibri"/>
          <w:noProof/>
          <w:szCs w:val="24"/>
        </w:rPr>
        <w:t xml:space="preserve"> [Internet]. World Cancer Research Fund; 2016. Available from: http://www.wcrf.org/int/policy/nourishing-framework/nutrition-labels</w:t>
      </w:r>
    </w:p>
    <w:p w14:paraId="52E226E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32. </w:t>
      </w:r>
      <w:r w:rsidRPr="00657137">
        <w:rPr>
          <w:rFonts w:ascii="Calibri" w:hAnsi="Calibri" w:cs="Calibri"/>
          <w:noProof/>
          <w:szCs w:val="24"/>
        </w:rPr>
        <w:tab/>
        <w:t xml:space="preserve">Federal Register of Legislation. </w:t>
      </w:r>
      <w:r w:rsidRPr="00657137">
        <w:rPr>
          <w:rFonts w:ascii="Calibri" w:hAnsi="Calibri" w:cs="Calibri"/>
          <w:i/>
          <w:iCs/>
          <w:noProof/>
          <w:szCs w:val="24"/>
        </w:rPr>
        <w:t>Australia New Zealand Food Standards Code – Standard 1.2.7 – Nutrition, health and related claims</w:t>
      </w:r>
      <w:r w:rsidRPr="00657137">
        <w:rPr>
          <w:rFonts w:ascii="Calibri" w:hAnsi="Calibri" w:cs="Calibri"/>
          <w:noProof/>
          <w:szCs w:val="24"/>
        </w:rPr>
        <w:t xml:space="preserve"> [Internet]. 2018 [cited 2020 Jan 15]. Available from: https://www.legislation.gov.au/Details/F2018C00942</w:t>
      </w:r>
    </w:p>
    <w:p w14:paraId="48FA648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33. </w:t>
      </w:r>
      <w:r w:rsidRPr="00657137">
        <w:rPr>
          <w:rFonts w:ascii="Calibri" w:hAnsi="Calibri" w:cs="Calibri"/>
          <w:noProof/>
          <w:szCs w:val="24"/>
        </w:rPr>
        <w:tab/>
        <w:t xml:space="preserve">Australian Government. </w:t>
      </w:r>
      <w:r w:rsidRPr="00657137">
        <w:rPr>
          <w:rFonts w:ascii="Calibri" w:hAnsi="Calibri" w:cs="Calibri"/>
          <w:i/>
          <w:iCs/>
          <w:noProof/>
          <w:szCs w:val="24"/>
        </w:rPr>
        <w:t xml:space="preserve">Australia New Zealand Food Standards Code - Standard 1.2.7 - Nutrition, Health and Related Claims - F2013L00054 </w:t>
      </w:r>
      <w:r w:rsidRPr="00657137">
        <w:rPr>
          <w:rFonts w:ascii="Calibri" w:hAnsi="Calibri" w:cs="Calibri"/>
          <w:noProof/>
          <w:szCs w:val="24"/>
        </w:rPr>
        <w:t xml:space="preserve"> [Internet]. 2013. Available from: http://www.comlaw.gov.au/Details/F2013L00054</w:t>
      </w:r>
    </w:p>
    <w:p w14:paraId="48EF39E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34.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Notified Food-Health Relationships</w:t>
      </w:r>
      <w:r w:rsidRPr="00657137">
        <w:rPr>
          <w:rFonts w:ascii="Calibri" w:hAnsi="Calibri" w:cs="Calibri"/>
          <w:noProof/>
          <w:szCs w:val="24"/>
        </w:rPr>
        <w:t xml:space="preserve"> [Internet]. 2016. Available from: http://www.foodstandards.gov.au/industry/labelling/fhr/Pages/default.aspx</w:t>
      </w:r>
    </w:p>
    <w:p w14:paraId="1C8D28D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35.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 xml:space="preserve">Nutrient Profiling Scoring Calculator </w:t>
      </w:r>
      <w:r w:rsidRPr="00657137">
        <w:rPr>
          <w:rFonts w:ascii="Calibri" w:hAnsi="Calibri" w:cs="Calibri"/>
          <w:noProof/>
          <w:szCs w:val="24"/>
        </w:rPr>
        <w:t xml:space="preserve"> [Internet]. Available from: http://www.foodstandards.gov.au/industry/claims/pages/nutrientprofilingcalculator/Default.aspx</w:t>
      </w:r>
    </w:p>
    <w:p w14:paraId="6E6566D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36.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Expert groups providing advice to FSANZ</w:t>
      </w:r>
      <w:r w:rsidRPr="00657137">
        <w:rPr>
          <w:rFonts w:ascii="Calibri" w:hAnsi="Calibri" w:cs="Calibri"/>
          <w:noProof/>
          <w:szCs w:val="24"/>
        </w:rPr>
        <w:t xml:space="preserve"> [Internet]. 2017 [cited 2020 Jan 30]. Available from: https://www.foodstandards.govt.nz/science/expertise/Pages/Scientific-advisory-groups-.aspx</w:t>
      </w:r>
    </w:p>
    <w:p w14:paraId="432868E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37. </w:t>
      </w:r>
      <w:r w:rsidRPr="00657137">
        <w:rPr>
          <w:rFonts w:ascii="Calibri" w:hAnsi="Calibri" w:cs="Calibri"/>
          <w:noProof/>
          <w:szCs w:val="24"/>
        </w:rPr>
        <w:tab/>
        <w:t xml:space="preserve">Consumer Protection. </w:t>
      </w:r>
      <w:r w:rsidRPr="00657137">
        <w:rPr>
          <w:rFonts w:ascii="Calibri" w:hAnsi="Calibri" w:cs="Calibri"/>
          <w:i/>
          <w:iCs/>
          <w:noProof/>
          <w:szCs w:val="24"/>
        </w:rPr>
        <w:t>Consumer laws</w:t>
      </w:r>
      <w:r w:rsidRPr="00657137">
        <w:rPr>
          <w:rFonts w:ascii="Calibri" w:hAnsi="Calibri" w:cs="Calibri"/>
          <w:noProof/>
          <w:szCs w:val="24"/>
        </w:rPr>
        <w:t xml:space="preserve"> [Internet]. [cited 2020 Jan 15]. Available from: https://www.consumerprotection.govt.nz/general-help/consumer-laws/</w:t>
      </w:r>
    </w:p>
    <w:p w14:paraId="004C60E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38. </w:t>
      </w:r>
      <w:r w:rsidRPr="00657137">
        <w:rPr>
          <w:rFonts w:ascii="Calibri" w:hAnsi="Calibri" w:cs="Calibri"/>
          <w:noProof/>
          <w:szCs w:val="24"/>
        </w:rPr>
        <w:tab/>
        <w:t xml:space="preserve">Consumer Protection. </w:t>
      </w:r>
      <w:r w:rsidRPr="00657137">
        <w:rPr>
          <w:rFonts w:ascii="Calibri" w:hAnsi="Calibri" w:cs="Calibri"/>
          <w:i/>
          <w:iCs/>
          <w:noProof/>
          <w:szCs w:val="24"/>
        </w:rPr>
        <w:t xml:space="preserve">Understanding your consumer rights </w:t>
      </w:r>
      <w:r w:rsidRPr="00657137">
        <w:rPr>
          <w:rFonts w:ascii="Calibri" w:hAnsi="Calibri" w:cs="Calibri"/>
          <w:noProof/>
          <w:szCs w:val="24"/>
        </w:rPr>
        <w:t xml:space="preserve"> [Internet]. [cited 2020 Jan 15]. Available from: https://www.consumerprotection.govt.nz/general-help/consumer-laws/consumer-guarantees-act/understand-consumer-rights/</w:t>
      </w:r>
    </w:p>
    <w:p w14:paraId="0D2F07C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39. </w:t>
      </w:r>
      <w:r w:rsidRPr="00657137">
        <w:rPr>
          <w:rFonts w:ascii="Calibri" w:hAnsi="Calibri" w:cs="Calibri"/>
          <w:noProof/>
          <w:szCs w:val="24"/>
        </w:rPr>
        <w:tab/>
      </w:r>
      <w:r w:rsidRPr="00657137">
        <w:rPr>
          <w:rFonts w:ascii="Calibri" w:hAnsi="Calibri" w:cs="Calibri"/>
          <w:i/>
          <w:iCs/>
          <w:noProof/>
          <w:szCs w:val="24"/>
        </w:rPr>
        <w:t>Food Standards Development Work Plan</w:t>
      </w:r>
      <w:r w:rsidRPr="00657137">
        <w:rPr>
          <w:rFonts w:ascii="Calibri" w:hAnsi="Calibri" w:cs="Calibri"/>
          <w:noProof/>
          <w:szCs w:val="24"/>
        </w:rPr>
        <w:t xml:space="preserve"> [Internet]. 2020 [cited 2020 Jan 15]. Available from: https://www.foodstandards.govt.nz/code/changes/workplan/Documents/Food standards development Work Plan 10.01.20.pdf?csf=1&amp;e=izaVEw</w:t>
      </w:r>
    </w:p>
    <w:p w14:paraId="6049AF5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40. </w:t>
      </w:r>
      <w:r w:rsidRPr="00657137">
        <w:rPr>
          <w:rFonts w:ascii="Calibri" w:hAnsi="Calibri" w:cs="Calibri"/>
          <w:noProof/>
          <w:szCs w:val="24"/>
        </w:rPr>
        <w:tab/>
        <w:t xml:space="preserve">Australian Government. </w:t>
      </w:r>
      <w:r w:rsidRPr="00657137">
        <w:rPr>
          <w:rFonts w:ascii="Calibri" w:hAnsi="Calibri" w:cs="Calibri"/>
          <w:i/>
          <w:iCs/>
          <w:noProof/>
          <w:szCs w:val="24"/>
        </w:rPr>
        <w:t>Australia New Zealand Food Standards Code - Standard 1.2.7 - Nutrition, Health and Related Claims - F2013L00054</w:t>
      </w:r>
      <w:r w:rsidRPr="00657137">
        <w:rPr>
          <w:rFonts w:ascii="Calibri" w:hAnsi="Calibri" w:cs="Calibri"/>
          <w:noProof/>
          <w:szCs w:val="24"/>
        </w:rPr>
        <w:t xml:space="preserve"> [Internet]. 2013. Available from: https://www.comlaw.gov.au/Details/F2013L00054</w:t>
      </w:r>
    </w:p>
    <w:p w14:paraId="05D95DB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41. </w:t>
      </w:r>
      <w:r w:rsidRPr="00657137">
        <w:rPr>
          <w:rFonts w:ascii="Calibri" w:hAnsi="Calibri" w:cs="Calibri"/>
          <w:noProof/>
          <w:szCs w:val="24"/>
        </w:rPr>
        <w:tab/>
        <w:t xml:space="preserve">Food Standard Australia New Zealand. </w:t>
      </w:r>
      <w:r w:rsidRPr="00657137">
        <w:rPr>
          <w:rFonts w:ascii="Calibri" w:hAnsi="Calibri" w:cs="Calibri"/>
          <w:i/>
          <w:iCs/>
          <w:noProof/>
          <w:szCs w:val="24"/>
        </w:rPr>
        <w:t>Nutrient Profiling Scoring Calculator for Standard 1.2.7</w:t>
      </w:r>
      <w:r w:rsidRPr="00657137">
        <w:rPr>
          <w:rFonts w:ascii="Calibri" w:hAnsi="Calibri" w:cs="Calibri"/>
          <w:noProof/>
          <w:szCs w:val="24"/>
        </w:rPr>
        <w:t xml:space="preserve"> [Internet]. 2016. Available from: http://www.foodstandards.gov.au/industry/labelling/pages/nutrientprofilingcalculator/Default.aspx</w:t>
      </w:r>
    </w:p>
    <w:p w14:paraId="7EEDF9D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42. </w:t>
      </w:r>
      <w:r w:rsidRPr="00657137">
        <w:rPr>
          <w:rFonts w:ascii="Calibri" w:hAnsi="Calibri" w:cs="Calibri"/>
          <w:noProof/>
          <w:szCs w:val="24"/>
        </w:rPr>
        <w:tab/>
      </w:r>
      <w:r w:rsidRPr="00657137">
        <w:rPr>
          <w:rFonts w:ascii="Calibri" w:hAnsi="Calibri" w:cs="Calibri"/>
          <w:i/>
          <w:iCs/>
          <w:noProof/>
          <w:szCs w:val="24"/>
        </w:rPr>
        <w:t>Policy - Regulation HK.03.1.23.11.11.09909 (2011) on the Control of Claims on Processed Food Labeling and Advertisements</w:t>
      </w:r>
      <w:r w:rsidRPr="00657137">
        <w:rPr>
          <w:rFonts w:ascii="Calibri" w:hAnsi="Calibri" w:cs="Calibri"/>
          <w:noProof/>
          <w:szCs w:val="24"/>
        </w:rPr>
        <w:t xml:space="preserve"> [Internet]. 2011. Available from: https://extranet.who.int/nutrition/gina/en/node/22946</w:t>
      </w:r>
    </w:p>
    <w:p w14:paraId="0A96B9A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43. </w:t>
      </w:r>
      <w:r w:rsidRPr="00657137">
        <w:rPr>
          <w:rFonts w:ascii="Calibri" w:hAnsi="Calibri" w:cs="Calibri"/>
          <w:noProof/>
          <w:szCs w:val="24"/>
        </w:rPr>
        <w:tab/>
        <w:t xml:space="preserve">U.S. Food and Drug Administration. </w:t>
      </w:r>
      <w:r w:rsidRPr="00657137">
        <w:rPr>
          <w:rFonts w:ascii="Calibri" w:hAnsi="Calibri" w:cs="Calibri"/>
          <w:i/>
          <w:iCs/>
          <w:noProof/>
          <w:szCs w:val="24"/>
        </w:rPr>
        <w:t>Guidance for Industry: A Food Labeling Guide (8. Claims)</w:t>
      </w:r>
      <w:r w:rsidRPr="00657137">
        <w:rPr>
          <w:rFonts w:ascii="Calibri" w:hAnsi="Calibri" w:cs="Calibri"/>
          <w:noProof/>
          <w:szCs w:val="24"/>
        </w:rPr>
        <w:t xml:space="preserve"> [Internet]. Available from: http://www.fda.gov/Food/GuidanceRegulation/GuidanceDocumentsRegulatoryInformation/LabelingNutrition/ucm064908.htm</w:t>
      </w:r>
    </w:p>
    <w:p w14:paraId="535DCC0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44. </w:t>
      </w:r>
      <w:r w:rsidRPr="00657137">
        <w:rPr>
          <w:rFonts w:ascii="Calibri" w:hAnsi="Calibri" w:cs="Calibri"/>
          <w:noProof/>
          <w:szCs w:val="24"/>
        </w:rPr>
        <w:tab/>
        <w:t xml:space="preserve">Ministry for Primary Industries. </w:t>
      </w:r>
      <w:r w:rsidRPr="00657137">
        <w:rPr>
          <w:rFonts w:ascii="Calibri" w:hAnsi="Calibri" w:cs="Calibri"/>
          <w:i/>
          <w:iCs/>
          <w:noProof/>
          <w:szCs w:val="24"/>
        </w:rPr>
        <w:t>Health Star Ratings</w:t>
      </w:r>
      <w:r w:rsidRPr="00657137">
        <w:rPr>
          <w:rFonts w:ascii="Calibri" w:hAnsi="Calibri" w:cs="Calibri"/>
          <w:noProof/>
          <w:szCs w:val="24"/>
        </w:rPr>
        <w:t xml:space="preserve"> [Internet]. 2016. Available from: http://www.mpi.govt.nz/food-safety/whats-in-our-food/food-labelling/health-star-ratings/</w:t>
      </w:r>
    </w:p>
    <w:p w14:paraId="506932D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45. </w:t>
      </w:r>
      <w:r w:rsidRPr="00657137">
        <w:rPr>
          <w:rFonts w:ascii="Calibri" w:hAnsi="Calibri" w:cs="Calibri"/>
          <w:noProof/>
          <w:szCs w:val="24"/>
        </w:rPr>
        <w:tab/>
        <w:t xml:space="preserve">Ministry for Primary Industries. </w:t>
      </w:r>
      <w:r w:rsidRPr="00657137">
        <w:rPr>
          <w:rFonts w:ascii="Calibri" w:hAnsi="Calibri" w:cs="Calibri"/>
          <w:i/>
          <w:iCs/>
          <w:noProof/>
          <w:szCs w:val="24"/>
        </w:rPr>
        <w:t>Health Star Rating system: Governance</w:t>
      </w:r>
      <w:r w:rsidRPr="00657137">
        <w:rPr>
          <w:rFonts w:ascii="Calibri" w:hAnsi="Calibri" w:cs="Calibri"/>
          <w:noProof/>
          <w:szCs w:val="24"/>
        </w:rPr>
        <w:t xml:space="preserve"> [Internet]. 2016. Available from: http://www.foodsafety.govt.nz/industry/general/labelling-composition/health-star-rating/governance.htm</w:t>
      </w:r>
    </w:p>
    <w:p w14:paraId="6ED1079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46. </w:t>
      </w:r>
      <w:r w:rsidRPr="00657137">
        <w:rPr>
          <w:rFonts w:ascii="Calibri" w:hAnsi="Calibri" w:cs="Calibri"/>
          <w:noProof/>
          <w:szCs w:val="24"/>
        </w:rPr>
        <w:tab/>
        <w:t xml:space="preserve">Australia and New Zealand Ministerial Forum on Food Regulation. </w:t>
      </w:r>
      <w:r w:rsidRPr="00657137">
        <w:rPr>
          <w:rFonts w:ascii="Calibri" w:hAnsi="Calibri" w:cs="Calibri"/>
          <w:i/>
          <w:iCs/>
          <w:noProof/>
          <w:szCs w:val="24"/>
        </w:rPr>
        <w:t>Health Star Rating System Policy Context-What is an anomaly?</w:t>
      </w:r>
      <w:r w:rsidRPr="00657137">
        <w:rPr>
          <w:rFonts w:ascii="Calibri" w:hAnsi="Calibri" w:cs="Calibri"/>
          <w:noProof/>
          <w:szCs w:val="24"/>
        </w:rPr>
        <w:t xml:space="preserve"> 2016. </w:t>
      </w:r>
    </w:p>
    <w:p w14:paraId="641D651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47. </w:t>
      </w:r>
      <w:r w:rsidRPr="00657137">
        <w:rPr>
          <w:rFonts w:ascii="Calibri" w:hAnsi="Calibri" w:cs="Calibri"/>
          <w:noProof/>
          <w:szCs w:val="24"/>
        </w:rPr>
        <w:tab/>
        <w:t xml:space="preserve">Foodstuffs NZ. </w:t>
      </w:r>
      <w:r w:rsidRPr="00657137">
        <w:rPr>
          <w:rFonts w:ascii="Calibri" w:hAnsi="Calibri" w:cs="Calibri"/>
          <w:i/>
          <w:iCs/>
          <w:noProof/>
          <w:szCs w:val="24"/>
        </w:rPr>
        <w:t>Health Star Ratings | Foodstuffs</w:t>
      </w:r>
      <w:r w:rsidRPr="00657137">
        <w:rPr>
          <w:rFonts w:ascii="Calibri" w:hAnsi="Calibri" w:cs="Calibri"/>
          <w:noProof/>
          <w:szCs w:val="24"/>
        </w:rPr>
        <w:t xml:space="preserve"> [Internet]. 2019 [cited 2020 Jan 31]. Available from: https://www.foodstuffs.co.nz/corporate-responsibility/foodstuffs’-pledge-to-promote-healthier-eating/health-star-ratings/</w:t>
      </w:r>
    </w:p>
    <w:p w14:paraId="56BB8AB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48. </w:t>
      </w:r>
      <w:r w:rsidRPr="00657137">
        <w:rPr>
          <w:rFonts w:ascii="Calibri" w:hAnsi="Calibri" w:cs="Calibri"/>
          <w:noProof/>
          <w:szCs w:val="24"/>
        </w:rPr>
        <w:tab/>
        <w:t xml:space="preserve">Countdown Supermarket. </w:t>
      </w:r>
      <w:r w:rsidRPr="00657137">
        <w:rPr>
          <w:rFonts w:ascii="Calibri" w:hAnsi="Calibri" w:cs="Calibri"/>
          <w:i/>
          <w:iCs/>
          <w:noProof/>
          <w:szCs w:val="24"/>
        </w:rPr>
        <w:t>Health Star Rating - Countdown</w:t>
      </w:r>
      <w:r w:rsidRPr="00657137">
        <w:rPr>
          <w:rFonts w:ascii="Calibri" w:hAnsi="Calibri" w:cs="Calibri"/>
          <w:noProof/>
          <w:szCs w:val="24"/>
        </w:rPr>
        <w:t xml:space="preserve"> [Internet]. 2019 [cited 2020 Jan 31]. Available from: https://www.countdown.co.nz/food-hub/healthy-hub/health-star-rating</w:t>
      </w:r>
    </w:p>
    <w:p w14:paraId="73C4FE7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49. </w:t>
      </w:r>
      <w:r w:rsidRPr="00657137">
        <w:rPr>
          <w:rFonts w:ascii="Calibri" w:hAnsi="Calibri" w:cs="Calibri"/>
          <w:noProof/>
          <w:szCs w:val="24"/>
        </w:rPr>
        <w:tab/>
        <w:t xml:space="preserve">Agency H. </w:t>
      </w:r>
      <w:r w:rsidRPr="00657137">
        <w:rPr>
          <w:rFonts w:ascii="Calibri" w:hAnsi="Calibri" w:cs="Calibri"/>
          <w:i/>
          <w:iCs/>
          <w:noProof/>
          <w:szCs w:val="24"/>
        </w:rPr>
        <w:t>Health Star Rating Monitoring and Evaluation</w:t>
      </w:r>
      <w:r w:rsidRPr="00657137">
        <w:rPr>
          <w:rFonts w:ascii="Calibri" w:hAnsi="Calibri" w:cs="Calibri"/>
          <w:noProof/>
          <w:szCs w:val="24"/>
        </w:rPr>
        <w:t xml:space="preserve"> [Internet]. 2016 [cited 2017 Mar 22]. Available from: http://www.hpa.org.nz/research-library/research-publications/health-star-rating-monitoring-and-evaluation</w:t>
      </w:r>
    </w:p>
    <w:p w14:paraId="67623A3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50. </w:t>
      </w:r>
      <w:r w:rsidRPr="00657137">
        <w:rPr>
          <w:rFonts w:ascii="Calibri" w:hAnsi="Calibri" w:cs="Calibri"/>
          <w:noProof/>
          <w:szCs w:val="24"/>
        </w:rPr>
        <w:tab/>
        <w:t xml:space="preserve">Brunton C. </w:t>
      </w:r>
      <w:r w:rsidRPr="00657137">
        <w:rPr>
          <w:rFonts w:ascii="Calibri" w:hAnsi="Calibri" w:cs="Calibri"/>
          <w:i/>
          <w:iCs/>
          <w:noProof/>
          <w:szCs w:val="24"/>
        </w:rPr>
        <w:t>2018 Health Star Rating monitoring and evaluation: Year 2 follow-up research report</w:t>
      </w:r>
      <w:r w:rsidRPr="00657137">
        <w:rPr>
          <w:rFonts w:ascii="Calibri" w:hAnsi="Calibri" w:cs="Calibri"/>
          <w:noProof/>
          <w:szCs w:val="24"/>
        </w:rPr>
        <w:t xml:space="preserve"> [Internet]. Wellington; 2018. Available from: https://www.hpa.org.nz/sites/default/files/Final Report-HSR monitoring and evaluation 2018.pdf</w:t>
      </w:r>
    </w:p>
    <w:p w14:paraId="3E5F87D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51. </w:t>
      </w:r>
      <w:r w:rsidRPr="00657137">
        <w:rPr>
          <w:rFonts w:ascii="Calibri" w:hAnsi="Calibri" w:cs="Calibri"/>
          <w:noProof/>
          <w:szCs w:val="24"/>
        </w:rPr>
        <w:tab/>
        <w:t xml:space="preserve">Health Promotion Agency. </w:t>
      </w:r>
      <w:r w:rsidRPr="00657137">
        <w:rPr>
          <w:rFonts w:ascii="Calibri" w:hAnsi="Calibri" w:cs="Calibri"/>
          <w:i/>
          <w:iCs/>
          <w:noProof/>
          <w:szCs w:val="24"/>
        </w:rPr>
        <w:t>2015/2016 Annual Report</w:t>
      </w:r>
      <w:r w:rsidRPr="00657137">
        <w:rPr>
          <w:rFonts w:ascii="Calibri" w:hAnsi="Calibri" w:cs="Calibri"/>
          <w:noProof/>
          <w:szCs w:val="24"/>
        </w:rPr>
        <w:t xml:space="preserve">. Wellington: Health Promotion Agency; 2016. </w:t>
      </w:r>
    </w:p>
    <w:p w14:paraId="71EA869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52. </w:t>
      </w:r>
      <w:r w:rsidRPr="00657137">
        <w:rPr>
          <w:rFonts w:ascii="Calibri" w:hAnsi="Calibri" w:cs="Calibri"/>
          <w:noProof/>
          <w:szCs w:val="24"/>
        </w:rPr>
        <w:tab/>
        <w:t xml:space="preserve">Regulation Standing Committee F. </w:t>
      </w:r>
      <w:r w:rsidRPr="00657137">
        <w:rPr>
          <w:rFonts w:ascii="Calibri" w:hAnsi="Calibri" w:cs="Calibri"/>
          <w:i/>
          <w:iCs/>
          <w:noProof/>
          <w:szCs w:val="24"/>
        </w:rPr>
        <w:t>The Australia and New Zealand Ministerial Forum on Food Regulation response to the Health Star Rating System five year review</w:t>
      </w:r>
      <w:r w:rsidRPr="00657137">
        <w:rPr>
          <w:rFonts w:ascii="Calibri" w:hAnsi="Calibri" w:cs="Calibri"/>
          <w:noProof/>
          <w:szCs w:val="24"/>
        </w:rPr>
        <w:t xml:space="preserve">. 2019. </w:t>
      </w:r>
    </w:p>
    <w:p w14:paraId="4D39252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53. </w:t>
      </w:r>
      <w:r w:rsidRPr="00657137">
        <w:rPr>
          <w:rFonts w:ascii="Calibri" w:hAnsi="Calibri" w:cs="Calibri"/>
          <w:noProof/>
          <w:szCs w:val="24"/>
        </w:rPr>
        <w:tab/>
        <w:t xml:space="preserve">Australia and New Zealand Ministerial Forum on Food Regulation. </w:t>
      </w:r>
      <w:r w:rsidRPr="00657137">
        <w:rPr>
          <w:rFonts w:ascii="Calibri" w:hAnsi="Calibri" w:cs="Calibri"/>
          <w:i/>
          <w:iCs/>
          <w:noProof/>
          <w:szCs w:val="24"/>
        </w:rPr>
        <w:t>Australia and New Zealand Ministerial Forum on Food Regulation Communique</w:t>
      </w:r>
      <w:r w:rsidRPr="00657137">
        <w:rPr>
          <w:rFonts w:ascii="Calibri" w:hAnsi="Calibri" w:cs="Calibri"/>
          <w:noProof/>
          <w:szCs w:val="24"/>
        </w:rPr>
        <w:t xml:space="preserve">. Christchurch; 2019. </w:t>
      </w:r>
    </w:p>
    <w:p w14:paraId="2452C66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54. </w:t>
      </w:r>
      <w:r w:rsidRPr="00657137">
        <w:rPr>
          <w:rFonts w:ascii="Calibri" w:hAnsi="Calibri" w:cs="Calibri"/>
          <w:noProof/>
          <w:szCs w:val="24"/>
        </w:rPr>
        <w:tab/>
        <w:t xml:space="preserve">Commonwealth of Australia. </w:t>
      </w:r>
      <w:r w:rsidRPr="00657137">
        <w:rPr>
          <w:rFonts w:ascii="Calibri" w:hAnsi="Calibri" w:cs="Calibri"/>
          <w:i/>
          <w:iCs/>
          <w:noProof/>
          <w:szCs w:val="24"/>
        </w:rPr>
        <w:t>Health Star Rating System</w:t>
      </w:r>
      <w:r w:rsidRPr="00657137">
        <w:rPr>
          <w:rFonts w:ascii="Calibri" w:hAnsi="Calibri" w:cs="Calibri"/>
          <w:noProof/>
          <w:szCs w:val="24"/>
        </w:rPr>
        <w:t xml:space="preserve"> [Internet]. 2016. Available from: http://healthstarrating.gov.au/internet/healthstarrating/publishing.nsf/content/home</w:t>
      </w:r>
    </w:p>
    <w:p w14:paraId="1691F53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55. </w:t>
      </w:r>
      <w:r w:rsidRPr="00657137">
        <w:rPr>
          <w:rFonts w:ascii="Calibri" w:hAnsi="Calibri" w:cs="Calibri"/>
          <w:noProof/>
          <w:szCs w:val="24"/>
        </w:rPr>
        <w:tab/>
        <w:t xml:space="preserve">World Health Organization. </w:t>
      </w:r>
      <w:r w:rsidRPr="00657137">
        <w:rPr>
          <w:rFonts w:ascii="Calibri" w:hAnsi="Calibri" w:cs="Calibri"/>
          <w:i/>
          <w:iCs/>
          <w:noProof/>
          <w:szCs w:val="24"/>
        </w:rPr>
        <w:t>France becomes one of the first countries in Region to recommend colour-coded front-of-pack nutrition labelling system.</w:t>
      </w:r>
      <w:r w:rsidRPr="00657137">
        <w:rPr>
          <w:rFonts w:ascii="Calibri" w:hAnsi="Calibri" w:cs="Calibri"/>
          <w:noProof/>
          <w:szCs w:val="24"/>
        </w:rPr>
        <w:t xml:space="preserve"> 2017. </w:t>
      </w:r>
    </w:p>
    <w:p w14:paraId="787A429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56. </w:t>
      </w:r>
      <w:r w:rsidRPr="00657137">
        <w:rPr>
          <w:rFonts w:ascii="Calibri" w:hAnsi="Calibri" w:cs="Calibri"/>
          <w:noProof/>
          <w:szCs w:val="24"/>
        </w:rPr>
        <w:tab/>
        <w:t xml:space="preserve">Colruyt Group. </w:t>
      </w:r>
      <w:r w:rsidRPr="00657137">
        <w:rPr>
          <w:rFonts w:ascii="Calibri" w:hAnsi="Calibri" w:cs="Calibri"/>
          <w:i/>
          <w:iCs/>
          <w:noProof/>
          <w:szCs w:val="24"/>
        </w:rPr>
        <w:t>What is the Nutri-Score? [online]</w:t>
      </w:r>
      <w:r w:rsidRPr="00657137">
        <w:rPr>
          <w:rFonts w:ascii="Calibri" w:hAnsi="Calibri" w:cs="Calibri"/>
          <w:noProof/>
          <w:szCs w:val="24"/>
        </w:rPr>
        <w:t>. 2018; Available from: https://nutriscore.colruytgroup.com/colruytgroup/en/about-nutri-score/</w:t>
      </w:r>
    </w:p>
    <w:p w14:paraId="0559400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57. </w:t>
      </w:r>
      <w:r w:rsidRPr="00657137">
        <w:rPr>
          <w:rFonts w:ascii="Calibri" w:hAnsi="Calibri" w:cs="Calibri"/>
          <w:noProof/>
          <w:szCs w:val="24"/>
        </w:rPr>
        <w:tab/>
        <w:t xml:space="preserve">Chantal J. </w:t>
      </w:r>
      <w:r w:rsidRPr="00657137">
        <w:rPr>
          <w:rFonts w:ascii="Calibri" w:hAnsi="Calibri" w:cs="Calibri"/>
          <w:i/>
          <w:iCs/>
          <w:noProof/>
          <w:szCs w:val="24"/>
        </w:rPr>
        <w:t>Development of a new front-of-pack nutrition label in France: the five colour Nutri-Score</w:t>
      </w:r>
      <w:r w:rsidRPr="00657137">
        <w:rPr>
          <w:rFonts w:ascii="Calibri" w:hAnsi="Calibri" w:cs="Calibri"/>
          <w:noProof/>
          <w:szCs w:val="24"/>
        </w:rPr>
        <w:t xml:space="preserve">. 2017; </w:t>
      </w:r>
    </w:p>
    <w:p w14:paraId="4BF9DD4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58. </w:t>
      </w:r>
      <w:r w:rsidRPr="00657137">
        <w:rPr>
          <w:rFonts w:ascii="Calibri" w:hAnsi="Calibri" w:cs="Calibri"/>
          <w:noProof/>
          <w:szCs w:val="24"/>
        </w:rPr>
        <w:tab/>
        <w:t xml:space="preserve">Diario Oficial de La Republica de Chile. </w:t>
      </w:r>
      <w:r w:rsidRPr="00657137">
        <w:rPr>
          <w:rFonts w:ascii="Calibri" w:hAnsi="Calibri" w:cs="Calibri"/>
          <w:i/>
          <w:iCs/>
          <w:noProof/>
          <w:szCs w:val="24"/>
        </w:rPr>
        <w:t>Decreto 13 – Reglamento Ley 20.606 sobre Composición Nutricional de los Alimentos y su Publicidad</w:t>
      </w:r>
      <w:r w:rsidRPr="00657137">
        <w:rPr>
          <w:rFonts w:ascii="Calibri" w:hAnsi="Calibri" w:cs="Calibri"/>
          <w:noProof/>
          <w:szCs w:val="24"/>
        </w:rPr>
        <w:t xml:space="preserve"> [Internet]. 2015. Available from: http://www.dinta.cl/wp-dintacl/wp-content/uploads/Decreto-13_Ley-super8_do-20150626.pdf</w:t>
      </w:r>
    </w:p>
    <w:p w14:paraId="4BA9CD7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59. </w:t>
      </w:r>
      <w:r w:rsidRPr="00657137">
        <w:rPr>
          <w:rFonts w:ascii="Calibri" w:hAnsi="Calibri" w:cs="Calibri"/>
          <w:noProof/>
          <w:szCs w:val="24"/>
        </w:rPr>
        <w:tab/>
        <w:t xml:space="preserve">Labelling Review Response. </w:t>
      </w:r>
      <w:r w:rsidRPr="00657137">
        <w:rPr>
          <w:rFonts w:ascii="Calibri" w:hAnsi="Calibri" w:cs="Calibri"/>
          <w:i/>
          <w:iCs/>
          <w:noProof/>
          <w:szCs w:val="24"/>
        </w:rPr>
        <w:t>Progress report on the implementation of the Government response to the Labelling Logic Recommendations</w:t>
      </w:r>
      <w:r w:rsidRPr="00657137">
        <w:rPr>
          <w:rFonts w:ascii="Calibri" w:hAnsi="Calibri" w:cs="Calibri"/>
          <w:noProof/>
          <w:szCs w:val="24"/>
        </w:rPr>
        <w:t xml:space="preserve"> [Internet]. 2016. Available from: http://www.foodlabellingreview.gov.au/internet/foodlabelling/publishing.nsf/content/Progress_report_December_2014</w:t>
      </w:r>
    </w:p>
    <w:p w14:paraId="4C3D548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60. </w:t>
      </w:r>
      <w:r w:rsidRPr="00657137">
        <w:rPr>
          <w:rFonts w:ascii="Calibri" w:hAnsi="Calibri" w:cs="Calibri"/>
          <w:noProof/>
          <w:szCs w:val="24"/>
        </w:rPr>
        <w:tab/>
        <w:t xml:space="preserve">Nutrition Resource Centre. </w:t>
      </w:r>
      <w:r w:rsidRPr="00657137">
        <w:rPr>
          <w:rFonts w:ascii="Calibri" w:hAnsi="Calibri" w:cs="Calibri"/>
          <w:i/>
          <w:iCs/>
          <w:noProof/>
          <w:szCs w:val="24"/>
        </w:rPr>
        <w:t>Ontario’s Healthy Menu Choices Act In Effect.</w:t>
      </w:r>
      <w:r w:rsidRPr="00657137">
        <w:rPr>
          <w:rFonts w:ascii="Calibri" w:hAnsi="Calibri" w:cs="Calibri"/>
          <w:noProof/>
          <w:szCs w:val="24"/>
        </w:rPr>
        <w:t xml:space="preserve"> [Internet]. 2017. Available </w:t>
      </w:r>
      <w:r w:rsidRPr="00657137">
        <w:rPr>
          <w:rFonts w:ascii="Calibri" w:hAnsi="Calibri" w:cs="Calibri"/>
          <w:noProof/>
          <w:szCs w:val="24"/>
        </w:rPr>
        <w:lastRenderedPageBreak/>
        <w:t>from: https://opha.on.ca/Nutrition-Resource-Centre/News/NRC-News/2017/Ontario’s-Healthy-Menu-Choices-Act-In-Effect.aspx.</w:t>
      </w:r>
    </w:p>
    <w:p w14:paraId="67E0C59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61. </w:t>
      </w:r>
      <w:r w:rsidRPr="00657137">
        <w:rPr>
          <w:rFonts w:ascii="Calibri" w:hAnsi="Calibri" w:cs="Calibri"/>
          <w:noProof/>
          <w:szCs w:val="24"/>
        </w:rPr>
        <w:tab/>
        <w:t xml:space="preserve">SFDA. </w:t>
      </w:r>
      <w:r w:rsidRPr="00657137">
        <w:rPr>
          <w:rFonts w:ascii="Calibri" w:hAnsi="Calibri" w:cs="Calibri"/>
          <w:i/>
          <w:iCs/>
          <w:noProof/>
          <w:szCs w:val="24"/>
        </w:rPr>
        <w:t>SFDA launches Healthy Food Regulation Strategy tomorrow</w:t>
      </w:r>
      <w:r w:rsidRPr="00657137">
        <w:rPr>
          <w:rFonts w:ascii="Calibri" w:hAnsi="Calibri" w:cs="Calibri"/>
          <w:noProof/>
          <w:szCs w:val="24"/>
        </w:rPr>
        <w:t xml:space="preserve"> [Internet]. Sfda. 2018. Available from: https://www.sfda.gov.sa/en/food/news/Pages/f11-9-2018a1.aspx</w:t>
      </w:r>
    </w:p>
    <w:p w14:paraId="3509FA9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62. </w:t>
      </w:r>
      <w:r w:rsidRPr="00657137">
        <w:rPr>
          <w:rFonts w:ascii="Calibri" w:hAnsi="Calibri" w:cs="Calibri"/>
          <w:noProof/>
          <w:szCs w:val="24"/>
        </w:rPr>
        <w:tab/>
        <w:t xml:space="preserve">Advertising Standards Authority. </w:t>
      </w:r>
      <w:r w:rsidRPr="00657137">
        <w:rPr>
          <w:rFonts w:ascii="Calibri" w:hAnsi="Calibri" w:cs="Calibri"/>
          <w:i/>
          <w:iCs/>
          <w:noProof/>
          <w:szCs w:val="24"/>
        </w:rPr>
        <w:t>Children and Young People’s Advertising Code</w:t>
      </w:r>
      <w:r w:rsidRPr="00657137">
        <w:rPr>
          <w:rFonts w:ascii="Calibri" w:hAnsi="Calibri" w:cs="Calibri"/>
          <w:noProof/>
          <w:szCs w:val="24"/>
        </w:rPr>
        <w:t xml:space="preserve">. 2017. </w:t>
      </w:r>
    </w:p>
    <w:p w14:paraId="5ADE610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63. </w:t>
      </w:r>
      <w:r w:rsidRPr="00657137">
        <w:rPr>
          <w:rFonts w:ascii="Calibri" w:hAnsi="Calibri" w:cs="Calibri"/>
          <w:noProof/>
          <w:szCs w:val="24"/>
        </w:rPr>
        <w:tab/>
        <w:t xml:space="preserve">Boyd Swinburn SV on behalf of submitting health professors. </w:t>
      </w:r>
      <w:r w:rsidRPr="00657137">
        <w:rPr>
          <w:rFonts w:ascii="Calibri" w:hAnsi="Calibri" w:cs="Calibri"/>
          <w:i/>
          <w:iCs/>
          <w:noProof/>
          <w:szCs w:val="24"/>
        </w:rPr>
        <w:t>Proposed new industry code on unhealthy food marketing to children and young people: will it make a difference?</w:t>
      </w:r>
      <w:r w:rsidRPr="00657137">
        <w:rPr>
          <w:rFonts w:ascii="Calibri" w:hAnsi="Calibri" w:cs="Calibri"/>
          <w:noProof/>
          <w:szCs w:val="24"/>
        </w:rPr>
        <w:t xml:space="preserve"> NZ Med J [Internet]. 2017;130(1450). Available from: http://www.nzma.org.nz/journal/read-the-journal/all-issues/2010-2019/2017/vol-130-no-1450-17-february-2017</w:t>
      </w:r>
    </w:p>
    <w:p w14:paraId="203DD11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64. </w:t>
      </w:r>
      <w:r w:rsidRPr="00657137">
        <w:rPr>
          <w:rFonts w:ascii="Calibri" w:hAnsi="Calibri" w:cs="Calibri"/>
          <w:noProof/>
          <w:szCs w:val="24"/>
        </w:rPr>
        <w:tab/>
        <w:t xml:space="preserve">Healthy Auckland Together. </w:t>
      </w:r>
      <w:r w:rsidRPr="00657137">
        <w:rPr>
          <w:rFonts w:ascii="Calibri" w:hAnsi="Calibri" w:cs="Calibri"/>
          <w:i/>
          <w:iCs/>
          <w:noProof/>
          <w:szCs w:val="24"/>
        </w:rPr>
        <w:t>Food Environments and Marketing</w:t>
      </w:r>
      <w:r w:rsidRPr="00657137">
        <w:rPr>
          <w:rFonts w:ascii="Calibri" w:hAnsi="Calibri" w:cs="Calibri"/>
          <w:noProof/>
          <w:szCs w:val="24"/>
        </w:rPr>
        <w:t xml:space="preserve"> [Internet]. 2019 [cited 2020 Jan 21]. Available from: http://www.healthyaucklandtogether.org.nz/take-action/food-environments-and-marketing/</w:t>
      </w:r>
    </w:p>
    <w:p w14:paraId="7E8A4C7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65. </w:t>
      </w:r>
      <w:r w:rsidRPr="00657137">
        <w:rPr>
          <w:rFonts w:ascii="Calibri" w:hAnsi="Calibri" w:cs="Calibri"/>
          <w:noProof/>
          <w:szCs w:val="24"/>
        </w:rPr>
        <w:tab/>
        <w:t xml:space="preserve">Office de la protection du consommateur. </w:t>
      </w:r>
      <w:r w:rsidRPr="00657137">
        <w:rPr>
          <w:rFonts w:ascii="Calibri" w:hAnsi="Calibri" w:cs="Calibri"/>
          <w:i/>
          <w:iCs/>
          <w:noProof/>
          <w:szCs w:val="24"/>
        </w:rPr>
        <w:t>Advertising targeted at children under 13 years of age. Guide to the Application of Sections 248 and 249 Consumer Protection Act</w:t>
      </w:r>
      <w:r w:rsidRPr="00657137">
        <w:rPr>
          <w:rFonts w:ascii="Calibri" w:hAnsi="Calibri" w:cs="Calibri"/>
          <w:noProof/>
          <w:szCs w:val="24"/>
        </w:rPr>
        <w:t xml:space="preserve"> [Internet]. 2013. Available from: https://www.opc.gouv.qc.ca/fileadmin/media/documents/consommateur/sujet/publicite-pratique-illegale/EN_Guide_publicite_moins_de_13_ans_vf.pdf</w:t>
      </w:r>
    </w:p>
    <w:p w14:paraId="1AA57D6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66. </w:t>
      </w:r>
      <w:r w:rsidRPr="00657137">
        <w:rPr>
          <w:rFonts w:ascii="Calibri" w:hAnsi="Calibri" w:cs="Calibri"/>
          <w:noProof/>
          <w:szCs w:val="24"/>
        </w:rPr>
        <w:tab/>
        <w:t xml:space="preserve">Kent MP, Dubois L, Wanless A. </w:t>
      </w:r>
      <w:r w:rsidRPr="00657137">
        <w:rPr>
          <w:rFonts w:ascii="Calibri" w:hAnsi="Calibri" w:cs="Calibri"/>
          <w:i/>
          <w:iCs/>
          <w:noProof/>
          <w:szCs w:val="24"/>
        </w:rPr>
        <w:t>Food marketing on children’s television in two different policy environments</w:t>
      </w:r>
      <w:r w:rsidRPr="00657137">
        <w:rPr>
          <w:rFonts w:ascii="Calibri" w:hAnsi="Calibri" w:cs="Calibri"/>
          <w:noProof/>
          <w:szCs w:val="24"/>
        </w:rPr>
        <w:t>. Int J Pediatr Obes [Internet]. 2011;6(2–2):e433-41. Available from: http://www.ncbi.nlm.nih.gov/pubmed/21062202</w:t>
      </w:r>
    </w:p>
    <w:p w14:paraId="59C7B29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67.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Set retail environment incentives</w:t>
      </w:r>
      <w:r w:rsidRPr="00657137">
        <w:rPr>
          <w:rFonts w:ascii="Calibri" w:hAnsi="Calibri" w:cs="Calibri"/>
          <w:noProof/>
          <w:szCs w:val="24"/>
        </w:rPr>
        <w:t xml:space="preserve"> [Internet]. 2016. Available from: http://www.wcrf.org/int/policy/nourishing-framework/set-retail-environment-incentives</w:t>
      </w:r>
    </w:p>
    <w:p w14:paraId="5D1B98E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68. </w:t>
      </w:r>
      <w:r w:rsidRPr="00657137">
        <w:rPr>
          <w:rFonts w:ascii="Calibri" w:hAnsi="Calibri" w:cs="Calibri"/>
          <w:noProof/>
          <w:szCs w:val="24"/>
        </w:rPr>
        <w:tab/>
      </w:r>
      <w:r w:rsidRPr="00657137">
        <w:rPr>
          <w:rFonts w:ascii="Calibri" w:hAnsi="Calibri" w:cs="Calibri"/>
          <w:i/>
          <w:iCs/>
          <w:noProof/>
          <w:szCs w:val="24"/>
        </w:rPr>
        <w:t>Chile Bans ‘Kinder Suprise’ and ‘Happy Meals’ to Combat Child Obesity</w:t>
      </w:r>
      <w:r w:rsidRPr="00657137">
        <w:rPr>
          <w:rFonts w:ascii="Calibri" w:hAnsi="Calibri" w:cs="Calibri"/>
          <w:noProof/>
          <w:szCs w:val="24"/>
        </w:rPr>
        <w:t>. The Argentina Independent [Internet]. 2016; Available from: http://www.argentinaindependent.com/currentaffairs/latest-news/newsfromlatinamerica/chile-bans-kinder-suprise-and-happy-meals-to-combat-child-obesity/</w:t>
      </w:r>
    </w:p>
    <w:p w14:paraId="06C5E9C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69. </w:t>
      </w:r>
      <w:r w:rsidRPr="00657137">
        <w:rPr>
          <w:rFonts w:ascii="Calibri" w:hAnsi="Calibri" w:cs="Calibri"/>
          <w:noProof/>
          <w:szCs w:val="24"/>
        </w:rPr>
        <w:tab/>
        <w:t xml:space="preserve">Dillman Carpentier FR, Correa T, Reyes M, Taillie LS. </w:t>
      </w:r>
      <w:r w:rsidRPr="00657137">
        <w:rPr>
          <w:rFonts w:ascii="Calibri" w:hAnsi="Calibri" w:cs="Calibri"/>
          <w:i/>
          <w:iCs/>
          <w:noProof/>
          <w:szCs w:val="24"/>
        </w:rPr>
        <w:t>Evaluating the impact of Chile’s marketing regulation of unhealthy foods and beverages: Pre-school and adolescent children’s changes in exposure to food advertising on television</w:t>
      </w:r>
      <w:r w:rsidRPr="00657137">
        <w:rPr>
          <w:rFonts w:ascii="Calibri" w:hAnsi="Calibri" w:cs="Calibri"/>
          <w:noProof/>
          <w:szCs w:val="24"/>
        </w:rPr>
        <w:t xml:space="preserve">. Public Health Nutr. 2019;1–9. </w:t>
      </w:r>
    </w:p>
    <w:p w14:paraId="71A5530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70. </w:t>
      </w:r>
      <w:r w:rsidRPr="00657137">
        <w:rPr>
          <w:rFonts w:ascii="Calibri" w:hAnsi="Calibri" w:cs="Calibri"/>
          <w:noProof/>
          <w:szCs w:val="24"/>
        </w:rPr>
        <w:tab/>
        <w:t xml:space="preserve">Mediano Stoltze F, Reyes M, Smith TL, Correa T, Corvalán C, Carpentier FRD. </w:t>
      </w:r>
      <w:r w:rsidRPr="00657137">
        <w:rPr>
          <w:rFonts w:ascii="Calibri" w:hAnsi="Calibri" w:cs="Calibri"/>
          <w:i/>
          <w:iCs/>
          <w:noProof/>
          <w:szCs w:val="24"/>
        </w:rPr>
        <w:t>Prevalence of Child-Directed Marketing on Breakfast Cereal Packages before and after Chile’s Food Marketing Law: A Pre- and Post-Quantitative Content Analysis</w:t>
      </w:r>
      <w:r w:rsidRPr="00657137">
        <w:rPr>
          <w:rFonts w:ascii="Calibri" w:hAnsi="Calibri" w:cs="Calibri"/>
          <w:noProof/>
          <w:szCs w:val="24"/>
        </w:rPr>
        <w:t>. Int J Environ Res Public Health [Internet]. 2019 Nov 15 [cited 2020 Feb 10];16(22):4501. Available from: https://www.mdpi.com/1660-4601/16/22/4501</w:t>
      </w:r>
    </w:p>
    <w:p w14:paraId="6E6FED9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71. </w:t>
      </w:r>
      <w:r w:rsidRPr="00657137">
        <w:rPr>
          <w:rFonts w:ascii="Calibri" w:hAnsi="Calibri" w:cs="Calibri"/>
          <w:noProof/>
          <w:szCs w:val="24"/>
        </w:rPr>
        <w:tab/>
        <w:t xml:space="preserve">Advertising Standards Authority. </w:t>
      </w:r>
      <w:r w:rsidRPr="00657137">
        <w:rPr>
          <w:rFonts w:ascii="Calibri" w:hAnsi="Calibri" w:cs="Calibri"/>
          <w:i/>
          <w:iCs/>
          <w:noProof/>
          <w:szCs w:val="24"/>
        </w:rPr>
        <w:t>Food: HFSS Media Placement 2018</w:t>
      </w:r>
      <w:r w:rsidRPr="00657137">
        <w:rPr>
          <w:rFonts w:ascii="Calibri" w:hAnsi="Calibri" w:cs="Calibri"/>
          <w:noProof/>
          <w:szCs w:val="24"/>
        </w:rPr>
        <w:t xml:space="preserve"> [Internet]. 2018. Available from: https://www.asa.org.uk/advice-online/food-hfss-media-placement.html</w:t>
      </w:r>
    </w:p>
    <w:p w14:paraId="56F9B76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72. </w:t>
      </w:r>
      <w:r w:rsidRPr="00657137">
        <w:rPr>
          <w:rFonts w:ascii="Calibri" w:hAnsi="Calibri" w:cs="Calibri"/>
          <w:noProof/>
          <w:szCs w:val="24"/>
        </w:rPr>
        <w:tab/>
        <w:t xml:space="preserve">Advertising Standards Authority. </w:t>
      </w:r>
      <w:r w:rsidRPr="00657137">
        <w:rPr>
          <w:rFonts w:ascii="Calibri" w:hAnsi="Calibri" w:cs="Calibri"/>
          <w:i/>
          <w:iCs/>
          <w:noProof/>
          <w:szCs w:val="24"/>
        </w:rPr>
        <w:t>New: Children and Young People’s Advertising Code</w:t>
      </w:r>
      <w:r w:rsidRPr="00657137">
        <w:rPr>
          <w:rFonts w:ascii="Calibri" w:hAnsi="Calibri" w:cs="Calibri"/>
          <w:noProof/>
          <w:szCs w:val="24"/>
        </w:rPr>
        <w:t xml:space="preserve"> [Internet]. 2017. Available from: http://www.asa.co.nz/codes/codes/new-children-young-peoples-advertising-code/</w:t>
      </w:r>
    </w:p>
    <w:p w14:paraId="44FDE1A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73. </w:t>
      </w:r>
      <w:r w:rsidRPr="00657137">
        <w:rPr>
          <w:rFonts w:ascii="Calibri" w:hAnsi="Calibri" w:cs="Calibri"/>
          <w:noProof/>
          <w:szCs w:val="24"/>
        </w:rPr>
        <w:tab/>
        <w:t xml:space="preserve">Jones N. </w:t>
      </w:r>
      <w:r w:rsidRPr="00657137">
        <w:rPr>
          <w:rFonts w:ascii="Calibri" w:hAnsi="Calibri" w:cs="Calibri"/>
          <w:i/>
          <w:iCs/>
          <w:noProof/>
          <w:szCs w:val="24"/>
        </w:rPr>
        <w:t>Junk food ads to be banned from around schools in anti-obesity actions agreed with industry - NZ Herald</w:t>
      </w:r>
      <w:r w:rsidRPr="00657137">
        <w:rPr>
          <w:rFonts w:ascii="Calibri" w:hAnsi="Calibri" w:cs="Calibri"/>
          <w:noProof/>
          <w:szCs w:val="24"/>
        </w:rPr>
        <w:t>. 2019 Nov 16 [cited 2020 Jan 31]; Available from: https://www.nzherald.co.nz/nz/news/article.cfm?c_id=1&amp;objectid=12285611</w:t>
      </w:r>
    </w:p>
    <w:p w14:paraId="5AC5B6F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74.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Restrict food marketing</w:t>
      </w:r>
      <w:r w:rsidRPr="00657137">
        <w:rPr>
          <w:rFonts w:ascii="Calibri" w:hAnsi="Calibri" w:cs="Calibri"/>
          <w:noProof/>
          <w:szCs w:val="24"/>
        </w:rPr>
        <w:t xml:space="preserve"> [Internet]. 2016. Available from: http://www.wcrf.org/int/policy/nourishing-framework/restrict-food-marketing</w:t>
      </w:r>
    </w:p>
    <w:p w14:paraId="6E0883D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75. </w:t>
      </w:r>
      <w:r w:rsidRPr="00657137">
        <w:rPr>
          <w:rFonts w:ascii="Calibri" w:hAnsi="Calibri" w:cs="Calibri"/>
          <w:noProof/>
          <w:szCs w:val="24"/>
        </w:rPr>
        <w:tab/>
        <w:t xml:space="preserve">Veerman JL, Cobiac LJ. </w:t>
      </w:r>
      <w:r w:rsidRPr="00657137">
        <w:rPr>
          <w:rFonts w:ascii="Calibri" w:hAnsi="Calibri" w:cs="Calibri"/>
          <w:i/>
          <w:iCs/>
          <w:noProof/>
          <w:szCs w:val="24"/>
        </w:rPr>
        <w:t>Removing the GST exemption for fresh fruits and vegetables could cost lives</w:t>
      </w:r>
      <w:r w:rsidRPr="00657137">
        <w:rPr>
          <w:rFonts w:ascii="Calibri" w:hAnsi="Calibri" w:cs="Calibri"/>
          <w:noProof/>
          <w:szCs w:val="24"/>
        </w:rPr>
        <w:t>. Med J Aust [Internet]. 2013;199(8):534–5. Available from: http://www.ncbi.nlm.nih.gov/pubmed/24138373</w:t>
      </w:r>
    </w:p>
    <w:p w14:paraId="57B6705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76.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Use economic tools</w:t>
      </w:r>
      <w:r w:rsidRPr="00657137">
        <w:rPr>
          <w:rFonts w:ascii="Calibri" w:hAnsi="Calibri" w:cs="Calibri"/>
          <w:noProof/>
          <w:szCs w:val="24"/>
        </w:rPr>
        <w:t xml:space="preserve"> [Internet]. 2016. Available from: http://www.wcrf.org/int/policy/nourishing-framework/use-economic-tools</w:t>
      </w:r>
    </w:p>
    <w:p w14:paraId="0D01DF3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77. </w:t>
      </w:r>
      <w:r w:rsidRPr="00657137">
        <w:rPr>
          <w:rFonts w:ascii="Calibri" w:hAnsi="Calibri" w:cs="Calibri"/>
          <w:noProof/>
          <w:szCs w:val="24"/>
        </w:rPr>
        <w:tab/>
      </w:r>
      <w:r w:rsidRPr="00657137">
        <w:rPr>
          <w:rFonts w:ascii="Calibri" w:hAnsi="Calibri" w:cs="Calibri"/>
          <w:i/>
          <w:iCs/>
          <w:noProof/>
          <w:szCs w:val="24"/>
        </w:rPr>
        <w:t>Policies to promote healthy eating in Europe: A structured review of policies and their effectiveness</w:t>
      </w:r>
      <w:r w:rsidRPr="00657137">
        <w:rPr>
          <w:rFonts w:ascii="Calibri" w:hAnsi="Calibri" w:cs="Calibri"/>
          <w:noProof/>
          <w:szCs w:val="24"/>
        </w:rPr>
        <w:t xml:space="preserve">. Nutr Rev. 2012;70(3):188–200. </w:t>
      </w:r>
    </w:p>
    <w:p w14:paraId="1BDD916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78. </w:t>
      </w:r>
      <w:r w:rsidRPr="00657137">
        <w:rPr>
          <w:rFonts w:ascii="Calibri" w:hAnsi="Calibri" w:cs="Calibri"/>
          <w:noProof/>
          <w:szCs w:val="24"/>
        </w:rPr>
        <w:tab/>
        <w:t xml:space="preserve">Walls J. </w:t>
      </w:r>
      <w:r w:rsidRPr="00657137">
        <w:rPr>
          <w:rFonts w:ascii="Calibri" w:hAnsi="Calibri" w:cs="Calibri"/>
          <w:i/>
          <w:iCs/>
          <w:noProof/>
          <w:szCs w:val="24"/>
        </w:rPr>
        <w:t xml:space="preserve">Ministry of Health is exploring the feasibility of a sugar tax but Govt says it won’t implement </w:t>
      </w:r>
      <w:r w:rsidRPr="00657137">
        <w:rPr>
          <w:rFonts w:ascii="Calibri" w:hAnsi="Calibri" w:cs="Calibri"/>
          <w:i/>
          <w:iCs/>
          <w:noProof/>
          <w:szCs w:val="24"/>
        </w:rPr>
        <w:lastRenderedPageBreak/>
        <w:t>one this term</w:t>
      </w:r>
      <w:r w:rsidRPr="00657137">
        <w:rPr>
          <w:rFonts w:ascii="Calibri" w:hAnsi="Calibri" w:cs="Calibri"/>
          <w:noProof/>
          <w:szCs w:val="24"/>
        </w:rPr>
        <w:t>. New Zealand Herald [Internet]. 2019 Jan 29; Available from: https://www.nzherald.co.nz/nz/news/article.cfm?c_id=1&amp;objectid=12197516</w:t>
      </w:r>
    </w:p>
    <w:p w14:paraId="1E210F3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79. </w:t>
      </w:r>
      <w:r w:rsidRPr="00657137">
        <w:rPr>
          <w:rFonts w:ascii="Calibri" w:hAnsi="Calibri" w:cs="Calibri"/>
          <w:noProof/>
          <w:szCs w:val="24"/>
        </w:rPr>
        <w:tab/>
        <w:t xml:space="preserve">Jones N. </w:t>
      </w:r>
      <w:r w:rsidRPr="00657137">
        <w:rPr>
          <w:rFonts w:ascii="Calibri" w:hAnsi="Calibri" w:cs="Calibri"/>
          <w:i/>
          <w:iCs/>
          <w:noProof/>
          <w:szCs w:val="24"/>
        </w:rPr>
        <w:t>Exclusive: Crackdown on junk food, drink to “turn tide” on diabetes: Associate Health Minister Peeni Henare</w:t>
      </w:r>
      <w:r w:rsidRPr="00657137">
        <w:rPr>
          <w:rFonts w:ascii="Calibri" w:hAnsi="Calibri" w:cs="Calibri"/>
          <w:noProof/>
          <w:szCs w:val="24"/>
        </w:rPr>
        <w:t>. New Zealand Herald [Internet]. 2019 Oct 9; Available from: https://www.nzherald.co.nz/nz/news/article.cfm?c_id=1&amp;objectid=12274252</w:t>
      </w:r>
    </w:p>
    <w:p w14:paraId="75526EA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80. </w:t>
      </w:r>
      <w:r w:rsidRPr="00657137">
        <w:rPr>
          <w:rFonts w:ascii="Calibri" w:hAnsi="Calibri" w:cs="Calibri"/>
          <w:noProof/>
          <w:szCs w:val="24"/>
        </w:rPr>
        <w:tab/>
        <w:t xml:space="preserve">Sundborn G, Thornley S, Beaglehole R, Bezzant N. </w:t>
      </w:r>
      <w:r w:rsidRPr="00657137">
        <w:rPr>
          <w:rFonts w:ascii="Calibri" w:hAnsi="Calibri" w:cs="Calibri"/>
          <w:i/>
          <w:iCs/>
          <w:noProof/>
          <w:szCs w:val="24"/>
        </w:rPr>
        <w:t>Policy brief: a sugary drink tax for New Zealand and 10,000-strong petition snubbed by Minister of Health and National Government</w:t>
      </w:r>
      <w:r w:rsidRPr="00657137">
        <w:rPr>
          <w:rFonts w:ascii="Calibri" w:hAnsi="Calibri" w:cs="Calibri"/>
          <w:noProof/>
          <w:szCs w:val="24"/>
        </w:rPr>
        <w:t>. New Zeal Med J [Internet]. 2017 Sep 22;130(1462):114–6. Available from: http://ezproxy.auckland.ac.nz/login?url=https://search.proquest.com/docview/1943480107?accountid=8424</w:t>
      </w:r>
    </w:p>
    <w:p w14:paraId="766CC2A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81. </w:t>
      </w:r>
      <w:r w:rsidRPr="00657137">
        <w:rPr>
          <w:rFonts w:ascii="Calibri" w:hAnsi="Calibri" w:cs="Calibri"/>
          <w:noProof/>
          <w:szCs w:val="24"/>
        </w:rPr>
        <w:tab/>
        <w:t xml:space="preserve">New Zealand Institute of Economic Research. </w:t>
      </w:r>
      <w:r w:rsidRPr="00657137">
        <w:rPr>
          <w:rFonts w:ascii="Calibri" w:hAnsi="Calibri" w:cs="Calibri"/>
          <w:i/>
          <w:iCs/>
          <w:noProof/>
          <w:szCs w:val="24"/>
        </w:rPr>
        <w:t>Sugar taxes A review of the evidence NZIER report to Ministry of Health</w:t>
      </w:r>
      <w:r w:rsidRPr="00657137">
        <w:rPr>
          <w:rFonts w:ascii="Calibri" w:hAnsi="Calibri" w:cs="Calibri"/>
          <w:noProof/>
          <w:szCs w:val="24"/>
        </w:rPr>
        <w:t xml:space="preserve"> [Internet]. 2017 [cited 2020 Jan 31]. Available from: www.nzier.org.nz.</w:t>
      </w:r>
    </w:p>
    <w:p w14:paraId="4575735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82. </w:t>
      </w:r>
      <w:r w:rsidRPr="00657137">
        <w:rPr>
          <w:rFonts w:ascii="Calibri" w:hAnsi="Calibri" w:cs="Calibri"/>
          <w:noProof/>
          <w:szCs w:val="24"/>
        </w:rPr>
        <w:tab/>
        <w:t xml:space="preserve">Colchero MA, Popkin BM, Rivera JA, Ng SW. </w:t>
      </w:r>
      <w:r w:rsidRPr="00657137">
        <w:rPr>
          <w:rFonts w:ascii="Calibri" w:hAnsi="Calibri" w:cs="Calibri"/>
          <w:i/>
          <w:iCs/>
          <w:noProof/>
          <w:szCs w:val="24"/>
        </w:rPr>
        <w:t>Beverage purchases from stores in Mexico under the excise tax on sugar sweetened beverages: observational study</w:t>
      </w:r>
      <w:r w:rsidRPr="00657137">
        <w:rPr>
          <w:rFonts w:ascii="Calibri" w:hAnsi="Calibri" w:cs="Calibri"/>
          <w:noProof/>
          <w:szCs w:val="24"/>
        </w:rPr>
        <w:t>. BMJ [Internet]. 2016;352:h6704. Available from: http://www.ncbi.nlm.nih.gov/pubmed/26738745</w:t>
      </w:r>
    </w:p>
    <w:p w14:paraId="45D69A4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83. </w:t>
      </w:r>
      <w:r w:rsidRPr="00657137">
        <w:rPr>
          <w:rFonts w:ascii="Calibri" w:hAnsi="Calibri" w:cs="Calibri"/>
          <w:noProof/>
          <w:szCs w:val="24"/>
        </w:rPr>
        <w:tab/>
        <w:t xml:space="preserve">Biro A. </w:t>
      </w:r>
      <w:r w:rsidRPr="00657137">
        <w:rPr>
          <w:rFonts w:ascii="Calibri" w:hAnsi="Calibri" w:cs="Calibri"/>
          <w:i/>
          <w:iCs/>
          <w:noProof/>
          <w:szCs w:val="24"/>
        </w:rPr>
        <w:t>Did the junk food tax make the Hungarians eat healthier?</w:t>
      </w:r>
      <w:r w:rsidRPr="00657137">
        <w:rPr>
          <w:rFonts w:ascii="Calibri" w:hAnsi="Calibri" w:cs="Calibri"/>
          <w:noProof/>
          <w:szCs w:val="24"/>
        </w:rPr>
        <w:t xml:space="preserve"> Food Policy. 2015;54:107–15. </w:t>
      </w:r>
    </w:p>
    <w:p w14:paraId="54E8C50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84. </w:t>
      </w:r>
      <w:r w:rsidRPr="00657137">
        <w:rPr>
          <w:rFonts w:ascii="Calibri" w:hAnsi="Calibri" w:cs="Calibri"/>
          <w:noProof/>
          <w:szCs w:val="24"/>
        </w:rPr>
        <w:tab/>
        <w:t xml:space="preserve">Rathbone Greenbank Investments. </w:t>
      </w:r>
      <w:r w:rsidRPr="00657137">
        <w:rPr>
          <w:rFonts w:ascii="Calibri" w:hAnsi="Calibri" w:cs="Calibri"/>
          <w:i/>
          <w:iCs/>
          <w:noProof/>
          <w:szCs w:val="24"/>
        </w:rPr>
        <w:t>The UK sugar tax: one year on | Rathbone Greenbank Investment</w:t>
      </w:r>
      <w:r w:rsidRPr="00657137">
        <w:rPr>
          <w:rFonts w:ascii="Calibri" w:hAnsi="Calibri" w:cs="Calibri"/>
          <w:noProof/>
          <w:szCs w:val="24"/>
        </w:rPr>
        <w:t xml:space="preserve"> [Internet]. 2019 [cited 2020 Feb 10]. Available from: https://www.rathbonegreenbank.com/insight/uk-sugar-tax-one-year</w:t>
      </w:r>
    </w:p>
    <w:p w14:paraId="00DB320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85. </w:t>
      </w:r>
      <w:r w:rsidRPr="00657137">
        <w:rPr>
          <w:rFonts w:ascii="Calibri" w:hAnsi="Calibri" w:cs="Calibri"/>
          <w:noProof/>
          <w:szCs w:val="24"/>
        </w:rPr>
        <w:tab/>
        <w:t xml:space="preserve">UK Parliment. </w:t>
      </w:r>
      <w:r w:rsidRPr="00657137">
        <w:rPr>
          <w:rFonts w:ascii="Calibri" w:hAnsi="Calibri" w:cs="Calibri"/>
          <w:i/>
          <w:iCs/>
          <w:noProof/>
          <w:szCs w:val="24"/>
        </w:rPr>
        <w:t>Financial Statement Volume 622 - Hansard</w:t>
      </w:r>
      <w:r w:rsidRPr="00657137">
        <w:rPr>
          <w:rFonts w:ascii="Calibri" w:hAnsi="Calibri" w:cs="Calibri"/>
          <w:noProof/>
          <w:szCs w:val="24"/>
        </w:rPr>
        <w:t xml:space="preserve"> [Internet]. 2017 [cited 2020 Feb 10]. Available from: https://hansard.parliament.uk/Commons/2017-03-08/debates/9128238B-4A1C-4EEA-A6F0-6FEB0B5024D8/FinancialStatement#contribution-7B30FFC0-4B7A-4D63-8075-3C7F83EDC5</w:t>
      </w:r>
    </w:p>
    <w:p w14:paraId="7419F40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86.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Harness food supply chain</w:t>
      </w:r>
      <w:r w:rsidRPr="00657137">
        <w:rPr>
          <w:rFonts w:ascii="Calibri" w:hAnsi="Calibri" w:cs="Calibri"/>
          <w:noProof/>
          <w:szCs w:val="24"/>
        </w:rPr>
        <w:t xml:space="preserve"> [Internet]. 2016. Available from: http://www.wcrf.org/int/policy/nourishing-framework/harness-food-supply-chain</w:t>
      </w:r>
    </w:p>
    <w:p w14:paraId="22B39C1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87. </w:t>
      </w:r>
      <w:r w:rsidRPr="00657137">
        <w:rPr>
          <w:rFonts w:ascii="Calibri" w:hAnsi="Calibri" w:cs="Calibri"/>
          <w:noProof/>
          <w:szCs w:val="24"/>
        </w:rPr>
        <w:tab/>
        <w:t xml:space="preserve">Minsitry of Social Development. </w:t>
      </w:r>
      <w:r w:rsidRPr="00657137">
        <w:rPr>
          <w:rFonts w:ascii="Calibri" w:hAnsi="Calibri" w:cs="Calibri"/>
          <w:i/>
          <w:iCs/>
          <w:noProof/>
          <w:szCs w:val="24"/>
        </w:rPr>
        <w:t>Disability Allowance</w:t>
      </w:r>
      <w:r w:rsidRPr="00657137">
        <w:rPr>
          <w:rFonts w:ascii="Calibri" w:hAnsi="Calibri" w:cs="Calibri"/>
          <w:noProof/>
          <w:szCs w:val="24"/>
        </w:rPr>
        <w:t xml:space="preserve"> [Internet]. 2017. Available from: https://www.workandincome.govt.nz/products/a-z-benefits/disability-allowance.html</w:t>
      </w:r>
    </w:p>
    <w:p w14:paraId="5F77105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88. </w:t>
      </w:r>
      <w:r w:rsidRPr="00657137">
        <w:rPr>
          <w:rFonts w:ascii="Calibri" w:hAnsi="Calibri" w:cs="Calibri"/>
          <w:noProof/>
          <w:szCs w:val="24"/>
        </w:rPr>
        <w:tab/>
        <w:t xml:space="preserve">Edmunds S. </w:t>
      </w:r>
      <w:r w:rsidRPr="00657137">
        <w:rPr>
          <w:rFonts w:ascii="Calibri" w:hAnsi="Calibri" w:cs="Calibri"/>
          <w:i/>
          <w:iCs/>
          <w:noProof/>
          <w:szCs w:val="24"/>
        </w:rPr>
        <w:t>My Food Bag kits for beneficiaries “a way to avoid giving people money” | Stuff.co.nz</w:t>
      </w:r>
      <w:r w:rsidRPr="00657137">
        <w:rPr>
          <w:rFonts w:ascii="Calibri" w:hAnsi="Calibri" w:cs="Calibri"/>
          <w:noProof/>
          <w:szCs w:val="24"/>
        </w:rPr>
        <w:t>. stuff.co.nz [Internet]. 2019 Dec 12 [cited 2020 Jan 31]; Available from: https://www.stuff.co.nz/business/118132587/my-food-bag-kits-for-beneficiaries-a-way-to-avoid-giving-people-money</w:t>
      </w:r>
    </w:p>
    <w:p w14:paraId="75BBB7F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89. </w:t>
      </w:r>
      <w:r w:rsidRPr="00657137">
        <w:rPr>
          <w:rFonts w:ascii="Calibri" w:hAnsi="Calibri" w:cs="Calibri"/>
          <w:noProof/>
          <w:szCs w:val="24"/>
        </w:rPr>
        <w:tab/>
        <w:t xml:space="preserve">NZ Government. </w:t>
      </w:r>
      <w:r w:rsidRPr="00657137">
        <w:rPr>
          <w:rFonts w:ascii="Calibri" w:hAnsi="Calibri" w:cs="Calibri"/>
          <w:i/>
          <w:iCs/>
          <w:noProof/>
          <w:szCs w:val="24"/>
        </w:rPr>
        <w:t>Funding boosts to help vulnerable children - PM</w:t>
      </w:r>
      <w:r w:rsidRPr="00657137">
        <w:rPr>
          <w:rFonts w:ascii="Calibri" w:hAnsi="Calibri" w:cs="Calibri"/>
          <w:noProof/>
          <w:szCs w:val="24"/>
        </w:rPr>
        <w:t xml:space="preserve"> [Internet]. 28 May 201. 2013. Available from: https://www.beehive.govt.nz/release/funding-boosts-help-vulnerable-children-pm</w:t>
      </w:r>
    </w:p>
    <w:p w14:paraId="3D8D8C6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90. </w:t>
      </w:r>
      <w:r w:rsidRPr="00657137">
        <w:rPr>
          <w:rFonts w:ascii="Calibri" w:hAnsi="Calibri" w:cs="Calibri"/>
          <w:noProof/>
          <w:szCs w:val="24"/>
        </w:rPr>
        <w:tab/>
        <w:t xml:space="preserve">KickStart Breakfast. </w:t>
      </w:r>
      <w:r w:rsidRPr="00657137">
        <w:rPr>
          <w:rFonts w:ascii="Calibri" w:hAnsi="Calibri" w:cs="Calibri"/>
          <w:i/>
          <w:iCs/>
          <w:noProof/>
          <w:szCs w:val="24"/>
        </w:rPr>
        <w:t>About KickStart Breakfast</w:t>
      </w:r>
      <w:r w:rsidRPr="00657137">
        <w:rPr>
          <w:rFonts w:ascii="Calibri" w:hAnsi="Calibri" w:cs="Calibri"/>
          <w:noProof/>
          <w:szCs w:val="24"/>
        </w:rPr>
        <w:t xml:space="preserve"> [Internet]. 2017. Available from: https://kickstartbreakfast.co.nz/about</w:t>
      </w:r>
    </w:p>
    <w:p w14:paraId="7A50D14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91. </w:t>
      </w:r>
      <w:r w:rsidRPr="00657137">
        <w:rPr>
          <w:rFonts w:ascii="Calibri" w:hAnsi="Calibri" w:cs="Calibri"/>
          <w:noProof/>
          <w:szCs w:val="24"/>
        </w:rPr>
        <w:tab/>
        <w:t xml:space="preserve">Ardern JHR, Martin TH. </w:t>
      </w:r>
      <w:r w:rsidRPr="00657137">
        <w:rPr>
          <w:rFonts w:ascii="Calibri" w:hAnsi="Calibri" w:cs="Calibri"/>
          <w:i/>
          <w:iCs/>
          <w:noProof/>
          <w:szCs w:val="24"/>
        </w:rPr>
        <w:t>School lunch programme launched</w:t>
      </w:r>
      <w:r w:rsidRPr="00657137">
        <w:rPr>
          <w:rFonts w:ascii="Calibri" w:hAnsi="Calibri" w:cs="Calibri"/>
          <w:noProof/>
          <w:szCs w:val="24"/>
        </w:rPr>
        <w:t xml:space="preserve"> [Internet]. Beehive Media Releases. 2019. Available from: https://www.beehive.govt.nz/release/school-lunch-programme-launched</w:t>
      </w:r>
    </w:p>
    <w:p w14:paraId="0979FDB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92. </w:t>
      </w:r>
      <w:r w:rsidRPr="00657137">
        <w:rPr>
          <w:rFonts w:ascii="Calibri" w:hAnsi="Calibri" w:cs="Calibri"/>
          <w:noProof/>
          <w:szCs w:val="24"/>
        </w:rPr>
        <w:tab/>
        <w:t xml:space="preserve">Ministry of Health. </w:t>
      </w:r>
      <w:r w:rsidRPr="00657137">
        <w:rPr>
          <w:rFonts w:ascii="Calibri" w:hAnsi="Calibri" w:cs="Calibri"/>
          <w:i/>
          <w:iCs/>
          <w:noProof/>
          <w:szCs w:val="24"/>
        </w:rPr>
        <w:t>Healthy Food and Drink Guidance - Schools</w:t>
      </w:r>
      <w:r w:rsidRPr="00657137">
        <w:rPr>
          <w:rFonts w:ascii="Calibri" w:hAnsi="Calibri" w:cs="Calibri"/>
          <w:noProof/>
          <w:szCs w:val="24"/>
        </w:rPr>
        <w:t xml:space="preserve">. 2019. </w:t>
      </w:r>
    </w:p>
    <w:p w14:paraId="28073CC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93. </w:t>
      </w:r>
      <w:r w:rsidRPr="00657137">
        <w:rPr>
          <w:rFonts w:ascii="Calibri" w:hAnsi="Calibri" w:cs="Calibri"/>
          <w:noProof/>
          <w:szCs w:val="24"/>
        </w:rPr>
        <w:tab/>
        <w:t xml:space="preserve">Ministry of Education. </w:t>
      </w:r>
      <w:r w:rsidRPr="00657137">
        <w:rPr>
          <w:rFonts w:ascii="Calibri" w:hAnsi="Calibri" w:cs="Calibri"/>
          <w:i/>
          <w:iCs/>
          <w:noProof/>
          <w:szCs w:val="24"/>
        </w:rPr>
        <w:t>The National Administration Guidelines (NAGs) | Education in New Zealand</w:t>
      </w:r>
      <w:r w:rsidRPr="00657137">
        <w:rPr>
          <w:rFonts w:ascii="Calibri" w:hAnsi="Calibri" w:cs="Calibri"/>
          <w:noProof/>
          <w:szCs w:val="24"/>
        </w:rPr>
        <w:t xml:space="preserve"> [Internet]. 2017 [cited 2020 Jan 15]. Available from: http://www.education.govt.nz/our-work/legislation/nags/</w:t>
      </w:r>
    </w:p>
    <w:p w14:paraId="38B4972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94. </w:t>
      </w:r>
      <w:r w:rsidRPr="00657137">
        <w:rPr>
          <w:rFonts w:ascii="Calibri" w:hAnsi="Calibri" w:cs="Calibri"/>
          <w:noProof/>
          <w:szCs w:val="24"/>
        </w:rPr>
        <w:tab/>
        <w:t xml:space="preserve">Fuelled for Life. </w:t>
      </w:r>
      <w:r w:rsidRPr="00657137">
        <w:rPr>
          <w:rFonts w:ascii="Calibri" w:hAnsi="Calibri" w:cs="Calibri"/>
          <w:i/>
          <w:iCs/>
          <w:noProof/>
          <w:szCs w:val="24"/>
        </w:rPr>
        <w:t>Food and beverage classification system nutrient framework for schools</w:t>
      </w:r>
      <w:r w:rsidRPr="00657137">
        <w:rPr>
          <w:rFonts w:ascii="Calibri" w:hAnsi="Calibri" w:cs="Calibri"/>
          <w:noProof/>
          <w:szCs w:val="24"/>
        </w:rPr>
        <w:t xml:space="preserve"> [Internet]. 2016. Available from: http://www.fuelled4life.org.nz/</w:t>
      </w:r>
    </w:p>
    <w:p w14:paraId="0318B29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95. </w:t>
      </w:r>
      <w:r w:rsidRPr="00657137">
        <w:rPr>
          <w:rFonts w:ascii="Calibri" w:hAnsi="Calibri" w:cs="Calibri"/>
          <w:noProof/>
          <w:szCs w:val="24"/>
        </w:rPr>
        <w:tab/>
        <w:t xml:space="preserve">Ministry of Health. </w:t>
      </w:r>
      <w:r w:rsidRPr="00657137">
        <w:rPr>
          <w:rFonts w:ascii="Calibri" w:hAnsi="Calibri" w:cs="Calibri"/>
          <w:i/>
          <w:iCs/>
          <w:noProof/>
          <w:szCs w:val="24"/>
        </w:rPr>
        <w:t>Ministry of Health encourages schools to adopt water only policies</w:t>
      </w:r>
      <w:r w:rsidRPr="00657137">
        <w:rPr>
          <w:rFonts w:ascii="Calibri" w:hAnsi="Calibri" w:cs="Calibri"/>
          <w:noProof/>
          <w:szCs w:val="24"/>
        </w:rPr>
        <w:t xml:space="preserve"> [Internet]. 2016. Available from: http://www.health.govt.nz/news-media/media-releases/ministry-health-encourages-schools-adopt-water-only-policies</w:t>
      </w:r>
    </w:p>
    <w:p w14:paraId="65879CB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96. </w:t>
      </w:r>
      <w:r w:rsidRPr="00657137">
        <w:rPr>
          <w:rFonts w:ascii="Calibri" w:hAnsi="Calibri" w:cs="Calibri"/>
          <w:noProof/>
          <w:szCs w:val="24"/>
        </w:rPr>
        <w:tab/>
        <w:t xml:space="preserve">Regional Public Health &amp; Ministry of Health. </w:t>
      </w:r>
      <w:r w:rsidRPr="00657137">
        <w:rPr>
          <w:rFonts w:ascii="Calibri" w:hAnsi="Calibri" w:cs="Calibri"/>
          <w:i/>
          <w:iCs/>
          <w:noProof/>
          <w:szCs w:val="24"/>
        </w:rPr>
        <w:t>Water-only School Toolkit</w:t>
      </w:r>
      <w:r w:rsidRPr="00657137">
        <w:rPr>
          <w:rFonts w:ascii="Calibri" w:hAnsi="Calibri" w:cs="Calibri"/>
          <w:noProof/>
          <w:szCs w:val="24"/>
        </w:rPr>
        <w:t xml:space="preserve"> [Internet]. [cited 2020 Jan 16]. Available from: http://www.rph.org.nz/public-health-topics/schools/water-only-schools/water-only-school-toolkit(d2520117-c76f-4453-b6ac-34eea383a883)/wateronlyschoolstoolkitupdated.pdf</w:t>
      </w:r>
    </w:p>
    <w:p w14:paraId="1E935D1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97. </w:t>
      </w:r>
      <w:r w:rsidRPr="00657137">
        <w:rPr>
          <w:rFonts w:ascii="Calibri" w:hAnsi="Calibri" w:cs="Calibri"/>
          <w:noProof/>
          <w:szCs w:val="24"/>
        </w:rPr>
        <w:tab/>
        <w:t xml:space="preserve">Ministry of Education. </w:t>
      </w:r>
      <w:r w:rsidRPr="00657137">
        <w:rPr>
          <w:rFonts w:ascii="Calibri" w:hAnsi="Calibri" w:cs="Calibri"/>
          <w:i/>
          <w:iCs/>
          <w:noProof/>
          <w:szCs w:val="24"/>
        </w:rPr>
        <w:t xml:space="preserve">Guideline 4: Healthy nutrition in schools / Guidelines for school food </w:t>
      </w:r>
      <w:r w:rsidRPr="00657137">
        <w:rPr>
          <w:rFonts w:ascii="Calibri" w:hAnsi="Calibri" w:cs="Calibri"/>
          <w:i/>
          <w:iCs/>
          <w:noProof/>
          <w:szCs w:val="24"/>
        </w:rPr>
        <w:lastRenderedPageBreak/>
        <w:t>programmes / Healthy lifestyles / Key collections / Home - Health &amp; PE</w:t>
      </w:r>
      <w:r w:rsidRPr="00657137">
        <w:rPr>
          <w:rFonts w:ascii="Calibri" w:hAnsi="Calibri" w:cs="Calibri"/>
          <w:noProof/>
          <w:szCs w:val="24"/>
        </w:rPr>
        <w:t xml:space="preserve"> [Internet]. [cited 2020 Feb 5]. Available from: https://health.tki.org.nz/Key-collections/Healthy-lifestyles/Guidelines-for-school-food-programmes/Guideline-4-Healthy-nutrition-in-schools</w:t>
      </w:r>
    </w:p>
    <w:p w14:paraId="16661E1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98. </w:t>
      </w:r>
      <w:r w:rsidRPr="00657137">
        <w:rPr>
          <w:rFonts w:ascii="Calibri" w:hAnsi="Calibri" w:cs="Calibri"/>
          <w:noProof/>
          <w:szCs w:val="24"/>
        </w:rPr>
        <w:tab/>
        <w:t xml:space="preserve">INFORMAS. </w:t>
      </w:r>
      <w:r w:rsidRPr="00657137">
        <w:rPr>
          <w:rFonts w:ascii="Calibri" w:hAnsi="Calibri" w:cs="Calibri"/>
          <w:i/>
          <w:iCs/>
          <w:noProof/>
          <w:szCs w:val="24"/>
        </w:rPr>
        <w:t>NZ Food Environment Survey | INFORMAS</w:t>
      </w:r>
      <w:r w:rsidRPr="00657137">
        <w:rPr>
          <w:rFonts w:ascii="Calibri" w:hAnsi="Calibri" w:cs="Calibri"/>
          <w:noProof/>
          <w:szCs w:val="24"/>
        </w:rPr>
        <w:t xml:space="preserve"> [Internet]. 2017 [cited 2020 Feb 5]. Available from: https://www.informas.org/nz-food-environment-study/</w:t>
      </w:r>
    </w:p>
    <w:p w14:paraId="669CDB5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99. </w:t>
      </w:r>
      <w:r w:rsidRPr="00657137">
        <w:rPr>
          <w:rFonts w:ascii="Calibri" w:hAnsi="Calibri" w:cs="Calibri"/>
          <w:noProof/>
          <w:szCs w:val="24"/>
        </w:rPr>
        <w:tab/>
        <w:t xml:space="preserve">Ministry of Education. </w:t>
      </w:r>
      <w:r w:rsidRPr="00657137">
        <w:rPr>
          <w:rFonts w:ascii="Calibri" w:hAnsi="Calibri" w:cs="Calibri"/>
          <w:i/>
          <w:iCs/>
          <w:noProof/>
          <w:szCs w:val="24"/>
        </w:rPr>
        <w:t>Licensing Criteria for Early Childhood Education &amp; Care Services 2008 and Early Childhood Education Curriculum Framework</w:t>
      </w:r>
      <w:r w:rsidRPr="00657137">
        <w:rPr>
          <w:rFonts w:ascii="Calibri" w:hAnsi="Calibri" w:cs="Calibri"/>
          <w:noProof/>
          <w:szCs w:val="24"/>
        </w:rPr>
        <w:t xml:space="preserve"> [Internet]. Wellington: Ministry of Education; 2018 [cited 2020 Jan 31]. 40 p. Available from: www.education.govt.nz</w:t>
      </w:r>
    </w:p>
    <w:p w14:paraId="2A97EFB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100. </w:t>
      </w:r>
      <w:r w:rsidRPr="00657137">
        <w:rPr>
          <w:rFonts w:ascii="Calibri" w:hAnsi="Calibri" w:cs="Calibri"/>
          <w:noProof/>
          <w:szCs w:val="24"/>
        </w:rPr>
        <w:tab/>
        <w:t xml:space="preserve">Children’s Commissioner. </w:t>
      </w:r>
      <w:r w:rsidRPr="00657137">
        <w:rPr>
          <w:rFonts w:ascii="Calibri" w:hAnsi="Calibri" w:cs="Calibri"/>
          <w:i/>
          <w:iCs/>
          <w:noProof/>
          <w:szCs w:val="24"/>
        </w:rPr>
        <w:t>Guidelines for school food programmes. Best practice guidance for your school</w:t>
      </w:r>
      <w:r w:rsidRPr="00657137">
        <w:rPr>
          <w:rFonts w:ascii="Calibri" w:hAnsi="Calibri" w:cs="Calibri"/>
          <w:noProof/>
          <w:szCs w:val="24"/>
        </w:rPr>
        <w:t xml:space="preserve"> [Internet]. Children’s Commissioner: Wellington; 2014. Available from: http://www.occ.org.nz/assets/Publications/Guidelines-for-Food-in-Schools.pdf</w:t>
      </w:r>
    </w:p>
    <w:p w14:paraId="21D478D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101. </w:t>
      </w:r>
      <w:r w:rsidRPr="00657137">
        <w:rPr>
          <w:rFonts w:ascii="Calibri" w:hAnsi="Calibri" w:cs="Calibri"/>
          <w:noProof/>
          <w:szCs w:val="24"/>
        </w:rPr>
        <w:tab/>
        <w:t xml:space="preserve">World Cancer Research Fund. </w:t>
      </w:r>
      <w:r w:rsidRPr="00657137">
        <w:rPr>
          <w:rFonts w:ascii="Calibri" w:hAnsi="Calibri" w:cs="Calibri"/>
          <w:i/>
          <w:iCs/>
          <w:noProof/>
          <w:szCs w:val="24"/>
        </w:rPr>
        <w:t>NOURISHING Framework - Offer healthy foods</w:t>
      </w:r>
      <w:r w:rsidRPr="00657137">
        <w:rPr>
          <w:rFonts w:ascii="Calibri" w:hAnsi="Calibri" w:cs="Calibri"/>
          <w:noProof/>
          <w:szCs w:val="24"/>
        </w:rPr>
        <w:t xml:space="preserve"> [Internet]. 2016. Available from: http://www.wcrf.org/int/policy/nourishing-framework/offer-healthy-foods</w:t>
      </w:r>
    </w:p>
    <w:p w14:paraId="6F2D2B9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102. </w:t>
      </w:r>
      <w:r w:rsidRPr="00657137">
        <w:rPr>
          <w:rFonts w:ascii="Calibri" w:hAnsi="Calibri" w:cs="Calibri"/>
          <w:noProof/>
          <w:szCs w:val="24"/>
        </w:rPr>
        <w:tab/>
        <w:t xml:space="preserve">Fundo Nacional de Desinvolvimento da Educacao. </w:t>
      </w:r>
      <w:r w:rsidRPr="00657137">
        <w:rPr>
          <w:rFonts w:ascii="Calibri" w:hAnsi="Calibri" w:cs="Calibri"/>
          <w:i/>
          <w:iCs/>
          <w:noProof/>
          <w:szCs w:val="24"/>
        </w:rPr>
        <w:t>Sobre o PNAE</w:t>
      </w:r>
      <w:r w:rsidRPr="00657137">
        <w:rPr>
          <w:rFonts w:ascii="Calibri" w:hAnsi="Calibri" w:cs="Calibri"/>
          <w:noProof/>
          <w:szCs w:val="24"/>
        </w:rPr>
        <w:t xml:space="preserve"> [Internet]. 2016. Available from: http://www.fnde.gov.br/programas/alimentacao-escolar</w:t>
      </w:r>
    </w:p>
    <w:p w14:paraId="32ED5AD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103. </w:t>
      </w:r>
      <w:r w:rsidRPr="00657137">
        <w:rPr>
          <w:rFonts w:ascii="Calibri" w:hAnsi="Calibri" w:cs="Calibri"/>
          <w:noProof/>
          <w:szCs w:val="24"/>
        </w:rPr>
        <w:tab/>
        <w:t xml:space="preserve">Ministry of Education. </w:t>
      </w:r>
      <w:r w:rsidRPr="00657137">
        <w:rPr>
          <w:rFonts w:ascii="Calibri" w:hAnsi="Calibri" w:cs="Calibri"/>
          <w:i/>
          <w:iCs/>
          <w:noProof/>
          <w:szCs w:val="24"/>
        </w:rPr>
        <w:t>National Fund for Education Development, Resolution No 26 of 17 June 2013 (Ministério da Educação, Fundo Nacional de Desenvolvimento da Educação, Resolução No 26 de 17 de junho de 2013)</w:t>
      </w:r>
      <w:r w:rsidRPr="00657137">
        <w:rPr>
          <w:rFonts w:ascii="Calibri" w:hAnsi="Calibri" w:cs="Calibri"/>
          <w:noProof/>
          <w:szCs w:val="24"/>
        </w:rPr>
        <w:t xml:space="preserve">. Brazil: Ministry of Education; 2016. </w:t>
      </w:r>
    </w:p>
    <w:p w14:paraId="56C33CB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104. </w:t>
      </w:r>
      <w:r w:rsidRPr="00657137">
        <w:rPr>
          <w:rFonts w:ascii="Calibri" w:hAnsi="Calibri" w:cs="Calibri"/>
          <w:noProof/>
          <w:szCs w:val="24"/>
        </w:rPr>
        <w:tab/>
        <w:t xml:space="preserve">National District Health Board Food and Network Drink Environments. </w:t>
      </w:r>
      <w:r w:rsidRPr="00657137">
        <w:rPr>
          <w:rFonts w:ascii="Calibri" w:hAnsi="Calibri" w:cs="Calibri"/>
          <w:i/>
          <w:iCs/>
          <w:noProof/>
          <w:szCs w:val="24"/>
        </w:rPr>
        <w:t>National Healthy Food and Drink Policy (2nd ed)</w:t>
      </w:r>
      <w:r w:rsidRPr="00657137">
        <w:rPr>
          <w:rFonts w:ascii="Calibri" w:hAnsi="Calibri" w:cs="Calibri"/>
          <w:noProof/>
          <w:szCs w:val="24"/>
        </w:rPr>
        <w:t xml:space="preserve"> [Internet]. 2nd ed. Wellington: Ministry of Health; 2019. Available from: https://www.health.govt.nz/system/files/documents/publications/national-healthy-food-and-drink-policy-2nd-edition.pdf</w:t>
      </w:r>
    </w:p>
    <w:p w14:paraId="1AFD9C1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105. </w:t>
      </w:r>
      <w:r w:rsidRPr="00657137">
        <w:rPr>
          <w:rFonts w:ascii="Calibri" w:hAnsi="Calibri" w:cs="Calibri"/>
          <w:noProof/>
          <w:szCs w:val="24"/>
        </w:rPr>
        <w:tab/>
        <w:t xml:space="preserve">Ministry of Health. </w:t>
      </w:r>
      <w:r w:rsidRPr="00657137">
        <w:rPr>
          <w:rFonts w:ascii="Calibri" w:hAnsi="Calibri" w:cs="Calibri"/>
          <w:i/>
          <w:iCs/>
          <w:noProof/>
          <w:szCs w:val="24"/>
        </w:rPr>
        <w:t xml:space="preserve">Healthy Food and Drink Policy for Organisations </w:t>
      </w:r>
      <w:r w:rsidRPr="00657137">
        <w:rPr>
          <w:rFonts w:ascii="Calibri" w:hAnsi="Calibri" w:cs="Calibri"/>
          <w:noProof/>
          <w:szCs w:val="24"/>
        </w:rPr>
        <w:t xml:space="preserve"> [Internet]. 2016. Available from: http://www.health.govt.nz/system/files/documents/publications/healthy-food-and-drink-policy-for-organisations-sept20-16.pdf</w:t>
      </w:r>
    </w:p>
    <w:p w14:paraId="0E5AD7A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106. </w:t>
      </w:r>
      <w:r w:rsidRPr="00657137">
        <w:rPr>
          <w:rFonts w:ascii="Calibri" w:hAnsi="Calibri" w:cs="Calibri"/>
          <w:noProof/>
          <w:szCs w:val="24"/>
        </w:rPr>
        <w:tab/>
        <w:t xml:space="preserve">New Zealand. Ministry of Health. </w:t>
      </w:r>
      <w:r w:rsidRPr="00657137">
        <w:rPr>
          <w:rFonts w:ascii="Calibri" w:hAnsi="Calibri" w:cs="Calibri"/>
          <w:i/>
          <w:iCs/>
          <w:noProof/>
          <w:szCs w:val="24"/>
        </w:rPr>
        <w:t>National Healthy Food and Drink Policy - 2nd Edition</w:t>
      </w:r>
      <w:r w:rsidRPr="00657137">
        <w:rPr>
          <w:rFonts w:ascii="Calibri" w:hAnsi="Calibri" w:cs="Calibri"/>
          <w:noProof/>
          <w:szCs w:val="24"/>
        </w:rPr>
        <w:t xml:space="preserve">. 2019. </w:t>
      </w:r>
    </w:p>
    <w:p w14:paraId="4E0F263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107. </w:t>
      </w:r>
      <w:r w:rsidRPr="00657137">
        <w:rPr>
          <w:rFonts w:ascii="Calibri" w:hAnsi="Calibri" w:cs="Calibri"/>
          <w:noProof/>
          <w:szCs w:val="24"/>
        </w:rPr>
        <w:tab/>
        <w:t xml:space="preserve">Department of Corrections. </w:t>
      </w:r>
      <w:r w:rsidRPr="00657137">
        <w:rPr>
          <w:rFonts w:ascii="Calibri" w:hAnsi="Calibri" w:cs="Calibri"/>
          <w:i/>
          <w:iCs/>
          <w:noProof/>
          <w:szCs w:val="24"/>
        </w:rPr>
        <w:t>F.01.Res.01 Catering</w:t>
      </w:r>
      <w:r w:rsidRPr="00657137">
        <w:rPr>
          <w:rFonts w:ascii="Calibri" w:hAnsi="Calibri" w:cs="Calibri"/>
          <w:noProof/>
          <w:szCs w:val="24"/>
        </w:rPr>
        <w:t xml:space="preserve"> [Internet]. Available from: http://www.corrections.govt.nz/resources/policy_and_legislation/Prison-Operations-Manual/Public-RL/F.01.Res.html</w:t>
      </w:r>
    </w:p>
    <w:p w14:paraId="3638CC1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108. </w:t>
      </w:r>
      <w:r w:rsidRPr="00657137">
        <w:rPr>
          <w:rFonts w:ascii="Calibri" w:hAnsi="Calibri" w:cs="Calibri"/>
          <w:noProof/>
          <w:szCs w:val="24"/>
        </w:rPr>
        <w:tab/>
        <w:t xml:space="preserve">Ministry of Health. </w:t>
      </w:r>
      <w:r w:rsidRPr="00657137">
        <w:rPr>
          <w:rFonts w:ascii="Calibri" w:hAnsi="Calibri" w:cs="Calibri"/>
          <w:i/>
          <w:iCs/>
          <w:noProof/>
          <w:szCs w:val="24"/>
        </w:rPr>
        <w:t>Rest home certification and audits</w:t>
      </w:r>
      <w:r w:rsidRPr="00657137">
        <w:rPr>
          <w:rFonts w:ascii="Calibri" w:hAnsi="Calibri" w:cs="Calibri"/>
          <w:noProof/>
          <w:szCs w:val="24"/>
        </w:rPr>
        <w:t xml:space="preserve"> [Internet]. Ministry of Health; Available from: http://www.health.govt.nz/your-health/services-and-support/health-care-services/services-older-people/residential-care/rest-home-certification-and-audits</w:t>
      </w:r>
    </w:p>
    <w:p w14:paraId="3BFA613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109. </w:t>
      </w:r>
      <w:r w:rsidRPr="00657137">
        <w:rPr>
          <w:rFonts w:ascii="Calibri" w:hAnsi="Calibri" w:cs="Calibri"/>
          <w:noProof/>
          <w:szCs w:val="24"/>
        </w:rPr>
        <w:tab/>
        <w:t xml:space="preserve">Ministry of Health. </w:t>
      </w:r>
      <w:r w:rsidRPr="00657137">
        <w:rPr>
          <w:rFonts w:ascii="Calibri" w:hAnsi="Calibri" w:cs="Calibri"/>
          <w:i/>
          <w:iCs/>
          <w:noProof/>
          <w:szCs w:val="24"/>
        </w:rPr>
        <w:t>Health and disability service standards</w:t>
      </w:r>
      <w:r w:rsidRPr="00657137">
        <w:rPr>
          <w:rFonts w:ascii="Calibri" w:hAnsi="Calibri" w:cs="Calibri"/>
          <w:noProof/>
          <w:szCs w:val="24"/>
        </w:rPr>
        <w:t xml:space="preserve"> [Internet]. 2016. Available from: http://www.health.govt.nz/our-work/regulation-health-and-disability-system/certification-health-care-services/services-standards</w:t>
      </w:r>
    </w:p>
    <w:p w14:paraId="0F70C3D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110. </w:t>
      </w:r>
      <w:r w:rsidRPr="00657137">
        <w:rPr>
          <w:rFonts w:ascii="Calibri" w:hAnsi="Calibri" w:cs="Calibri"/>
          <w:noProof/>
          <w:szCs w:val="24"/>
        </w:rPr>
        <w:tab/>
        <w:t xml:space="preserve">Health Promotion Agency. </w:t>
      </w:r>
      <w:r w:rsidRPr="00657137">
        <w:rPr>
          <w:rFonts w:ascii="Calibri" w:hAnsi="Calibri" w:cs="Calibri"/>
          <w:i/>
          <w:iCs/>
          <w:noProof/>
          <w:szCs w:val="24"/>
        </w:rPr>
        <w:t>Annual report 2014/2015</w:t>
      </w:r>
      <w:r w:rsidRPr="00657137">
        <w:rPr>
          <w:rFonts w:ascii="Calibri" w:hAnsi="Calibri" w:cs="Calibri"/>
          <w:noProof/>
          <w:szCs w:val="24"/>
        </w:rPr>
        <w:t xml:space="preserve">. Wellington: Health Promotion Agency; 2015. </w:t>
      </w:r>
    </w:p>
    <w:p w14:paraId="7416CE4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111. </w:t>
      </w:r>
      <w:r w:rsidRPr="00657137">
        <w:rPr>
          <w:rFonts w:ascii="Calibri" w:hAnsi="Calibri" w:cs="Calibri"/>
          <w:noProof/>
          <w:szCs w:val="24"/>
        </w:rPr>
        <w:tab/>
        <w:t xml:space="preserve">Toi Te Ora Public Health Service. </w:t>
      </w:r>
      <w:r w:rsidRPr="00657137">
        <w:rPr>
          <w:rFonts w:ascii="Calibri" w:hAnsi="Calibri" w:cs="Calibri"/>
          <w:i/>
          <w:iCs/>
          <w:noProof/>
          <w:szCs w:val="24"/>
        </w:rPr>
        <w:t>Hapū Hauora</w:t>
      </w:r>
      <w:r w:rsidRPr="00657137">
        <w:rPr>
          <w:rFonts w:ascii="Calibri" w:hAnsi="Calibri" w:cs="Calibri"/>
          <w:noProof/>
          <w:szCs w:val="24"/>
        </w:rPr>
        <w:t xml:space="preserve"> [Internet]. 2017. Available from: http://www.hapuhauora.health.nz</w:t>
      </w:r>
    </w:p>
    <w:p w14:paraId="29F531B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112. </w:t>
      </w:r>
      <w:r w:rsidRPr="00657137">
        <w:rPr>
          <w:rFonts w:ascii="Calibri" w:hAnsi="Calibri" w:cs="Calibri"/>
          <w:noProof/>
          <w:szCs w:val="24"/>
        </w:rPr>
        <w:tab/>
        <w:t xml:space="preserve">Ministry of Education. </w:t>
      </w:r>
      <w:r w:rsidRPr="00657137">
        <w:rPr>
          <w:rFonts w:ascii="Calibri" w:hAnsi="Calibri" w:cs="Calibri"/>
          <w:i/>
          <w:iCs/>
          <w:noProof/>
          <w:szCs w:val="24"/>
        </w:rPr>
        <w:t>Why promote healthy lifestyles?</w:t>
      </w:r>
      <w:r w:rsidRPr="00657137">
        <w:rPr>
          <w:rFonts w:ascii="Calibri" w:hAnsi="Calibri" w:cs="Calibri"/>
          <w:noProof/>
          <w:szCs w:val="24"/>
        </w:rPr>
        <w:t xml:space="preserve"> [Internet]. Available from: http://www.minedu.govt.nz/NZEducation/EducationPolicies/Schools/SchoolOperations/HealthAndSafety/PromotingHealthyLifestyles/AboutHealthyLifestyles.aspx</w:t>
      </w:r>
    </w:p>
    <w:p w14:paraId="3E81404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113. </w:t>
      </w:r>
      <w:r w:rsidRPr="00657137">
        <w:rPr>
          <w:rFonts w:ascii="Calibri" w:hAnsi="Calibri" w:cs="Calibri"/>
          <w:noProof/>
          <w:szCs w:val="24"/>
        </w:rPr>
        <w:tab/>
        <w:t xml:space="preserve">New Zealand. Ministry of Education., New Zealand. Ministry of Health. </w:t>
      </w:r>
      <w:r w:rsidRPr="00657137">
        <w:rPr>
          <w:rFonts w:ascii="Calibri" w:hAnsi="Calibri" w:cs="Calibri"/>
          <w:i/>
          <w:iCs/>
          <w:noProof/>
          <w:szCs w:val="24"/>
        </w:rPr>
        <w:t>Food and nutrition for healthy, confident kids. Early childhood education toolkit.</w:t>
      </w:r>
      <w:r w:rsidRPr="00657137">
        <w:rPr>
          <w:rFonts w:ascii="Calibri" w:hAnsi="Calibri" w:cs="Calibri"/>
          <w:noProof/>
          <w:szCs w:val="24"/>
        </w:rPr>
        <w:t xml:space="preserve"> [Learning Media]; 2007. </w:t>
      </w:r>
    </w:p>
    <w:p w14:paraId="7F8BB4D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114. </w:t>
      </w:r>
      <w:r w:rsidRPr="00657137">
        <w:rPr>
          <w:rFonts w:ascii="Calibri" w:hAnsi="Calibri" w:cs="Calibri"/>
          <w:noProof/>
          <w:szCs w:val="24"/>
        </w:rPr>
        <w:tab/>
        <w:t xml:space="preserve">Ministry of Health. </w:t>
      </w:r>
      <w:r w:rsidRPr="00657137">
        <w:rPr>
          <w:rFonts w:ascii="Calibri" w:hAnsi="Calibri" w:cs="Calibri"/>
          <w:i/>
          <w:iCs/>
          <w:noProof/>
          <w:szCs w:val="24"/>
        </w:rPr>
        <w:t>Classifying foods and drinks for early childhood education services</w:t>
      </w:r>
      <w:r w:rsidRPr="00657137">
        <w:rPr>
          <w:rFonts w:ascii="Calibri" w:hAnsi="Calibri" w:cs="Calibri"/>
          <w:noProof/>
          <w:szCs w:val="24"/>
        </w:rPr>
        <w:t xml:space="preserve"> [Internet]. Wellington: Ministry of Health; 2007. Available from: http://www.health.govt.nz/our-work/preventative-health-wellness/nutrition/food-and-beverage-classification-system</w:t>
      </w:r>
    </w:p>
    <w:p w14:paraId="2DA670A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115. </w:t>
      </w:r>
      <w:r w:rsidRPr="00657137">
        <w:rPr>
          <w:rFonts w:ascii="Calibri" w:hAnsi="Calibri" w:cs="Calibri"/>
          <w:noProof/>
          <w:szCs w:val="24"/>
        </w:rPr>
        <w:tab/>
        <w:t xml:space="preserve">Ministry of Health. </w:t>
      </w:r>
      <w:r w:rsidRPr="00657137">
        <w:rPr>
          <w:rFonts w:ascii="Calibri" w:hAnsi="Calibri" w:cs="Calibri"/>
          <w:i/>
          <w:iCs/>
          <w:noProof/>
          <w:szCs w:val="24"/>
        </w:rPr>
        <w:t>Food and beverage classification system for years 1-13</w:t>
      </w:r>
      <w:r w:rsidRPr="00657137">
        <w:rPr>
          <w:rFonts w:ascii="Calibri" w:hAnsi="Calibri" w:cs="Calibri"/>
          <w:noProof/>
          <w:szCs w:val="24"/>
        </w:rPr>
        <w:t xml:space="preserve"> [Internet]. Wellington: Ministry of Health; 2007. Available from: http://www.health.govt.nz/our-work/preventative-health-wellness/nutrition/food-and-beverage-classification-system</w:t>
      </w:r>
    </w:p>
    <w:p w14:paraId="653CA5E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116. </w:t>
      </w:r>
      <w:r w:rsidRPr="00657137">
        <w:rPr>
          <w:rFonts w:ascii="Calibri" w:hAnsi="Calibri" w:cs="Calibri"/>
          <w:noProof/>
          <w:szCs w:val="24"/>
        </w:rPr>
        <w:tab/>
        <w:t xml:space="preserve">Heart Foundation. </w:t>
      </w:r>
      <w:r w:rsidRPr="00657137">
        <w:rPr>
          <w:rFonts w:ascii="Calibri" w:hAnsi="Calibri" w:cs="Calibri"/>
          <w:i/>
          <w:iCs/>
          <w:noProof/>
          <w:szCs w:val="24"/>
        </w:rPr>
        <w:t>What is Fresh Made? | Healthy Food For Kids - Heart Foundation</w:t>
      </w:r>
      <w:r w:rsidRPr="00657137">
        <w:rPr>
          <w:rFonts w:ascii="Calibri" w:hAnsi="Calibri" w:cs="Calibri"/>
          <w:noProof/>
          <w:szCs w:val="24"/>
        </w:rPr>
        <w:t xml:space="preserve"> [Internet]. 2020 [cited 2020 Jan 29]. Available from: https://www.heartfoundation.org.nz/professionals/food-industry-and-hospitality/fresh-made/what-is-fresh-made</w:t>
      </w:r>
    </w:p>
    <w:p w14:paraId="62B6B7E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117. </w:t>
      </w:r>
      <w:r w:rsidRPr="00657137">
        <w:rPr>
          <w:rFonts w:ascii="Calibri" w:hAnsi="Calibri" w:cs="Calibri"/>
          <w:noProof/>
          <w:szCs w:val="24"/>
        </w:rPr>
        <w:tab/>
        <w:t xml:space="preserve">Ministry of Education. </w:t>
      </w:r>
      <w:r w:rsidRPr="00657137">
        <w:rPr>
          <w:rFonts w:ascii="Calibri" w:hAnsi="Calibri" w:cs="Calibri"/>
          <w:i/>
          <w:iCs/>
          <w:noProof/>
          <w:szCs w:val="24"/>
        </w:rPr>
        <w:t>Food and nutrition for healthy, confident kids</w:t>
      </w:r>
      <w:r w:rsidRPr="00657137">
        <w:rPr>
          <w:rFonts w:ascii="Calibri" w:hAnsi="Calibri" w:cs="Calibri"/>
          <w:noProof/>
          <w:szCs w:val="24"/>
        </w:rPr>
        <w:t xml:space="preserve"> [Internet]. Wellington: Ministry of Education; 2007. Available from: http://healthylifestyles.tki.org.nz/National-nutrition-resource-list/Food-and-nutrition-for-healthy-confident-kids</w:t>
      </w:r>
    </w:p>
    <w:p w14:paraId="16BA49A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118. </w:t>
      </w:r>
      <w:r w:rsidRPr="00657137">
        <w:rPr>
          <w:rFonts w:ascii="Calibri" w:hAnsi="Calibri" w:cs="Calibri"/>
          <w:noProof/>
          <w:szCs w:val="24"/>
        </w:rPr>
        <w:tab/>
        <w:t xml:space="preserve">Heart Foundation of New Zealand. </w:t>
      </w:r>
      <w:r w:rsidRPr="00657137">
        <w:rPr>
          <w:rFonts w:ascii="Calibri" w:hAnsi="Calibri" w:cs="Calibri"/>
          <w:i/>
          <w:iCs/>
          <w:noProof/>
          <w:szCs w:val="24"/>
        </w:rPr>
        <w:t>The Healthy Heart Award for Early Childhood Education</w:t>
      </w:r>
      <w:r w:rsidRPr="00657137">
        <w:rPr>
          <w:rFonts w:ascii="Calibri" w:hAnsi="Calibri" w:cs="Calibri"/>
          <w:noProof/>
          <w:szCs w:val="24"/>
        </w:rPr>
        <w:t xml:space="preserve"> [Internet]. Available from: http://www.heartfoundation.org.nz/programmes-resources/schools-and-eces/healthy-heart-award</w:t>
      </w:r>
    </w:p>
    <w:p w14:paraId="03A9382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119. </w:t>
      </w:r>
      <w:r w:rsidRPr="00657137">
        <w:rPr>
          <w:rFonts w:ascii="Calibri" w:hAnsi="Calibri" w:cs="Calibri"/>
          <w:noProof/>
          <w:szCs w:val="24"/>
        </w:rPr>
        <w:tab/>
        <w:t xml:space="preserve">Heart Foundation of New Zealand. </w:t>
      </w:r>
      <w:r w:rsidRPr="00657137">
        <w:rPr>
          <w:rFonts w:ascii="Calibri" w:hAnsi="Calibri" w:cs="Calibri"/>
          <w:i/>
          <w:iCs/>
          <w:noProof/>
          <w:szCs w:val="24"/>
        </w:rPr>
        <w:t>Schools and ECE Food Services</w:t>
      </w:r>
      <w:r w:rsidRPr="00657137">
        <w:rPr>
          <w:rFonts w:ascii="Calibri" w:hAnsi="Calibri" w:cs="Calibri"/>
          <w:noProof/>
          <w:szCs w:val="24"/>
        </w:rPr>
        <w:t xml:space="preserve"> [Internet]. Available from: http://www.heartfoundation.org.nz/programmes-resources/schools-and-eces/schools-and-ece-food-services</w:t>
      </w:r>
    </w:p>
    <w:p w14:paraId="0DDB325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120. </w:t>
      </w:r>
      <w:r w:rsidRPr="00657137">
        <w:rPr>
          <w:rFonts w:ascii="Calibri" w:hAnsi="Calibri" w:cs="Calibri"/>
          <w:noProof/>
          <w:szCs w:val="24"/>
        </w:rPr>
        <w:tab/>
        <w:t xml:space="preserve">Heart Foundation of New Zealand. </w:t>
      </w:r>
      <w:r w:rsidRPr="00657137">
        <w:rPr>
          <w:rFonts w:ascii="Calibri" w:hAnsi="Calibri" w:cs="Calibri"/>
          <w:i/>
          <w:iCs/>
          <w:noProof/>
          <w:szCs w:val="24"/>
        </w:rPr>
        <w:t>Heart Start</w:t>
      </w:r>
      <w:r w:rsidRPr="00657137">
        <w:rPr>
          <w:rFonts w:ascii="Calibri" w:hAnsi="Calibri" w:cs="Calibri"/>
          <w:noProof/>
          <w:szCs w:val="24"/>
        </w:rPr>
        <w:t xml:space="preserve">. </w:t>
      </w:r>
    </w:p>
    <w:p w14:paraId="2D27F49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121. </w:t>
      </w:r>
      <w:r w:rsidRPr="00657137">
        <w:rPr>
          <w:rFonts w:ascii="Calibri" w:hAnsi="Calibri" w:cs="Calibri"/>
          <w:noProof/>
          <w:szCs w:val="24"/>
        </w:rPr>
        <w:tab/>
        <w:t xml:space="preserve">Heart Foundation of New Zealand. </w:t>
      </w:r>
      <w:r w:rsidRPr="00657137">
        <w:rPr>
          <w:rFonts w:ascii="Calibri" w:hAnsi="Calibri" w:cs="Calibri"/>
          <w:i/>
          <w:iCs/>
          <w:noProof/>
          <w:szCs w:val="24"/>
        </w:rPr>
        <w:t>Food for Thought</w:t>
      </w:r>
      <w:r w:rsidRPr="00657137">
        <w:rPr>
          <w:rFonts w:ascii="Calibri" w:hAnsi="Calibri" w:cs="Calibri"/>
          <w:noProof/>
          <w:szCs w:val="24"/>
        </w:rPr>
        <w:t xml:space="preserve"> [Internet]. Available from: http://www.learnbyheart.org.nz/index.php/schools/food-for-thought</w:t>
      </w:r>
    </w:p>
    <w:p w14:paraId="70DF711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122. </w:t>
      </w:r>
      <w:r w:rsidRPr="00657137">
        <w:rPr>
          <w:rFonts w:ascii="Calibri" w:hAnsi="Calibri" w:cs="Calibri"/>
          <w:noProof/>
          <w:szCs w:val="24"/>
        </w:rPr>
        <w:tab/>
        <w:t xml:space="preserve">Food For Thought. </w:t>
      </w:r>
      <w:r w:rsidRPr="00657137">
        <w:rPr>
          <w:rFonts w:ascii="Calibri" w:hAnsi="Calibri" w:cs="Calibri"/>
          <w:i/>
          <w:iCs/>
          <w:noProof/>
          <w:szCs w:val="24"/>
        </w:rPr>
        <w:t>Food for Thought: A free nutrition education programme</w:t>
      </w:r>
      <w:r w:rsidRPr="00657137">
        <w:rPr>
          <w:rFonts w:ascii="Calibri" w:hAnsi="Calibri" w:cs="Calibri"/>
          <w:noProof/>
          <w:szCs w:val="24"/>
        </w:rPr>
        <w:t xml:space="preserve"> [Internet]. 2019 [cited 2020 Jan 31]. Available from: https://www.foodforthought.co.nz/</w:t>
      </w:r>
    </w:p>
    <w:p w14:paraId="4703561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123. </w:t>
      </w:r>
      <w:r w:rsidRPr="00657137">
        <w:rPr>
          <w:rFonts w:ascii="Calibri" w:hAnsi="Calibri" w:cs="Calibri"/>
          <w:noProof/>
          <w:szCs w:val="24"/>
        </w:rPr>
        <w:tab/>
        <w:t xml:space="preserve">Sport New Zealand. </w:t>
      </w:r>
      <w:r w:rsidRPr="00657137">
        <w:rPr>
          <w:rFonts w:ascii="Calibri" w:hAnsi="Calibri" w:cs="Calibri"/>
          <w:i/>
          <w:iCs/>
          <w:noProof/>
          <w:szCs w:val="24"/>
        </w:rPr>
        <w:t>Healthy Active Learning set to roll out in early 2020</w:t>
      </w:r>
      <w:r w:rsidRPr="00657137">
        <w:rPr>
          <w:rFonts w:ascii="Calibri" w:hAnsi="Calibri" w:cs="Calibri"/>
          <w:noProof/>
          <w:szCs w:val="24"/>
        </w:rPr>
        <w:t xml:space="preserve"> [Internet]. 2019 [cited 2020 Jan 20]. Available from: https://sportnz.org.nz/news-and-events/media-releases-and-updates/articles/healthy-active-learning-set-to-roll-out-in-early-2020</w:t>
      </w:r>
    </w:p>
    <w:p w14:paraId="660A108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124. </w:t>
      </w:r>
      <w:r w:rsidRPr="00657137">
        <w:rPr>
          <w:rFonts w:ascii="Calibri" w:hAnsi="Calibri" w:cs="Calibri"/>
          <w:noProof/>
          <w:szCs w:val="24"/>
        </w:rPr>
        <w:tab/>
        <w:t xml:space="preserve">New Zealand Government. </w:t>
      </w:r>
      <w:r w:rsidRPr="00657137">
        <w:rPr>
          <w:rFonts w:ascii="Calibri" w:hAnsi="Calibri" w:cs="Calibri"/>
          <w:i/>
          <w:iCs/>
          <w:noProof/>
          <w:szCs w:val="24"/>
        </w:rPr>
        <w:t>Healthy Active Learning</w:t>
      </w:r>
      <w:r w:rsidRPr="00657137">
        <w:rPr>
          <w:rFonts w:ascii="Calibri" w:hAnsi="Calibri" w:cs="Calibri"/>
          <w:noProof/>
          <w:szCs w:val="24"/>
        </w:rPr>
        <w:t xml:space="preserve">. 2019. </w:t>
      </w:r>
    </w:p>
    <w:p w14:paraId="2B2843D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125. </w:t>
      </w:r>
      <w:r w:rsidRPr="00657137">
        <w:rPr>
          <w:rFonts w:ascii="Calibri" w:hAnsi="Calibri" w:cs="Calibri"/>
          <w:noProof/>
          <w:szCs w:val="24"/>
        </w:rPr>
        <w:tab/>
        <w:t xml:space="preserve">Stuff.co.nz. </w:t>
      </w:r>
      <w:r w:rsidRPr="00657137">
        <w:rPr>
          <w:rFonts w:ascii="Calibri" w:hAnsi="Calibri" w:cs="Calibri"/>
          <w:i/>
          <w:iCs/>
          <w:noProof/>
          <w:szCs w:val="24"/>
        </w:rPr>
        <w:t>Project Energize: Targeting childhood obesity</w:t>
      </w:r>
      <w:r w:rsidRPr="00657137">
        <w:rPr>
          <w:rFonts w:ascii="Calibri" w:hAnsi="Calibri" w:cs="Calibri"/>
          <w:noProof/>
          <w:szCs w:val="24"/>
        </w:rPr>
        <w:t>. 2017 [cited 2020 Jan 20]; Available from: https://www.stuff.co.nz/life-style/well-good/inspire-me/89835416/project-energize-targeting-childhood-obesity</w:t>
      </w:r>
    </w:p>
    <w:p w14:paraId="42C039B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126. </w:t>
      </w:r>
      <w:r w:rsidRPr="00657137">
        <w:rPr>
          <w:rFonts w:ascii="Calibri" w:hAnsi="Calibri" w:cs="Calibri"/>
          <w:noProof/>
          <w:szCs w:val="24"/>
        </w:rPr>
        <w:tab/>
        <w:t xml:space="preserve">Toi Te Ora Public Health. </w:t>
      </w:r>
      <w:r w:rsidRPr="00657137">
        <w:rPr>
          <w:rFonts w:ascii="Calibri" w:hAnsi="Calibri" w:cs="Calibri"/>
          <w:i/>
          <w:iCs/>
          <w:noProof/>
          <w:szCs w:val="24"/>
        </w:rPr>
        <w:t>Home | WorkWell</w:t>
      </w:r>
      <w:r w:rsidRPr="00657137">
        <w:rPr>
          <w:rFonts w:ascii="Calibri" w:hAnsi="Calibri" w:cs="Calibri"/>
          <w:noProof/>
          <w:szCs w:val="24"/>
        </w:rPr>
        <w:t xml:space="preserve"> [Internet]. 2019 [cited 2020 Feb 5]. Available from: https://www.workwell.health.nz/workwell_home</w:t>
      </w:r>
    </w:p>
    <w:p w14:paraId="6372354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127. </w:t>
      </w:r>
      <w:r w:rsidRPr="00657137">
        <w:rPr>
          <w:rFonts w:ascii="Calibri" w:hAnsi="Calibri" w:cs="Calibri"/>
          <w:noProof/>
          <w:szCs w:val="24"/>
        </w:rPr>
        <w:tab/>
        <w:t xml:space="preserve">Good4Work. </w:t>
      </w:r>
      <w:r w:rsidRPr="00657137">
        <w:rPr>
          <w:rFonts w:ascii="Calibri" w:hAnsi="Calibri" w:cs="Calibri"/>
          <w:i/>
          <w:iCs/>
          <w:noProof/>
          <w:szCs w:val="24"/>
        </w:rPr>
        <w:t>Home | Good4Work</w:t>
      </w:r>
      <w:r w:rsidRPr="00657137">
        <w:rPr>
          <w:rFonts w:ascii="Calibri" w:hAnsi="Calibri" w:cs="Calibri"/>
          <w:noProof/>
          <w:szCs w:val="24"/>
        </w:rPr>
        <w:t xml:space="preserve"> [Internet]. [cited 2020 Feb 5]. Available from: https://www.good4work.nz/</w:t>
      </w:r>
    </w:p>
    <w:p w14:paraId="2F73004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128. </w:t>
      </w:r>
      <w:r w:rsidRPr="00657137">
        <w:rPr>
          <w:rFonts w:ascii="Calibri" w:hAnsi="Calibri" w:cs="Calibri"/>
          <w:noProof/>
          <w:szCs w:val="24"/>
        </w:rPr>
        <w:tab/>
        <w:t xml:space="preserve">Health Promotion Agency. </w:t>
      </w:r>
      <w:r w:rsidRPr="00657137">
        <w:rPr>
          <w:rFonts w:ascii="Calibri" w:hAnsi="Calibri" w:cs="Calibri"/>
          <w:i/>
          <w:iCs/>
          <w:noProof/>
          <w:szCs w:val="24"/>
        </w:rPr>
        <w:t>Your guide to workplace wellbeing</w:t>
      </w:r>
      <w:r w:rsidRPr="00657137">
        <w:rPr>
          <w:rFonts w:ascii="Calibri" w:hAnsi="Calibri" w:cs="Calibri"/>
          <w:noProof/>
          <w:szCs w:val="24"/>
        </w:rPr>
        <w:t xml:space="preserve"> [Internet]. 2015. Available from: http://www.wellplace.nz</w:t>
      </w:r>
    </w:p>
    <w:p w14:paraId="69DE2D3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129. </w:t>
      </w:r>
      <w:r w:rsidRPr="00657137">
        <w:rPr>
          <w:rFonts w:ascii="Calibri" w:hAnsi="Calibri" w:cs="Calibri"/>
          <w:noProof/>
          <w:szCs w:val="24"/>
        </w:rPr>
        <w:tab/>
        <w:t xml:space="preserve">Auckland Regional Public Health Service, Service ARPH. </w:t>
      </w:r>
      <w:r w:rsidRPr="00657137">
        <w:rPr>
          <w:rFonts w:ascii="Calibri" w:hAnsi="Calibri" w:cs="Calibri"/>
          <w:i/>
          <w:iCs/>
          <w:noProof/>
          <w:szCs w:val="24"/>
        </w:rPr>
        <w:t>Workplace Wellbing Strategy</w:t>
      </w:r>
      <w:r w:rsidRPr="00657137">
        <w:rPr>
          <w:rFonts w:ascii="Calibri" w:hAnsi="Calibri" w:cs="Calibri"/>
          <w:noProof/>
          <w:szCs w:val="24"/>
        </w:rPr>
        <w:t xml:space="preserve">. Auckland; 2017. </w:t>
      </w:r>
    </w:p>
    <w:p w14:paraId="0B7A2C4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130. </w:t>
      </w:r>
      <w:r w:rsidRPr="00657137">
        <w:rPr>
          <w:rFonts w:ascii="Calibri" w:hAnsi="Calibri" w:cs="Calibri"/>
          <w:noProof/>
          <w:szCs w:val="24"/>
        </w:rPr>
        <w:tab/>
        <w:t xml:space="preserve">Heart Foundation of New Zealand. </w:t>
      </w:r>
      <w:r w:rsidRPr="00657137">
        <w:rPr>
          <w:rFonts w:ascii="Calibri" w:hAnsi="Calibri" w:cs="Calibri"/>
          <w:i/>
          <w:iCs/>
          <w:noProof/>
          <w:szCs w:val="24"/>
        </w:rPr>
        <w:t>Hospitality Hub</w:t>
      </w:r>
      <w:r w:rsidRPr="00657137">
        <w:rPr>
          <w:rFonts w:ascii="Calibri" w:hAnsi="Calibri" w:cs="Calibri"/>
          <w:noProof/>
          <w:szCs w:val="24"/>
        </w:rPr>
        <w:t xml:space="preserve"> [Internet]. 2016. Available from: https://www.heartfoundation.org.nz/professionals/food-industry-and-hospitality/hospitality-hub/</w:t>
      </w:r>
    </w:p>
    <w:p w14:paraId="6901F66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131. </w:t>
      </w:r>
      <w:r w:rsidRPr="00657137">
        <w:rPr>
          <w:rFonts w:ascii="Calibri" w:hAnsi="Calibri" w:cs="Calibri"/>
          <w:noProof/>
          <w:szCs w:val="24"/>
        </w:rPr>
        <w:tab/>
        <w:t xml:space="preserve">Activity &amp; Nutrition Aotearoa. </w:t>
      </w:r>
      <w:r w:rsidRPr="00657137">
        <w:rPr>
          <w:rFonts w:ascii="Calibri" w:hAnsi="Calibri" w:cs="Calibri"/>
          <w:i/>
          <w:iCs/>
          <w:noProof/>
          <w:szCs w:val="24"/>
        </w:rPr>
        <w:t>Workplace Wellness</w:t>
      </w:r>
      <w:r w:rsidRPr="00657137">
        <w:rPr>
          <w:rFonts w:ascii="Calibri" w:hAnsi="Calibri" w:cs="Calibri"/>
          <w:noProof/>
          <w:szCs w:val="24"/>
        </w:rPr>
        <w:t xml:space="preserve"> [Internet]. Vol. 2017. 2017. Available from: http://ana.org.nz/resource-category/workplace-wellness/</w:t>
      </w:r>
    </w:p>
    <w:p w14:paraId="0B56163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132. </w:t>
      </w:r>
      <w:r w:rsidRPr="00657137">
        <w:rPr>
          <w:rFonts w:ascii="Calibri" w:hAnsi="Calibri" w:cs="Calibri"/>
          <w:noProof/>
          <w:szCs w:val="24"/>
        </w:rPr>
        <w:tab/>
        <w:t xml:space="preserve">Sport Northland. </w:t>
      </w:r>
      <w:r w:rsidRPr="00657137">
        <w:rPr>
          <w:rFonts w:ascii="Calibri" w:hAnsi="Calibri" w:cs="Calibri"/>
          <w:i/>
          <w:iCs/>
          <w:noProof/>
          <w:szCs w:val="24"/>
        </w:rPr>
        <w:t>Active Workplace Programme</w:t>
      </w:r>
      <w:r w:rsidRPr="00657137">
        <w:rPr>
          <w:rFonts w:ascii="Calibri" w:hAnsi="Calibri" w:cs="Calibri"/>
          <w:noProof/>
          <w:szCs w:val="24"/>
        </w:rPr>
        <w:t xml:space="preserve"> [Internet]. 2018 [cited 2020 Feb 13]. Available from: https://www.sportnorthland.co.nz/get-active/active-workplaces</w:t>
      </w:r>
    </w:p>
    <w:p w14:paraId="009E5B0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133. </w:t>
      </w:r>
      <w:r w:rsidRPr="00657137">
        <w:rPr>
          <w:rFonts w:ascii="Calibri" w:hAnsi="Calibri" w:cs="Calibri"/>
          <w:noProof/>
          <w:szCs w:val="24"/>
        </w:rPr>
        <w:tab/>
        <w:t xml:space="preserve">Heart Foundation. </w:t>
      </w:r>
      <w:r w:rsidRPr="00657137">
        <w:rPr>
          <w:rFonts w:ascii="Calibri" w:hAnsi="Calibri" w:cs="Calibri"/>
          <w:i/>
          <w:iCs/>
          <w:noProof/>
          <w:szCs w:val="24"/>
        </w:rPr>
        <w:t>Pacific nutrition courses - Heart Foundation</w:t>
      </w:r>
      <w:r w:rsidRPr="00657137">
        <w:rPr>
          <w:rFonts w:ascii="Calibri" w:hAnsi="Calibri" w:cs="Calibri"/>
          <w:noProof/>
          <w:szCs w:val="24"/>
        </w:rPr>
        <w:t xml:space="preserve"> [Internet]. 2019 [cited 2020 Feb 5]. Available from: https://www.heartfoundation.org.nz/your-heart/pacific-heartbeat/nutrition-courses</w:t>
      </w:r>
    </w:p>
    <w:p w14:paraId="5616CD5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134. </w:t>
      </w:r>
      <w:r w:rsidRPr="00657137">
        <w:rPr>
          <w:rFonts w:ascii="Calibri" w:hAnsi="Calibri" w:cs="Calibri"/>
          <w:noProof/>
          <w:szCs w:val="24"/>
        </w:rPr>
        <w:tab/>
      </w:r>
      <w:r w:rsidRPr="00657137">
        <w:rPr>
          <w:rFonts w:ascii="Calibri" w:hAnsi="Calibri" w:cs="Calibri"/>
          <w:i/>
          <w:iCs/>
          <w:noProof/>
          <w:szCs w:val="24"/>
        </w:rPr>
        <w:t>Healthy Eating Advisory Service. Improving wellbeing through healthy eating.</w:t>
      </w:r>
      <w:r w:rsidRPr="00657137">
        <w:rPr>
          <w:rFonts w:ascii="Calibri" w:hAnsi="Calibri" w:cs="Calibri"/>
          <w:noProof/>
          <w:szCs w:val="24"/>
        </w:rPr>
        <w:t xml:space="preserve"> 2017; Available from: http://heas.health.vic.gov.au/</w:t>
      </w:r>
    </w:p>
    <w:p w14:paraId="43D1875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135. </w:t>
      </w:r>
      <w:r w:rsidRPr="00657137">
        <w:rPr>
          <w:rFonts w:ascii="Calibri" w:hAnsi="Calibri" w:cs="Calibri"/>
          <w:noProof/>
          <w:szCs w:val="24"/>
        </w:rPr>
        <w:tab/>
        <w:t xml:space="preserve">Miyoshi M, Tsuboyama-Kasaoka N, Nishi N. </w:t>
      </w:r>
      <w:r w:rsidRPr="00657137">
        <w:rPr>
          <w:rFonts w:ascii="Calibri" w:hAnsi="Calibri" w:cs="Calibri"/>
          <w:i/>
          <w:iCs/>
          <w:noProof/>
          <w:szCs w:val="24"/>
        </w:rPr>
        <w:t>School-based “Shokuiku” program in Japan: application to nutrition education in Asian countries</w:t>
      </w:r>
      <w:r w:rsidRPr="00657137">
        <w:rPr>
          <w:rFonts w:ascii="Calibri" w:hAnsi="Calibri" w:cs="Calibri"/>
          <w:noProof/>
          <w:szCs w:val="24"/>
        </w:rPr>
        <w:t>. Asia Pac J Clin Nutr [Internet]. 2012;21(1):159–62. Available from: http://www.ncbi.nlm.nih.gov/pubmed/22374574</w:t>
      </w:r>
    </w:p>
    <w:p w14:paraId="5841BAA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136. </w:t>
      </w:r>
      <w:r w:rsidRPr="00657137">
        <w:rPr>
          <w:rFonts w:ascii="Calibri" w:hAnsi="Calibri" w:cs="Calibri"/>
          <w:noProof/>
          <w:szCs w:val="24"/>
        </w:rPr>
        <w:tab/>
        <w:t xml:space="preserve">Tanaka N, Miyoshi M. </w:t>
      </w:r>
      <w:r w:rsidRPr="00657137">
        <w:rPr>
          <w:rFonts w:ascii="Calibri" w:hAnsi="Calibri" w:cs="Calibri"/>
          <w:i/>
          <w:iCs/>
          <w:noProof/>
          <w:szCs w:val="24"/>
        </w:rPr>
        <w:t>School lunch program for health promotion among children in Japan</w:t>
      </w:r>
      <w:r w:rsidRPr="00657137">
        <w:rPr>
          <w:rFonts w:ascii="Calibri" w:hAnsi="Calibri" w:cs="Calibri"/>
          <w:noProof/>
          <w:szCs w:val="24"/>
        </w:rPr>
        <w:t>. Asia Pac J Clin Nutr [Internet]. 2012;21(1):155–8. Available from: http://www.ncbi.nlm.nih.gov/pubmed/22374573</w:t>
      </w:r>
    </w:p>
    <w:p w14:paraId="6CA3167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137. </w:t>
      </w:r>
      <w:r w:rsidRPr="00657137">
        <w:rPr>
          <w:rFonts w:ascii="Calibri" w:hAnsi="Calibri" w:cs="Calibri"/>
          <w:noProof/>
          <w:szCs w:val="24"/>
        </w:rPr>
        <w:tab/>
        <w:t xml:space="preserve">Ministry of Education Culture Sports Science and Technology. </w:t>
      </w:r>
      <w:r w:rsidRPr="00657137">
        <w:rPr>
          <w:rFonts w:ascii="Calibri" w:hAnsi="Calibri" w:cs="Calibri"/>
          <w:i/>
          <w:iCs/>
          <w:noProof/>
          <w:szCs w:val="24"/>
        </w:rPr>
        <w:t xml:space="preserve">Reference Intake Values for School </w:t>
      </w:r>
      <w:r w:rsidRPr="00657137">
        <w:rPr>
          <w:rFonts w:ascii="Calibri" w:hAnsi="Calibri" w:cs="Calibri"/>
          <w:i/>
          <w:iCs/>
          <w:noProof/>
          <w:szCs w:val="24"/>
        </w:rPr>
        <w:lastRenderedPageBreak/>
        <w:t xml:space="preserve">Lunch. </w:t>
      </w:r>
      <w:r w:rsidRPr="00657137">
        <w:rPr>
          <w:rFonts w:ascii="Calibri" w:hAnsi="Calibri" w:cs="Calibri"/>
          <w:noProof/>
          <w:szCs w:val="24"/>
        </w:rPr>
        <w:t xml:space="preserve">. Ministry of Education, Culture, Sports, Science and Technology.; 2009. </w:t>
      </w:r>
    </w:p>
    <w:p w14:paraId="47A11BE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138. </w:t>
      </w:r>
      <w:r w:rsidRPr="00657137">
        <w:rPr>
          <w:rFonts w:ascii="Calibri" w:hAnsi="Calibri" w:cs="Calibri"/>
          <w:noProof/>
          <w:szCs w:val="24"/>
        </w:rPr>
        <w:tab/>
        <w:t xml:space="preserve">Ministry of Education Culture Sports Science and Technology. </w:t>
      </w:r>
      <w:r w:rsidRPr="00657137">
        <w:rPr>
          <w:rFonts w:ascii="Calibri" w:hAnsi="Calibri" w:cs="Calibri"/>
          <w:i/>
          <w:iCs/>
          <w:noProof/>
          <w:szCs w:val="24"/>
        </w:rPr>
        <w:t xml:space="preserve">A Study on the Implementation Status of School Lunch Program 2008. </w:t>
      </w:r>
      <w:r w:rsidRPr="00657137">
        <w:rPr>
          <w:rFonts w:ascii="Calibri" w:hAnsi="Calibri" w:cs="Calibri"/>
          <w:noProof/>
          <w:szCs w:val="24"/>
        </w:rPr>
        <w:t xml:space="preserve">. Ministry of Education, Culture, Sports, Science and Technology. ; 2009. </w:t>
      </w:r>
    </w:p>
    <w:p w14:paraId="0AB977D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139. </w:t>
      </w:r>
      <w:r w:rsidRPr="00657137">
        <w:rPr>
          <w:rFonts w:ascii="Calibri" w:hAnsi="Calibri" w:cs="Calibri"/>
          <w:noProof/>
          <w:szCs w:val="24"/>
        </w:rPr>
        <w:tab/>
        <w:t xml:space="preserve">Health Promotion Agency. </w:t>
      </w:r>
      <w:r w:rsidRPr="00657137">
        <w:rPr>
          <w:rFonts w:ascii="Calibri" w:hAnsi="Calibri" w:cs="Calibri"/>
          <w:i/>
          <w:iCs/>
          <w:noProof/>
          <w:szCs w:val="24"/>
        </w:rPr>
        <w:t>Providing healthier beverage options in your workplace</w:t>
      </w:r>
      <w:r w:rsidRPr="00657137">
        <w:rPr>
          <w:rFonts w:ascii="Calibri" w:hAnsi="Calibri" w:cs="Calibri"/>
          <w:noProof/>
          <w:szCs w:val="24"/>
        </w:rPr>
        <w:t xml:space="preserve"> [Internet]. Wellington: Health Promotion Agency; 2013. Available from: http://www.hpa.org.nz/what-we-do/workplace-wellness</w:t>
      </w:r>
    </w:p>
    <w:p w14:paraId="0838438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140. </w:t>
      </w:r>
      <w:r w:rsidRPr="00657137">
        <w:rPr>
          <w:rFonts w:ascii="Calibri" w:hAnsi="Calibri" w:cs="Calibri"/>
          <w:noProof/>
          <w:szCs w:val="24"/>
        </w:rPr>
        <w:tab/>
        <w:t xml:space="preserve">Victoria State Government. </w:t>
      </w:r>
      <w:r w:rsidRPr="00657137">
        <w:rPr>
          <w:rFonts w:ascii="Calibri" w:hAnsi="Calibri" w:cs="Calibri"/>
          <w:i/>
          <w:iCs/>
          <w:noProof/>
          <w:szCs w:val="24"/>
        </w:rPr>
        <w:t>Healthy Eating Policy and Catering Guide for Workplaces</w:t>
      </w:r>
      <w:r w:rsidRPr="00657137">
        <w:rPr>
          <w:rFonts w:ascii="Calibri" w:hAnsi="Calibri" w:cs="Calibri"/>
          <w:noProof/>
          <w:szCs w:val="24"/>
        </w:rPr>
        <w:t xml:space="preserve"> [Internet]. 2017. Available from: https://www2.health.vic.gov.au/getfile//?sc_itemid=%7BD5628D86-B37D-42F7-8B9A-687F4A3E85FB%7D</w:t>
      </w:r>
    </w:p>
    <w:p w14:paraId="7183A7F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141. </w:t>
      </w:r>
      <w:r w:rsidRPr="00657137">
        <w:rPr>
          <w:rFonts w:ascii="Calibri" w:hAnsi="Calibri" w:cs="Calibri"/>
          <w:noProof/>
          <w:szCs w:val="24"/>
        </w:rPr>
        <w:tab/>
        <w:t xml:space="preserve">Agencies for Nutrition Action. </w:t>
      </w:r>
      <w:r w:rsidRPr="00657137">
        <w:rPr>
          <w:rFonts w:ascii="Calibri" w:hAnsi="Calibri" w:cs="Calibri"/>
          <w:i/>
          <w:iCs/>
          <w:noProof/>
          <w:szCs w:val="24"/>
        </w:rPr>
        <w:t>Promoting healthy eating at the local government level</w:t>
      </w:r>
      <w:r w:rsidRPr="00657137">
        <w:rPr>
          <w:rFonts w:ascii="Calibri" w:hAnsi="Calibri" w:cs="Calibri"/>
          <w:noProof/>
          <w:szCs w:val="24"/>
        </w:rPr>
        <w:t xml:space="preserve"> [Internet]. Agencies for Nutrition Action; 2016. Available from: http://ana.org.nz/wp-content/uploads/2016/08/Evidence-Snapshot_0.pdf</w:t>
      </w:r>
    </w:p>
    <w:p w14:paraId="62CFE70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142. </w:t>
      </w:r>
      <w:r w:rsidRPr="00657137">
        <w:rPr>
          <w:rFonts w:ascii="Calibri" w:hAnsi="Calibri" w:cs="Calibri"/>
          <w:noProof/>
          <w:szCs w:val="24"/>
        </w:rPr>
        <w:tab/>
        <w:t xml:space="preserve">Ministry of Food and Drug Safety. </w:t>
      </w:r>
      <w:r w:rsidRPr="00657137">
        <w:rPr>
          <w:rFonts w:ascii="Calibri" w:hAnsi="Calibri" w:cs="Calibri"/>
          <w:i/>
          <w:iCs/>
          <w:noProof/>
          <w:szCs w:val="24"/>
        </w:rPr>
        <w:t>The Special Act on the Safety Management of Children’s Dietary Life</w:t>
      </w:r>
      <w:r w:rsidRPr="00657137">
        <w:rPr>
          <w:rFonts w:ascii="Calibri" w:hAnsi="Calibri" w:cs="Calibri"/>
          <w:noProof/>
          <w:szCs w:val="24"/>
        </w:rPr>
        <w:t xml:space="preserve"> [Internet]. 2017. Available from: https://www.mfds.go.kr/eng/index.do?nMenuCode=66</w:t>
      </w:r>
    </w:p>
    <w:p w14:paraId="5CDFD7A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143. </w:t>
      </w:r>
      <w:r w:rsidRPr="00657137">
        <w:rPr>
          <w:rFonts w:ascii="Calibri" w:hAnsi="Calibri" w:cs="Calibri"/>
          <w:noProof/>
          <w:szCs w:val="24"/>
        </w:rPr>
        <w:tab/>
        <w:t xml:space="preserve">Bae SG, Kim JY, Kim KY, Park SW, Bae J, Lee WK. </w:t>
      </w:r>
      <w:r w:rsidRPr="00657137">
        <w:rPr>
          <w:rFonts w:ascii="Calibri" w:hAnsi="Calibri" w:cs="Calibri"/>
          <w:i/>
          <w:iCs/>
          <w:noProof/>
          <w:szCs w:val="24"/>
        </w:rPr>
        <w:t>Changes in dietary behavior among adolescents and their association with government nutrition policies in Korea, 2005-2009</w:t>
      </w:r>
      <w:r w:rsidRPr="00657137">
        <w:rPr>
          <w:rFonts w:ascii="Calibri" w:hAnsi="Calibri" w:cs="Calibri"/>
          <w:noProof/>
          <w:szCs w:val="24"/>
        </w:rPr>
        <w:t>. J Prev Med Public Heal [Internet]. 2012;45(1):47–59. Available from: http://www.ncbi.nlm.nih.gov/pubmed/22389758</w:t>
      </w:r>
    </w:p>
    <w:p w14:paraId="126029A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144. </w:t>
      </w:r>
      <w:r w:rsidRPr="00657137">
        <w:rPr>
          <w:rFonts w:ascii="Calibri" w:hAnsi="Calibri" w:cs="Calibri"/>
          <w:noProof/>
          <w:szCs w:val="24"/>
        </w:rPr>
        <w:tab/>
        <w:t xml:space="preserve">The Times. </w:t>
      </w:r>
      <w:r w:rsidRPr="00657137">
        <w:rPr>
          <w:rFonts w:ascii="Calibri" w:hAnsi="Calibri" w:cs="Calibri"/>
          <w:i/>
          <w:iCs/>
          <w:noProof/>
          <w:szCs w:val="24"/>
        </w:rPr>
        <w:t>Ban on fast food near schools approved</w:t>
      </w:r>
      <w:r w:rsidRPr="00657137">
        <w:rPr>
          <w:rFonts w:ascii="Calibri" w:hAnsi="Calibri" w:cs="Calibri"/>
          <w:noProof/>
          <w:szCs w:val="24"/>
        </w:rPr>
        <w:t xml:space="preserve"> [Internet]. 2016. Available from: http://www.thetimes.co.uk/article/ban-on-fast-food-near-schools-approved-prm823vpp</w:t>
      </w:r>
    </w:p>
    <w:p w14:paraId="0E2A062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145. </w:t>
      </w:r>
      <w:r w:rsidRPr="00657137">
        <w:rPr>
          <w:rFonts w:ascii="Calibri" w:hAnsi="Calibri" w:cs="Calibri"/>
          <w:noProof/>
          <w:szCs w:val="24"/>
        </w:rPr>
        <w:tab/>
        <w:t xml:space="preserve">Department of Health. </w:t>
      </w:r>
      <w:r w:rsidRPr="00657137">
        <w:rPr>
          <w:rFonts w:ascii="Calibri" w:hAnsi="Calibri" w:cs="Calibri"/>
          <w:i/>
          <w:iCs/>
          <w:noProof/>
          <w:szCs w:val="24"/>
        </w:rPr>
        <w:t xml:space="preserve">Change4Life Convenience Stores Evaluation Report </w:t>
      </w:r>
      <w:r w:rsidRPr="00657137">
        <w:rPr>
          <w:rFonts w:ascii="Calibri" w:hAnsi="Calibri" w:cs="Calibri"/>
          <w:noProof/>
          <w:szCs w:val="24"/>
        </w:rPr>
        <w:t xml:space="preserve"> [Internet]. Available from: https://www.gov.uk/government/uploads/system/uploads/attachment_data/file/215984/dh_120801.pdf</w:t>
      </w:r>
    </w:p>
    <w:p w14:paraId="7D3A683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146. </w:t>
      </w:r>
      <w:r w:rsidRPr="00657137">
        <w:rPr>
          <w:rFonts w:ascii="Calibri" w:hAnsi="Calibri" w:cs="Calibri"/>
          <w:noProof/>
          <w:szCs w:val="24"/>
        </w:rPr>
        <w:tab/>
        <w:t xml:space="preserve">New Zealand Ministry of Foreign Affairs and Trade. </w:t>
      </w:r>
      <w:r w:rsidRPr="00657137">
        <w:rPr>
          <w:rFonts w:ascii="Calibri" w:hAnsi="Calibri" w:cs="Calibri"/>
          <w:i/>
          <w:iCs/>
          <w:noProof/>
          <w:szCs w:val="24"/>
        </w:rPr>
        <w:t>Trade Relationships and Agreements</w:t>
      </w:r>
      <w:r w:rsidRPr="00657137">
        <w:rPr>
          <w:rFonts w:ascii="Calibri" w:hAnsi="Calibri" w:cs="Calibri"/>
          <w:noProof/>
          <w:szCs w:val="24"/>
        </w:rPr>
        <w:t xml:space="preserve"> [Internet]. Available from: http://www.mfat.govt.nz/Trade-and-Economic-Relations/2-Trade-Relationships-and-Agreements/index.php#force</w:t>
      </w:r>
    </w:p>
    <w:p w14:paraId="44BC2D3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147. </w:t>
      </w:r>
      <w:r w:rsidRPr="00657137">
        <w:rPr>
          <w:rFonts w:ascii="Calibri" w:hAnsi="Calibri" w:cs="Calibri"/>
          <w:noProof/>
          <w:szCs w:val="24"/>
        </w:rPr>
        <w:tab/>
        <w:t xml:space="preserve">New Zealand Ministry of Foreign Affairs and Trade. </w:t>
      </w:r>
      <w:r w:rsidRPr="00657137">
        <w:rPr>
          <w:rFonts w:ascii="Calibri" w:hAnsi="Calibri" w:cs="Calibri"/>
          <w:i/>
          <w:iCs/>
          <w:noProof/>
          <w:szCs w:val="24"/>
        </w:rPr>
        <w:t>MFAT Strategic Intentions 2019-2023</w:t>
      </w:r>
      <w:r w:rsidRPr="00657137">
        <w:rPr>
          <w:rFonts w:ascii="Calibri" w:hAnsi="Calibri" w:cs="Calibri"/>
          <w:noProof/>
          <w:szCs w:val="24"/>
        </w:rPr>
        <w:t xml:space="preserve"> [Internet]. Twist. Wellington: Health Promotion Agency; 2019. Available from: https://www.mfat.govt.nz/assets/About-us/MFAT-Strategic-Intentions-2019-2023.pdf</w:t>
      </w:r>
    </w:p>
    <w:p w14:paraId="021E815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148. </w:t>
      </w:r>
      <w:r w:rsidRPr="00657137">
        <w:rPr>
          <w:rFonts w:ascii="Calibri" w:hAnsi="Calibri" w:cs="Calibri"/>
          <w:noProof/>
          <w:szCs w:val="24"/>
        </w:rPr>
        <w:tab/>
        <w:t xml:space="preserve">Ministry of Foreign Affairs and Trade. </w:t>
      </w:r>
      <w:r w:rsidRPr="00657137">
        <w:rPr>
          <w:rFonts w:ascii="Calibri" w:hAnsi="Calibri" w:cs="Calibri"/>
          <w:i/>
          <w:iCs/>
          <w:noProof/>
          <w:szCs w:val="24"/>
        </w:rPr>
        <w:t>Annual report 2018/2019</w:t>
      </w:r>
      <w:r w:rsidRPr="00657137">
        <w:rPr>
          <w:rFonts w:ascii="Calibri" w:hAnsi="Calibri" w:cs="Calibri"/>
          <w:noProof/>
          <w:szCs w:val="24"/>
        </w:rPr>
        <w:t xml:space="preserve"> [Internet]. Wellington: Ministry of Trade and Foreign Affairs; 2018. Available from: https://www.mfat.govt.nz/assets/MFAT-Corporate-publications/MFAT-Annual-Report-2019/Annual-report-2019-Web-Edition.pdf</w:t>
      </w:r>
    </w:p>
    <w:p w14:paraId="6755174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149. </w:t>
      </w:r>
      <w:r w:rsidRPr="00657137">
        <w:rPr>
          <w:rFonts w:ascii="Calibri" w:hAnsi="Calibri" w:cs="Calibri"/>
          <w:noProof/>
          <w:szCs w:val="24"/>
        </w:rPr>
        <w:tab/>
        <w:t xml:space="preserve">New Zealand Parliament. </w:t>
      </w:r>
      <w:r w:rsidRPr="00657137">
        <w:rPr>
          <w:rFonts w:ascii="Calibri" w:hAnsi="Calibri" w:cs="Calibri"/>
          <w:i/>
          <w:iCs/>
          <w:noProof/>
          <w:szCs w:val="24"/>
        </w:rPr>
        <w:t>the Food Bill</w:t>
      </w:r>
      <w:r w:rsidRPr="00657137">
        <w:rPr>
          <w:rFonts w:ascii="Calibri" w:hAnsi="Calibri" w:cs="Calibri"/>
          <w:noProof/>
          <w:szCs w:val="24"/>
        </w:rPr>
        <w:t xml:space="preserve"> [Internet]. 2010. Available from: http://www.parliament.nz/en-nz/pb/legislation/bills/00DBHOH_BILL9974_1/food-bill</w:t>
      </w:r>
    </w:p>
    <w:p w14:paraId="466B313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150. </w:t>
      </w:r>
      <w:r w:rsidRPr="00657137">
        <w:rPr>
          <w:rFonts w:ascii="Calibri" w:hAnsi="Calibri" w:cs="Calibri"/>
          <w:noProof/>
          <w:szCs w:val="24"/>
        </w:rPr>
        <w:tab/>
        <w:t xml:space="preserve">Friel S, Hattersley L, Snowdon W, Thow AM, Lobstein T, Sanders D, et al. </w:t>
      </w:r>
      <w:r w:rsidRPr="00657137">
        <w:rPr>
          <w:rFonts w:ascii="Calibri" w:hAnsi="Calibri" w:cs="Calibri"/>
          <w:i/>
          <w:iCs/>
          <w:noProof/>
          <w:szCs w:val="24"/>
        </w:rPr>
        <w:t>Monitoring the impacts of trade agreements on food environments</w:t>
      </w:r>
      <w:r w:rsidRPr="00657137">
        <w:rPr>
          <w:rFonts w:ascii="Calibri" w:hAnsi="Calibri" w:cs="Calibri"/>
          <w:noProof/>
          <w:szCs w:val="24"/>
        </w:rPr>
        <w:t>. Obes Rev [Internet]. 2013;14 Suppl 1:120–34. Available from: http://www.ncbi.nlm.nih.gov/pubmed/24074216</w:t>
      </w:r>
    </w:p>
    <w:p w14:paraId="194B4EA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151. </w:t>
      </w:r>
      <w:r w:rsidRPr="00657137">
        <w:rPr>
          <w:rFonts w:ascii="Calibri" w:hAnsi="Calibri" w:cs="Calibri"/>
          <w:noProof/>
          <w:szCs w:val="24"/>
        </w:rPr>
        <w:tab/>
        <w:t xml:space="preserve">Thow AM, Annan R, Mensah L, Chowdhury SN. </w:t>
      </w:r>
      <w:r w:rsidRPr="00657137">
        <w:rPr>
          <w:rFonts w:ascii="Calibri" w:hAnsi="Calibri" w:cs="Calibri"/>
          <w:i/>
          <w:iCs/>
          <w:noProof/>
          <w:szCs w:val="24"/>
        </w:rPr>
        <w:t>Development, implementation and outcome of standards to restrict fatty meat in the food supply and prevent NCDs: learning from an innovative trade/food policy in Ghana</w:t>
      </w:r>
      <w:r w:rsidRPr="00657137">
        <w:rPr>
          <w:rFonts w:ascii="Calibri" w:hAnsi="Calibri" w:cs="Calibri"/>
          <w:noProof/>
          <w:szCs w:val="24"/>
        </w:rPr>
        <w:t>. BMC Public Health [Internet]. 2014;14:249. Available from: http://www.ncbi.nlm.nih.gov/pubmed/24625217</w:t>
      </w:r>
    </w:p>
    <w:p w14:paraId="7915A12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152. </w:t>
      </w:r>
      <w:r w:rsidRPr="00657137">
        <w:rPr>
          <w:rFonts w:ascii="Calibri" w:hAnsi="Calibri" w:cs="Calibri"/>
          <w:noProof/>
          <w:szCs w:val="24"/>
        </w:rPr>
        <w:tab/>
        <w:t xml:space="preserve">World Health Organization. </w:t>
      </w:r>
      <w:r w:rsidRPr="00657137">
        <w:rPr>
          <w:rFonts w:ascii="Calibri" w:hAnsi="Calibri" w:cs="Calibri"/>
          <w:i/>
          <w:iCs/>
          <w:noProof/>
          <w:szCs w:val="24"/>
        </w:rPr>
        <w:t>Global Action Plan for the Prevention and Control of Non-Communicable Diseases 2013-2020</w:t>
      </w:r>
      <w:r w:rsidRPr="00657137">
        <w:rPr>
          <w:rFonts w:ascii="Calibri" w:hAnsi="Calibri" w:cs="Calibri"/>
          <w:noProof/>
          <w:szCs w:val="24"/>
        </w:rPr>
        <w:t xml:space="preserve"> [Internet]. 2013 [cited 2020 Jan 16]. Available from: www.who.int</w:t>
      </w:r>
    </w:p>
    <w:p w14:paraId="4DD352D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153. </w:t>
      </w:r>
      <w:r w:rsidRPr="00657137">
        <w:rPr>
          <w:rFonts w:ascii="Calibri" w:hAnsi="Calibri" w:cs="Calibri"/>
          <w:noProof/>
          <w:szCs w:val="24"/>
        </w:rPr>
        <w:tab/>
        <w:t xml:space="preserve">of Health M. </w:t>
      </w:r>
      <w:r w:rsidRPr="00657137">
        <w:rPr>
          <w:rFonts w:ascii="Calibri" w:hAnsi="Calibri" w:cs="Calibri"/>
          <w:i/>
          <w:iCs/>
          <w:noProof/>
          <w:szCs w:val="24"/>
        </w:rPr>
        <w:t>Statement of Strategic Intentions 2017 to 2021</w:t>
      </w:r>
      <w:r w:rsidRPr="00657137">
        <w:rPr>
          <w:rFonts w:ascii="Calibri" w:hAnsi="Calibri" w:cs="Calibri"/>
          <w:noProof/>
          <w:szCs w:val="24"/>
        </w:rPr>
        <w:t xml:space="preserve">. 2017; </w:t>
      </w:r>
    </w:p>
    <w:p w14:paraId="3F1EED6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154. </w:t>
      </w:r>
      <w:r w:rsidRPr="00657137">
        <w:rPr>
          <w:rFonts w:ascii="Calibri" w:hAnsi="Calibri" w:cs="Calibri"/>
          <w:noProof/>
          <w:szCs w:val="24"/>
        </w:rPr>
        <w:tab/>
        <w:t xml:space="preserve">Ministry of Health. </w:t>
      </w:r>
      <w:r w:rsidRPr="00657137">
        <w:rPr>
          <w:rFonts w:ascii="Calibri" w:hAnsi="Calibri" w:cs="Calibri"/>
          <w:i/>
          <w:iCs/>
          <w:noProof/>
          <w:szCs w:val="24"/>
        </w:rPr>
        <w:t>The 2012/13 Health Targets</w:t>
      </w:r>
      <w:r w:rsidRPr="00657137">
        <w:rPr>
          <w:rFonts w:ascii="Calibri" w:hAnsi="Calibri" w:cs="Calibri"/>
          <w:noProof/>
          <w:szCs w:val="24"/>
        </w:rPr>
        <w:t xml:space="preserve"> [Internet]. 2012. Available from: http://www.health.govt.nz/new-zealand-health-system/health-targets/2012-13-health-targets</w:t>
      </w:r>
    </w:p>
    <w:p w14:paraId="20878C8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155. </w:t>
      </w:r>
      <w:r w:rsidRPr="00657137">
        <w:rPr>
          <w:rFonts w:ascii="Calibri" w:hAnsi="Calibri" w:cs="Calibri"/>
          <w:noProof/>
          <w:szCs w:val="24"/>
        </w:rPr>
        <w:tab/>
        <w:t xml:space="preserve">Ministry of Health. </w:t>
      </w:r>
      <w:r w:rsidRPr="00657137">
        <w:rPr>
          <w:rFonts w:ascii="Calibri" w:hAnsi="Calibri" w:cs="Calibri"/>
          <w:i/>
          <w:iCs/>
          <w:noProof/>
          <w:szCs w:val="24"/>
        </w:rPr>
        <w:t>Health and Independence Report 2017 : The Director-General of Health’s Annual Report on the State of Public Health.</w:t>
      </w:r>
      <w:r w:rsidRPr="00657137">
        <w:rPr>
          <w:rFonts w:ascii="Calibri" w:hAnsi="Calibri" w:cs="Calibri"/>
          <w:noProof/>
          <w:szCs w:val="24"/>
        </w:rPr>
        <w:t xml:space="preserve"> Wellington; 2018. </w:t>
      </w:r>
    </w:p>
    <w:p w14:paraId="0B27ACC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156. </w:t>
      </w:r>
      <w:r w:rsidRPr="00657137">
        <w:rPr>
          <w:rFonts w:ascii="Calibri" w:hAnsi="Calibri" w:cs="Calibri"/>
          <w:noProof/>
          <w:szCs w:val="24"/>
        </w:rPr>
        <w:tab/>
        <w:t xml:space="preserve">Minister of Health. </w:t>
      </w:r>
      <w:r w:rsidRPr="00657137">
        <w:rPr>
          <w:rFonts w:ascii="Calibri" w:hAnsi="Calibri" w:cs="Calibri"/>
          <w:i/>
          <w:iCs/>
          <w:noProof/>
          <w:szCs w:val="24"/>
        </w:rPr>
        <w:t>New Zealand Health Strategy: Roadmap of actions 2016</w:t>
      </w:r>
      <w:r w:rsidRPr="00657137">
        <w:rPr>
          <w:rFonts w:ascii="Calibri" w:hAnsi="Calibri" w:cs="Calibri"/>
          <w:noProof/>
          <w:szCs w:val="24"/>
        </w:rPr>
        <w:t xml:space="preserve">. Wellington: Ministry of Health; 2016. </w:t>
      </w:r>
    </w:p>
    <w:p w14:paraId="0C1D1B6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157. </w:t>
      </w:r>
      <w:r w:rsidRPr="00657137">
        <w:rPr>
          <w:rFonts w:ascii="Calibri" w:hAnsi="Calibri" w:cs="Calibri"/>
          <w:noProof/>
          <w:szCs w:val="24"/>
        </w:rPr>
        <w:tab/>
        <w:t xml:space="preserve">Minister of Health. </w:t>
      </w:r>
      <w:r w:rsidRPr="00657137">
        <w:rPr>
          <w:rFonts w:ascii="Calibri" w:hAnsi="Calibri" w:cs="Calibri"/>
          <w:i/>
          <w:iCs/>
          <w:noProof/>
          <w:szCs w:val="24"/>
        </w:rPr>
        <w:t>New Zealand Health Strategy: Future direction.</w:t>
      </w:r>
      <w:r w:rsidRPr="00657137">
        <w:rPr>
          <w:rFonts w:ascii="Calibri" w:hAnsi="Calibri" w:cs="Calibri"/>
          <w:noProof/>
          <w:szCs w:val="24"/>
        </w:rPr>
        <w:t xml:space="preserve"> Wellington: Ministry of Health; 2016. </w:t>
      </w:r>
    </w:p>
    <w:p w14:paraId="53B1EE1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158. </w:t>
      </w:r>
      <w:r w:rsidRPr="00657137">
        <w:rPr>
          <w:rFonts w:ascii="Calibri" w:hAnsi="Calibri" w:cs="Calibri"/>
          <w:noProof/>
          <w:szCs w:val="24"/>
        </w:rPr>
        <w:tab/>
        <w:t xml:space="preserve">Associate Minister of Health, Health M of. </w:t>
      </w:r>
      <w:r w:rsidRPr="00657137">
        <w:rPr>
          <w:rFonts w:ascii="Calibri" w:hAnsi="Calibri" w:cs="Calibri"/>
          <w:i/>
          <w:iCs/>
          <w:noProof/>
          <w:szCs w:val="24"/>
        </w:rPr>
        <w:t>Healthy Ageing Strategy</w:t>
      </w:r>
      <w:r w:rsidRPr="00657137">
        <w:rPr>
          <w:rFonts w:ascii="Calibri" w:hAnsi="Calibri" w:cs="Calibri"/>
          <w:noProof/>
          <w:szCs w:val="24"/>
        </w:rPr>
        <w:t xml:space="preserve">. Wellington: Ministry of Health; 2016. </w:t>
      </w:r>
    </w:p>
    <w:p w14:paraId="6C083C8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159. </w:t>
      </w:r>
      <w:r w:rsidRPr="00657137">
        <w:rPr>
          <w:rFonts w:ascii="Calibri" w:hAnsi="Calibri" w:cs="Calibri"/>
          <w:noProof/>
          <w:szCs w:val="24"/>
        </w:rPr>
        <w:tab/>
        <w:t xml:space="preserve">Ministry of Health NZ. </w:t>
      </w:r>
      <w:r w:rsidRPr="00657137">
        <w:rPr>
          <w:rFonts w:ascii="Calibri" w:hAnsi="Calibri" w:cs="Calibri"/>
          <w:i/>
          <w:iCs/>
          <w:noProof/>
          <w:szCs w:val="24"/>
        </w:rPr>
        <w:t>Healthy Ageing Strategy: update</w:t>
      </w:r>
      <w:r w:rsidRPr="00657137">
        <w:rPr>
          <w:rFonts w:ascii="Calibri" w:hAnsi="Calibri" w:cs="Calibri"/>
          <w:noProof/>
          <w:szCs w:val="24"/>
        </w:rPr>
        <w:t xml:space="preserve"> [Internet]. 2019 [cited 2020 Jan 31]. Available from: https://www.health.govt.nz/our-work/life-stages/health-older-people/healthy-ageing-strategy-update</w:t>
      </w:r>
    </w:p>
    <w:p w14:paraId="1307D6A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160. </w:t>
      </w:r>
      <w:r w:rsidRPr="00657137">
        <w:rPr>
          <w:rFonts w:ascii="Calibri" w:hAnsi="Calibri" w:cs="Calibri"/>
          <w:noProof/>
          <w:szCs w:val="24"/>
        </w:rPr>
        <w:tab/>
        <w:t xml:space="preserve">Health Promotion Agency. </w:t>
      </w:r>
      <w:r w:rsidRPr="00657137">
        <w:rPr>
          <w:rFonts w:ascii="Calibri" w:hAnsi="Calibri" w:cs="Calibri"/>
          <w:i/>
          <w:iCs/>
          <w:noProof/>
          <w:szCs w:val="24"/>
        </w:rPr>
        <w:t>Statement of Intent 2017-2021</w:t>
      </w:r>
      <w:r w:rsidRPr="00657137">
        <w:rPr>
          <w:rFonts w:ascii="Calibri" w:hAnsi="Calibri" w:cs="Calibri"/>
          <w:noProof/>
          <w:szCs w:val="24"/>
        </w:rPr>
        <w:t xml:space="preserve">. Wellington; 2017. </w:t>
      </w:r>
    </w:p>
    <w:p w14:paraId="2EC267A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161. </w:t>
      </w:r>
      <w:r w:rsidRPr="00657137">
        <w:rPr>
          <w:rFonts w:ascii="Calibri" w:hAnsi="Calibri" w:cs="Calibri"/>
          <w:noProof/>
          <w:szCs w:val="24"/>
        </w:rPr>
        <w:tab/>
        <w:t xml:space="preserve">Health Promotion Agency. </w:t>
      </w:r>
      <w:r w:rsidRPr="00657137">
        <w:rPr>
          <w:rFonts w:ascii="Calibri" w:hAnsi="Calibri" w:cs="Calibri"/>
          <w:i/>
          <w:iCs/>
          <w:noProof/>
          <w:szCs w:val="24"/>
        </w:rPr>
        <w:t>Statement of Performance Expectations 2018/19 Health Promotion Agency E26 2: HPA Statement of Performance Expectations</w:t>
      </w:r>
      <w:r w:rsidRPr="00657137">
        <w:rPr>
          <w:rFonts w:ascii="Calibri" w:hAnsi="Calibri" w:cs="Calibri"/>
          <w:noProof/>
          <w:szCs w:val="24"/>
        </w:rPr>
        <w:t xml:space="preserve">. 2018. </w:t>
      </w:r>
    </w:p>
    <w:p w14:paraId="730F919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162. </w:t>
      </w:r>
      <w:r w:rsidRPr="00657137">
        <w:rPr>
          <w:rFonts w:ascii="Calibri" w:hAnsi="Calibri" w:cs="Calibri"/>
          <w:noProof/>
          <w:szCs w:val="24"/>
        </w:rPr>
        <w:tab/>
        <w:t xml:space="preserve">Health Promotion Agency. </w:t>
      </w:r>
      <w:r w:rsidRPr="00657137">
        <w:rPr>
          <w:rFonts w:ascii="Calibri" w:hAnsi="Calibri" w:cs="Calibri"/>
          <w:i/>
          <w:iCs/>
          <w:noProof/>
          <w:szCs w:val="24"/>
        </w:rPr>
        <w:t>Healthy Kids</w:t>
      </w:r>
      <w:r w:rsidRPr="00657137">
        <w:rPr>
          <w:rFonts w:ascii="Calibri" w:hAnsi="Calibri" w:cs="Calibri"/>
          <w:noProof/>
          <w:szCs w:val="24"/>
        </w:rPr>
        <w:t xml:space="preserve"> [Internet]. 2020 [cited 2020 Jan 31]. Available from: https://www.healthykids.org.nz/</w:t>
      </w:r>
    </w:p>
    <w:p w14:paraId="375032F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163. </w:t>
      </w:r>
      <w:r w:rsidRPr="00657137">
        <w:rPr>
          <w:rFonts w:ascii="Calibri" w:hAnsi="Calibri" w:cs="Calibri"/>
          <w:noProof/>
          <w:szCs w:val="24"/>
        </w:rPr>
        <w:tab/>
        <w:t xml:space="preserve">Ministry of Health NZ. </w:t>
      </w:r>
      <w:r w:rsidRPr="00657137">
        <w:rPr>
          <w:rFonts w:ascii="Calibri" w:hAnsi="Calibri" w:cs="Calibri"/>
          <w:i/>
          <w:iCs/>
          <w:noProof/>
          <w:szCs w:val="24"/>
        </w:rPr>
        <w:t>Media releases | Ministry of Health NZ</w:t>
      </w:r>
      <w:r w:rsidRPr="00657137">
        <w:rPr>
          <w:rFonts w:ascii="Calibri" w:hAnsi="Calibri" w:cs="Calibri"/>
          <w:noProof/>
          <w:szCs w:val="24"/>
        </w:rPr>
        <w:t xml:space="preserve"> [Internet]. 2020 [cited 2020 Jan 29]. Available from: https://www.health.govt.nz/news-media/media-releases</w:t>
      </w:r>
    </w:p>
    <w:p w14:paraId="1AC08FC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164. </w:t>
      </w:r>
      <w:r w:rsidRPr="00657137">
        <w:rPr>
          <w:rFonts w:ascii="Calibri" w:hAnsi="Calibri" w:cs="Calibri"/>
          <w:noProof/>
          <w:szCs w:val="24"/>
        </w:rPr>
        <w:tab/>
        <w:t xml:space="preserve">Beehive. </w:t>
      </w:r>
      <w:r w:rsidRPr="00657137">
        <w:rPr>
          <w:rFonts w:ascii="Calibri" w:hAnsi="Calibri" w:cs="Calibri"/>
          <w:i/>
          <w:iCs/>
          <w:noProof/>
          <w:szCs w:val="24"/>
        </w:rPr>
        <w:t>Search Hon Dr David Clark | Beehive.govt.nz</w:t>
      </w:r>
      <w:r w:rsidRPr="00657137">
        <w:rPr>
          <w:rFonts w:ascii="Calibri" w:hAnsi="Calibri" w:cs="Calibri"/>
          <w:noProof/>
          <w:szCs w:val="24"/>
        </w:rPr>
        <w:t xml:space="preserve"> [Internet]. 2020 [cited 2020 Jan 29]. Available from: https://www.beehive.govt.nz/search?query=obesity</w:t>
      </w:r>
    </w:p>
    <w:p w14:paraId="6859129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165. </w:t>
      </w:r>
      <w:r w:rsidRPr="00657137">
        <w:rPr>
          <w:rFonts w:ascii="Calibri" w:hAnsi="Calibri" w:cs="Calibri"/>
          <w:noProof/>
          <w:szCs w:val="24"/>
        </w:rPr>
        <w:tab/>
        <w:t xml:space="preserve">Kelly PM, Davies A, Greig AJ, Lee KK. </w:t>
      </w:r>
      <w:r w:rsidRPr="00657137">
        <w:rPr>
          <w:rFonts w:ascii="Calibri" w:hAnsi="Calibri" w:cs="Calibri"/>
          <w:i/>
          <w:iCs/>
          <w:noProof/>
          <w:szCs w:val="24"/>
        </w:rPr>
        <w:t>Obesity Prevention in a City State: Lessons from New York City during the Bloomberg Administration</w:t>
      </w:r>
      <w:r w:rsidRPr="00657137">
        <w:rPr>
          <w:rFonts w:ascii="Calibri" w:hAnsi="Calibri" w:cs="Calibri"/>
          <w:noProof/>
          <w:szCs w:val="24"/>
        </w:rPr>
        <w:t>. Front Public Heal [Internet]. 2016;4:60. Available from: http://www.ncbi.nlm.nih.gov/pubmed/27064755</w:t>
      </w:r>
    </w:p>
    <w:p w14:paraId="3C2B45B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166. </w:t>
      </w:r>
      <w:r w:rsidRPr="00657137">
        <w:rPr>
          <w:rFonts w:ascii="Calibri" w:hAnsi="Calibri" w:cs="Calibri"/>
          <w:noProof/>
          <w:szCs w:val="24"/>
        </w:rPr>
        <w:tab/>
        <w:t xml:space="preserve">World Public Health Nutrition Association Update team. </w:t>
      </w:r>
      <w:r w:rsidRPr="00657137">
        <w:rPr>
          <w:rFonts w:ascii="Calibri" w:hAnsi="Calibri" w:cs="Calibri"/>
          <w:i/>
          <w:iCs/>
          <w:noProof/>
          <w:szCs w:val="24"/>
        </w:rPr>
        <w:t xml:space="preserve">Brazilian dietary guidelines. At last! Guidelines based on food and meals! </w:t>
      </w:r>
      <w:r w:rsidRPr="00657137">
        <w:rPr>
          <w:rFonts w:ascii="Calibri" w:hAnsi="Calibri" w:cs="Calibri"/>
          <w:noProof/>
          <w:szCs w:val="24"/>
        </w:rPr>
        <w:t xml:space="preserve"> [Internet]. World Nutrition; 2014. Available from: http://wphna.org/wp-content/uploads/2015/01/WN-2014-05-12-1050-1051-Update-Guia.pdf</w:t>
      </w:r>
    </w:p>
    <w:p w14:paraId="631F021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167. </w:t>
      </w:r>
      <w:r w:rsidRPr="00657137">
        <w:rPr>
          <w:rFonts w:ascii="Calibri" w:hAnsi="Calibri" w:cs="Calibri"/>
          <w:noProof/>
          <w:szCs w:val="24"/>
        </w:rPr>
        <w:tab/>
        <w:t xml:space="preserve">Ministry of Health. </w:t>
      </w:r>
      <w:r w:rsidRPr="00657137">
        <w:rPr>
          <w:rFonts w:ascii="Calibri" w:hAnsi="Calibri" w:cs="Calibri"/>
          <w:i/>
          <w:iCs/>
          <w:noProof/>
          <w:szCs w:val="24"/>
        </w:rPr>
        <w:t>Nutrient Reference Values</w:t>
      </w:r>
      <w:r w:rsidRPr="00657137">
        <w:rPr>
          <w:rFonts w:ascii="Calibri" w:hAnsi="Calibri" w:cs="Calibri"/>
          <w:noProof/>
          <w:szCs w:val="24"/>
        </w:rPr>
        <w:t xml:space="preserve"> [Internet]. Australian Government. 2020. Available from: https://www.nrv.gov.au/</w:t>
      </w:r>
    </w:p>
    <w:p w14:paraId="379FAFB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168. </w:t>
      </w:r>
      <w:r w:rsidRPr="00657137">
        <w:rPr>
          <w:rFonts w:ascii="Calibri" w:hAnsi="Calibri" w:cs="Calibri"/>
          <w:noProof/>
          <w:szCs w:val="24"/>
        </w:rPr>
        <w:tab/>
        <w:t xml:space="preserve">Australian Government Department of Health. </w:t>
      </w:r>
      <w:r w:rsidRPr="00657137">
        <w:rPr>
          <w:rFonts w:ascii="Calibri" w:hAnsi="Calibri" w:cs="Calibri"/>
          <w:i/>
          <w:iCs/>
          <w:noProof/>
          <w:szCs w:val="24"/>
        </w:rPr>
        <w:t>Nutrient Reference Values</w:t>
      </w:r>
      <w:r w:rsidRPr="00657137">
        <w:rPr>
          <w:rFonts w:ascii="Calibri" w:hAnsi="Calibri" w:cs="Calibri"/>
          <w:noProof/>
          <w:szCs w:val="24"/>
        </w:rPr>
        <w:t xml:space="preserve"> [Internet]. 2015. Available from: http://www.health.gov.au/internet/main/publishing.nsf/Content/nutrient-ref-values</w:t>
      </w:r>
    </w:p>
    <w:p w14:paraId="0425531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169. </w:t>
      </w:r>
      <w:r w:rsidRPr="00657137">
        <w:rPr>
          <w:rFonts w:ascii="Calibri" w:hAnsi="Calibri" w:cs="Calibri"/>
          <w:noProof/>
          <w:szCs w:val="24"/>
        </w:rPr>
        <w:tab/>
        <w:t xml:space="preserve">Ministry of Health Brazil. </w:t>
      </w:r>
      <w:r w:rsidRPr="00657137">
        <w:rPr>
          <w:rFonts w:ascii="Calibri" w:hAnsi="Calibri" w:cs="Calibri"/>
          <w:i/>
          <w:iCs/>
          <w:noProof/>
          <w:szCs w:val="24"/>
        </w:rPr>
        <w:t>Health Surveillance Secretariat: Health situation analysis department. Strategic action plan to tackle noncommunicable diseases in Brazil 2011-2022</w:t>
      </w:r>
      <w:r w:rsidRPr="00657137">
        <w:rPr>
          <w:rFonts w:ascii="Calibri" w:hAnsi="Calibri" w:cs="Calibri"/>
          <w:noProof/>
          <w:szCs w:val="24"/>
        </w:rPr>
        <w:t xml:space="preserve">. Brazil: Ministry of Health; 2011. </w:t>
      </w:r>
    </w:p>
    <w:p w14:paraId="26F0FE4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170. </w:t>
      </w:r>
      <w:r w:rsidRPr="00657137">
        <w:rPr>
          <w:rFonts w:ascii="Calibri" w:hAnsi="Calibri" w:cs="Calibri"/>
          <w:noProof/>
          <w:szCs w:val="24"/>
        </w:rPr>
        <w:tab/>
        <w:t xml:space="preserve">Ministry of Health South Africa. </w:t>
      </w:r>
      <w:r w:rsidRPr="00657137">
        <w:rPr>
          <w:rFonts w:ascii="Calibri" w:hAnsi="Calibri" w:cs="Calibri"/>
          <w:i/>
          <w:iCs/>
          <w:noProof/>
          <w:szCs w:val="24"/>
        </w:rPr>
        <w:t>Strategic Plan for the Prevention and Control of Non-Communicable Diseases 2013-17</w:t>
      </w:r>
      <w:r w:rsidRPr="00657137">
        <w:rPr>
          <w:rFonts w:ascii="Calibri" w:hAnsi="Calibri" w:cs="Calibri"/>
          <w:noProof/>
          <w:szCs w:val="24"/>
        </w:rPr>
        <w:t xml:space="preserve"> [Internet]. 2013. Available from: http://www.hsrc.ac.za/uploads/pageContent/3893/NCDs STRAT PLAN  CONTENT 8 april proof.pdf</w:t>
      </w:r>
    </w:p>
    <w:p w14:paraId="0658E09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171. </w:t>
      </w:r>
      <w:r w:rsidRPr="00657137">
        <w:rPr>
          <w:rFonts w:ascii="Calibri" w:hAnsi="Calibri" w:cs="Calibri"/>
          <w:noProof/>
          <w:szCs w:val="24"/>
        </w:rPr>
        <w:tab/>
        <w:t xml:space="preserve">Public Health England. </w:t>
      </w:r>
      <w:r w:rsidRPr="00657137">
        <w:rPr>
          <w:rFonts w:ascii="Calibri" w:hAnsi="Calibri" w:cs="Calibri"/>
          <w:i/>
          <w:iCs/>
          <w:noProof/>
          <w:szCs w:val="24"/>
        </w:rPr>
        <w:t>Sugar reduction: From evidence to action</w:t>
      </w:r>
      <w:r w:rsidRPr="00657137">
        <w:rPr>
          <w:rFonts w:ascii="Calibri" w:hAnsi="Calibri" w:cs="Calibri"/>
          <w:noProof/>
          <w:szCs w:val="24"/>
        </w:rPr>
        <w:t xml:space="preserve"> [Internet]. London: Public Health England; 2015. Available from: https://www.gov.uk/government/uploads/system/uploads/attachment_data/file/470179/Sugar_reduction_The_evidence_for_action.pdf</w:t>
      </w:r>
    </w:p>
    <w:p w14:paraId="1AACA3B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172. </w:t>
      </w:r>
      <w:r w:rsidRPr="00657137">
        <w:rPr>
          <w:rFonts w:ascii="Calibri" w:hAnsi="Calibri" w:cs="Calibri"/>
          <w:noProof/>
          <w:szCs w:val="24"/>
        </w:rPr>
        <w:tab/>
        <w:t xml:space="preserve">Ministry of Health. </w:t>
      </w:r>
      <w:r w:rsidRPr="00657137">
        <w:rPr>
          <w:rFonts w:ascii="Calibri" w:hAnsi="Calibri" w:cs="Calibri"/>
          <w:i/>
          <w:iCs/>
          <w:noProof/>
          <w:szCs w:val="24"/>
        </w:rPr>
        <w:t>Eating and Activity Guidelines</w:t>
      </w:r>
      <w:r w:rsidRPr="00657137">
        <w:rPr>
          <w:rFonts w:ascii="Calibri" w:hAnsi="Calibri" w:cs="Calibri"/>
          <w:noProof/>
          <w:szCs w:val="24"/>
        </w:rPr>
        <w:t xml:space="preserve"> [Internet]. Wellington: Ministry of Health; 2015. Available from: http://www.health.govt.nz/our-work/eating-and-activity-guidelines</w:t>
      </w:r>
    </w:p>
    <w:p w14:paraId="6C10CF4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173. </w:t>
      </w:r>
      <w:r w:rsidRPr="00657137">
        <w:rPr>
          <w:rFonts w:ascii="Calibri" w:hAnsi="Calibri" w:cs="Calibri"/>
          <w:noProof/>
          <w:szCs w:val="24"/>
        </w:rPr>
        <w:tab/>
        <w:t xml:space="preserve">Promotion Agency H. </w:t>
      </w:r>
      <w:r w:rsidRPr="00657137">
        <w:rPr>
          <w:rFonts w:ascii="Calibri" w:hAnsi="Calibri" w:cs="Calibri"/>
          <w:i/>
          <w:iCs/>
          <w:noProof/>
          <w:szCs w:val="24"/>
        </w:rPr>
        <w:t>HPA Annual Report 2018 - Presented to the House of Representatives pursuant to Section 150(3) of the Crown Entities Act 2004 Annual Report</w:t>
      </w:r>
      <w:r w:rsidRPr="00657137">
        <w:rPr>
          <w:rFonts w:ascii="Calibri" w:hAnsi="Calibri" w:cs="Calibri"/>
          <w:noProof/>
          <w:szCs w:val="24"/>
        </w:rPr>
        <w:t xml:space="preserve">. 2018. </w:t>
      </w:r>
    </w:p>
    <w:p w14:paraId="5BEC10E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174. </w:t>
      </w:r>
      <w:r w:rsidRPr="00657137">
        <w:rPr>
          <w:rFonts w:ascii="Calibri" w:hAnsi="Calibri" w:cs="Calibri"/>
          <w:noProof/>
          <w:szCs w:val="24"/>
        </w:rPr>
        <w:tab/>
        <w:t xml:space="preserve">Monteiro CA, Cannon G, Moubarac JC, Martins AP, Martins CA, Garzillo J, et al. </w:t>
      </w:r>
      <w:r w:rsidRPr="00657137">
        <w:rPr>
          <w:rFonts w:ascii="Calibri" w:hAnsi="Calibri" w:cs="Calibri"/>
          <w:i/>
          <w:iCs/>
          <w:noProof/>
          <w:szCs w:val="24"/>
        </w:rPr>
        <w:t>Dietary guidelines to nourish humanity and the planet in the twenty-first century. A blueprint from Brazil</w:t>
      </w:r>
      <w:r w:rsidRPr="00657137">
        <w:rPr>
          <w:rFonts w:ascii="Calibri" w:hAnsi="Calibri" w:cs="Calibri"/>
          <w:noProof/>
          <w:szCs w:val="24"/>
        </w:rPr>
        <w:t>. Public Heal Nutr [Internet]. 2015;18(13):2311–22. Available from: http://www.ncbi.nlm.nih.gov/pubmed/26205679</w:t>
      </w:r>
    </w:p>
    <w:p w14:paraId="0A509C5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175. </w:t>
      </w:r>
      <w:r w:rsidRPr="00657137">
        <w:rPr>
          <w:rFonts w:ascii="Calibri" w:hAnsi="Calibri" w:cs="Calibri"/>
          <w:noProof/>
          <w:szCs w:val="24"/>
        </w:rPr>
        <w:tab/>
        <w:t xml:space="preserve">Ministry of Health Brazil. </w:t>
      </w:r>
      <w:r w:rsidRPr="00657137">
        <w:rPr>
          <w:rFonts w:ascii="Calibri" w:hAnsi="Calibri" w:cs="Calibri"/>
          <w:i/>
          <w:iCs/>
          <w:noProof/>
          <w:szCs w:val="24"/>
        </w:rPr>
        <w:t>Dietary guidelines for the Brazilian population</w:t>
      </w:r>
      <w:r w:rsidRPr="00657137">
        <w:rPr>
          <w:rFonts w:ascii="Calibri" w:hAnsi="Calibri" w:cs="Calibri"/>
          <w:noProof/>
          <w:szCs w:val="24"/>
        </w:rPr>
        <w:t xml:space="preserve"> [Internet]. 2014. Available from: http://www.foodpolitics.com/wp-content/uploads/Brazilian-Dietary-Guidelines-2014.pdf</w:t>
      </w:r>
    </w:p>
    <w:p w14:paraId="5189D70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176. </w:t>
      </w:r>
      <w:r w:rsidRPr="00657137">
        <w:rPr>
          <w:rFonts w:ascii="Calibri" w:hAnsi="Calibri" w:cs="Calibri"/>
          <w:noProof/>
          <w:szCs w:val="24"/>
        </w:rPr>
        <w:tab/>
        <w:t xml:space="preserve">Ministry of Health. </w:t>
      </w:r>
      <w:r w:rsidRPr="00657137">
        <w:rPr>
          <w:rFonts w:ascii="Calibri" w:hAnsi="Calibri" w:cs="Calibri"/>
          <w:i/>
          <w:iCs/>
          <w:noProof/>
          <w:szCs w:val="24"/>
        </w:rPr>
        <w:t>Childhood obesity plan</w:t>
      </w:r>
      <w:r w:rsidRPr="00657137">
        <w:rPr>
          <w:rFonts w:ascii="Calibri" w:hAnsi="Calibri" w:cs="Calibri"/>
          <w:noProof/>
          <w:szCs w:val="24"/>
        </w:rPr>
        <w:t xml:space="preserve"> [Internet]. 2016. Available from: https://www.health.govt.nz/our-work/diseases-and-conditions/obesity/childhood-obesity-plan</w:t>
      </w:r>
    </w:p>
    <w:p w14:paraId="300BB85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177. </w:t>
      </w:r>
      <w:r w:rsidRPr="00657137">
        <w:rPr>
          <w:rFonts w:ascii="Calibri" w:hAnsi="Calibri" w:cs="Calibri"/>
          <w:noProof/>
          <w:szCs w:val="24"/>
        </w:rPr>
        <w:tab/>
        <w:t xml:space="preserve">Ministry of Health. </w:t>
      </w:r>
      <w:r w:rsidRPr="00657137">
        <w:rPr>
          <w:rFonts w:ascii="Calibri" w:hAnsi="Calibri" w:cs="Calibri"/>
          <w:i/>
          <w:iCs/>
          <w:noProof/>
          <w:szCs w:val="24"/>
        </w:rPr>
        <w:t xml:space="preserve">Childhood obesity plan: background information </w:t>
      </w:r>
      <w:r w:rsidRPr="00657137">
        <w:rPr>
          <w:rFonts w:ascii="Calibri" w:hAnsi="Calibri" w:cs="Calibri"/>
          <w:noProof/>
          <w:szCs w:val="24"/>
        </w:rPr>
        <w:t xml:space="preserve"> [Internet]. 2016. Available from: </w:t>
      </w:r>
      <w:r w:rsidRPr="00657137">
        <w:rPr>
          <w:rFonts w:ascii="Calibri" w:hAnsi="Calibri" w:cs="Calibri"/>
          <w:noProof/>
          <w:szCs w:val="24"/>
        </w:rPr>
        <w:lastRenderedPageBreak/>
        <w:t>https://www.health.govt.nz/our-work/diseases-and-conditions/obesity/childhood-obesity-plan/childhood-obesity-plan-background-information</w:t>
      </w:r>
    </w:p>
    <w:p w14:paraId="4CAC627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178. </w:t>
      </w:r>
      <w:r w:rsidRPr="00657137">
        <w:rPr>
          <w:rFonts w:ascii="Calibri" w:hAnsi="Calibri" w:cs="Calibri"/>
          <w:noProof/>
          <w:szCs w:val="24"/>
        </w:rPr>
        <w:tab/>
        <w:t xml:space="preserve">Ministry of Health NZ. </w:t>
      </w:r>
      <w:r w:rsidRPr="00657137">
        <w:rPr>
          <w:rFonts w:ascii="Calibri" w:hAnsi="Calibri" w:cs="Calibri"/>
          <w:i/>
          <w:iCs/>
          <w:noProof/>
          <w:szCs w:val="24"/>
        </w:rPr>
        <w:t>How is my DHB performing?</w:t>
      </w:r>
      <w:r w:rsidRPr="00657137">
        <w:rPr>
          <w:rFonts w:ascii="Calibri" w:hAnsi="Calibri" w:cs="Calibri"/>
          <w:noProof/>
          <w:szCs w:val="24"/>
        </w:rPr>
        <w:t xml:space="preserve"> [Internet]. 2019 [cited 2020 Jan 31]. Available from: https://www.health.govt.nz/new-zealand-health-system/health-targets/how-my-dhb-performing-2017-18</w:t>
      </w:r>
    </w:p>
    <w:p w14:paraId="0C4A15D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179. </w:t>
      </w:r>
      <w:r w:rsidRPr="00657137">
        <w:rPr>
          <w:rFonts w:ascii="Calibri" w:hAnsi="Calibri" w:cs="Calibri"/>
          <w:noProof/>
          <w:szCs w:val="24"/>
        </w:rPr>
        <w:tab/>
        <w:t xml:space="preserve">Ministry of Health. </w:t>
      </w:r>
      <w:r w:rsidRPr="00657137">
        <w:rPr>
          <w:rFonts w:ascii="Calibri" w:hAnsi="Calibri" w:cs="Calibri"/>
          <w:i/>
          <w:iCs/>
          <w:noProof/>
          <w:szCs w:val="24"/>
        </w:rPr>
        <w:t>Children and Young People Living Well and Staying Well: New Zealand Childhood Obesity Programme Baseline Report 2016/17</w:t>
      </w:r>
      <w:r w:rsidRPr="00657137">
        <w:rPr>
          <w:rFonts w:ascii="Calibri" w:hAnsi="Calibri" w:cs="Calibri"/>
          <w:noProof/>
          <w:szCs w:val="24"/>
        </w:rPr>
        <w:t xml:space="preserve"> [Internet]. Wellington; 2017. Available from: https://www.health.govt.nz/system/files/documents/publications/children-young-people-living-well-staying-well-childhood-obesity-programme-baseline-report-2016-17-jun17.pdf</w:t>
      </w:r>
    </w:p>
    <w:p w14:paraId="1133E1A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180. </w:t>
      </w:r>
      <w:r w:rsidRPr="00657137">
        <w:rPr>
          <w:rFonts w:ascii="Calibri" w:hAnsi="Calibri" w:cs="Calibri"/>
          <w:noProof/>
          <w:szCs w:val="24"/>
        </w:rPr>
        <w:tab/>
        <w:t xml:space="preserve">Ministry of Primary Industries. </w:t>
      </w:r>
      <w:r w:rsidRPr="00657137">
        <w:rPr>
          <w:rFonts w:ascii="Calibri" w:hAnsi="Calibri" w:cs="Calibri"/>
          <w:i/>
          <w:iCs/>
          <w:noProof/>
          <w:szCs w:val="24"/>
        </w:rPr>
        <w:t>Review of folic acid fortification of food | NZ Food Safety | NZ Government</w:t>
      </w:r>
      <w:r w:rsidRPr="00657137">
        <w:rPr>
          <w:rFonts w:ascii="Calibri" w:hAnsi="Calibri" w:cs="Calibri"/>
          <w:noProof/>
          <w:szCs w:val="24"/>
        </w:rPr>
        <w:t xml:space="preserve"> [Internet]. 2019 [cited 2020 Jan 31]. Available from: https://www.mpi.govt.nz/news-and-resources/consultations/review-of-folic-acid-fortification-of-food/</w:t>
      </w:r>
    </w:p>
    <w:p w14:paraId="0E6548C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181. </w:t>
      </w:r>
      <w:r w:rsidRPr="00657137">
        <w:rPr>
          <w:rFonts w:ascii="Calibri" w:hAnsi="Calibri" w:cs="Calibri"/>
          <w:noProof/>
          <w:szCs w:val="24"/>
        </w:rPr>
        <w:tab/>
        <w:t xml:space="preserve">World Health Organization Europe. </w:t>
      </w:r>
      <w:r w:rsidRPr="00657137">
        <w:rPr>
          <w:rFonts w:ascii="Calibri" w:hAnsi="Calibri" w:cs="Calibri"/>
          <w:i/>
          <w:iCs/>
          <w:noProof/>
          <w:szCs w:val="24"/>
        </w:rPr>
        <w:t>European Food and Nutrition Action Plan 2015–2020</w:t>
      </w:r>
      <w:r w:rsidRPr="00657137">
        <w:rPr>
          <w:rFonts w:ascii="Calibri" w:hAnsi="Calibri" w:cs="Calibri"/>
          <w:noProof/>
          <w:szCs w:val="24"/>
        </w:rPr>
        <w:t xml:space="preserve"> [Internet]. Copenhagen: WHO Europe; 2015. Available from: http://www.euro.who.int/__data/assets/pdf_file/0008/253727/64wd14e_FoodNutAP_140426.pdf</w:t>
      </w:r>
    </w:p>
    <w:p w14:paraId="5EA66E4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182. </w:t>
      </w:r>
      <w:r w:rsidRPr="00657137">
        <w:rPr>
          <w:rFonts w:ascii="Calibri" w:hAnsi="Calibri" w:cs="Calibri"/>
          <w:noProof/>
          <w:szCs w:val="24"/>
        </w:rPr>
        <w:tab/>
        <w:t xml:space="preserve">Ministry of Health. </w:t>
      </w:r>
      <w:r w:rsidRPr="00657137">
        <w:rPr>
          <w:rFonts w:ascii="Calibri" w:hAnsi="Calibri" w:cs="Calibri"/>
          <w:i/>
          <w:iCs/>
          <w:noProof/>
          <w:szCs w:val="24"/>
        </w:rPr>
        <w:t>Statement of Intent 2012/13 to 2014/15</w:t>
      </w:r>
      <w:r w:rsidRPr="00657137">
        <w:rPr>
          <w:rFonts w:ascii="Calibri" w:hAnsi="Calibri" w:cs="Calibri"/>
          <w:noProof/>
          <w:szCs w:val="24"/>
        </w:rPr>
        <w:t xml:space="preserve"> [Internet]. Wellington: Ministry of Health; 2012. Available from: http://www.health.govt.nz/publication/statement-intent-2012-13-2014-15-ministry-health</w:t>
      </w:r>
    </w:p>
    <w:p w14:paraId="31E0C40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183. </w:t>
      </w:r>
      <w:r w:rsidRPr="00657137">
        <w:rPr>
          <w:rFonts w:ascii="Calibri" w:hAnsi="Calibri" w:cs="Calibri"/>
          <w:noProof/>
          <w:szCs w:val="24"/>
        </w:rPr>
        <w:tab/>
        <w:t xml:space="preserve">Minister of Health, Minister of Pacific Island Affairs. </w:t>
      </w:r>
      <w:r w:rsidRPr="00657137">
        <w:rPr>
          <w:rFonts w:ascii="Calibri" w:hAnsi="Calibri" w:cs="Calibri"/>
          <w:i/>
          <w:iCs/>
          <w:noProof/>
          <w:szCs w:val="24"/>
        </w:rPr>
        <w:t>’Ala Mo’ui: Pathways to Pacific Health and Wellbeing 2014–2018</w:t>
      </w:r>
      <w:r w:rsidRPr="00657137">
        <w:rPr>
          <w:rFonts w:ascii="Calibri" w:hAnsi="Calibri" w:cs="Calibri"/>
          <w:noProof/>
          <w:szCs w:val="24"/>
        </w:rPr>
        <w:t xml:space="preserve"> [Internet]. Wellington: Ministry of Health; 2014. Available from: http://www.health.govt.nz/publication/ala-moui-pathways-pacific-health-and-wellbeing-2014-2018</w:t>
      </w:r>
    </w:p>
    <w:p w14:paraId="16CC0EA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184. </w:t>
      </w:r>
      <w:r w:rsidRPr="00657137">
        <w:rPr>
          <w:rFonts w:ascii="Calibri" w:hAnsi="Calibri" w:cs="Calibri"/>
          <w:noProof/>
          <w:szCs w:val="24"/>
        </w:rPr>
        <w:tab/>
        <w:t xml:space="preserve">Ministry of Health. </w:t>
      </w:r>
      <w:r w:rsidRPr="00657137">
        <w:rPr>
          <w:rFonts w:ascii="Calibri" w:hAnsi="Calibri" w:cs="Calibri"/>
          <w:i/>
          <w:iCs/>
          <w:noProof/>
          <w:szCs w:val="24"/>
        </w:rPr>
        <w:t>ʹAla Moʹui Progress Report Pacific Health Care Utilisation</w:t>
      </w:r>
      <w:r w:rsidRPr="00657137">
        <w:rPr>
          <w:rFonts w:ascii="Calibri" w:hAnsi="Calibri" w:cs="Calibri"/>
          <w:noProof/>
          <w:szCs w:val="24"/>
        </w:rPr>
        <w:t xml:space="preserve"> [Internet]. 2018 [cited 2020 Jan 16]. Available from: https://www.health.govt.nz/system/files/documents/publications/ala-moui-health-care-utilisation-dec18.pdf</w:t>
      </w:r>
    </w:p>
    <w:p w14:paraId="2D5B615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185. </w:t>
      </w:r>
      <w:r w:rsidRPr="00657137">
        <w:rPr>
          <w:rFonts w:ascii="Calibri" w:hAnsi="Calibri" w:cs="Calibri"/>
          <w:noProof/>
          <w:szCs w:val="24"/>
        </w:rPr>
        <w:tab/>
        <w:t xml:space="preserve">Ministry of Health. </w:t>
      </w:r>
      <w:r w:rsidRPr="00657137">
        <w:rPr>
          <w:rFonts w:ascii="Calibri" w:hAnsi="Calibri" w:cs="Calibri"/>
          <w:i/>
          <w:iCs/>
          <w:noProof/>
          <w:szCs w:val="24"/>
        </w:rPr>
        <w:t>Responsibility for Pacific health outcomes</w:t>
      </w:r>
      <w:r w:rsidRPr="00657137">
        <w:rPr>
          <w:rFonts w:ascii="Calibri" w:hAnsi="Calibri" w:cs="Calibri"/>
          <w:noProof/>
          <w:szCs w:val="24"/>
        </w:rPr>
        <w:t xml:space="preserve"> [Internet]. 2014. Available from: https://www.health.govt.nz/our-work/populations/pacific-health/responsibility-pacific-health-outcomes</w:t>
      </w:r>
    </w:p>
    <w:p w14:paraId="25B2B27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186. </w:t>
      </w:r>
      <w:r w:rsidRPr="00657137">
        <w:rPr>
          <w:rFonts w:ascii="Calibri" w:hAnsi="Calibri" w:cs="Calibri"/>
          <w:noProof/>
          <w:szCs w:val="24"/>
        </w:rPr>
        <w:tab/>
        <w:t xml:space="preserve">Ministry of Health. </w:t>
      </w:r>
      <w:r w:rsidRPr="00657137">
        <w:rPr>
          <w:rFonts w:ascii="Calibri" w:hAnsi="Calibri" w:cs="Calibri"/>
          <w:i/>
          <w:iCs/>
          <w:noProof/>
          <w:szCs w:val="24"/>
        </w:rPr>
        <w:t>He Korowai Oranga</w:t>
      </w:r>
      <w:r w:rsidRPr="00657137">
        <w:rPr>
          <w:rFonts w:ascii="Calibri" w:hAnsi="Calibri" w:cs="Calibri"/>
          <w:noProof/>
          <w:szCs w:val="24"/>
        </w:rPr>
        <w:t xml:space="preserve"> [Internet]. Wellington: Ministry of Health; 2015. Available from: http://www.health.govt.nz/our-work/populations/maori-health/he-korowai-oranga</w:t>
      </w:r>
    </w:p>
    <w:p w14:paraId="5375EB0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187. </w:t>
      </w:r>
      <w:r w:rsidRPr="00657137">
        <w:rPr>
          <w:rFonts w:ascii="Calibri" w:hAnsi="Calibri" w:cs="Calibri"/>
          <w:noProof/>
          <w:szCs w:val="24"/>
        </w:rPr>
        <w:tab/>
        <w:t xml:space="preserve">Ministry of Health. </w:t>
      </w:r>
      <w:r w:rsidRPr="00657137">
        <w:rPr>
          <w:rFonts w:ascii="Calibri" w:hAnsi="Calibri" w:cs="Calibri"/>
          <w:i/>
          <w:iCs/>
          <w:noProof/>
          <w:szCs w:val="24"/>
        </w:rPr>
        <w:t>Te Ao Auahatanga Hauora Māori: the Māori Health Innovation Fund 2013–2017</w:t>
      </w:r>
      <w:r w:rsidRPr="00657137">
        <w:rPr>
          <w:rFonts w:ascii="Calibri" w:hAnsi="Calibri" w:cs="Calibri"/>
          <w:noProof/>
          <w:szCs w:val="24"/>
        </w:rPr>
        <w:t xml:space="preserve"> [Internet]. 2014. Available from: http://www.health.govt.nz/our-work/populations/maori-health/maori-health-providers/te-ao-auahatanga-hauora-maori-maori-health-innovation-fund-2013-2017</w:t>
      </w:r>
    </w:p>
    <w:p w14:paraId="6DC65D4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188. </w:t>
      </w:r>
      <w:r w:rsidRPr="00657137">
        <w:rPr>
          <w:rFonts w:ascii="Calibri" w:hAnsi="Calibri" w:cs="Calibri"/>
          <w:noProof/>
          <w:szCs w:val="24"/>
        </w:rPr>
        <w:tab/>
        <w:t xml:space="preserve">Ministry of Health. </w:t>
      </w:r>
      <w:r w:rsidRPr="00657137">
        <w:rPr>
          <w:rFonts w:ascii="Calibri" w:hAnsi="Calibri" w:cs="Calibri"/>
          <w:i/>
          <w:iCs/>
          <w:noProof/>
          <w:szCs w:val="24"/>
        </w:rPr>
        <w:t>DHB Māori health plans, profiles and summaries</w:t>
      </w:r>
      <w:r w:rsidRPr="00657137">
        <w:rPr>
          <w:rFonts w:ascii="Calibri" w:hAnsi="Calibri" w:cs="Calibri"/>
          <w:noProof/>
          <w:szCs w:val="24"/>
        </w:rPr>
        <w:t xml:space="preserve"> [Internet]. 2016. Available from: http://www.health.govt.nz/our-work/populations/maori-health/dhb-maori-health-plans-profiles-and-summaries</w:t>
      </w:r>
    </w:p>
    <w:p w14:paraId="6DF5890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189. </w:t>
      </w:r>
      <w:r w:rsidRPr="00657137">
        <w:rPr>
          <w:rFonts w:ascii="Calibri" w:hAnsi="Calibri" w:cs="Calibri"/>
          <w:noProof/>
          <w:szCs w:val="24"/>
        </w:rPr>
        <w:tab/>
        <w:t xml:space="preserve">Ministry of Health. </w:t>
      </w:r>
      <w:r w:rsidRPr="00657137">
        <w:rPr>
          <w:rFonts w:ascii="Calibri" w:hAnsi="Calibri" w:cs="Calibri"/>
          <w:i/>
          <w:iCs/>
          <w:noProof/>
          <w:szCs w:val="24"/>
        </w:rPr>
        <w:t>Tatau Kahukura: Māori health statistics</w:t>
      </w:r>
      <w:r w:rsidRPr="00657137">
        <w:rPr>
          <w:rFonts w:ascii="Calibri" w:hAnsi="Calibri" w:cs="Calibri"/>
          <w:noProof/>
          <w:szCs w:val="24"/>
        </w:rPr>
        <w:t xml:space="preserve"> [Internet]. 2016. Available from: http://www.health.govt.nz/our-work/populations/maori-health/tatau-kahukura-maori-health-statistics</w:t>
      </w:r>
    </w:p>
    <w:p w14:paraId="7F96540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190. </w:t>
      </w:r>
      <w:r w:rsidRPr="00657137">
        <w:rPr>
          <w:rFonts w:ascii="Calibri" w:hAnsi="Calibri" w:cs="Calibri"/>
          <w:noProof/>
          <w:szCs w:val="24"/>
        </w:rPr>
        <w:tab/>
        <w:t xml:space="preserve">Ministry of Health. </w:t>
      </w:r>
      <w:r w:rsidRPr="00657137">
        <w:rPr>
          <w:rFonts w:ascii="Calibri" w:hAnsi="Calibri" w:cs="Calibri"/>
          <w:i/>
          <w:iCs/>
          <w:noProof/>
          <w:szCs w:val="24"/>
        </w:rPr>
        <w:t>A Focus on Māori Nutrition: Findings from the 2008/09 New Zealand Adult Nutrition Survey</w:t>
      </w:r>
      <w:r w:rsidRPr="00657137">
        <w:rPr>
          <w:rFonts w:ascii="Calibri" w:hAnsi="Calibri" w:cs="Calibri"/>
          <w:noProof/>
          <w:szCs w:val="24"/>
        </w:rPr>
        <w:t xml:space="preserve"> [Internet]. Wellington: Ministry of Health; 2012. Available from: http://www.health.govt.nz/publication/focus-maori-nutrition</w:t>
      </w:r>
    </w:p>
    <w:p w14:paraId="4521F72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191. </w:t>
      </w:r>
      <w:r w:rsidRPr="00657137">
        <w:rPr>
          <w:rFonts w:ascii="Calibri" w:hAnsi="Calibri" w:cs="Calibri"/>
          <w:noProof/>
          <w:szCs w:val="24"/>
        </w:rPr>
        <w:tab/>
        <w:t xml:space="preserve">Ministry of Health. </w:t>
      </w:r>
      <w:r w:rsidRPr="00657137">
        <w:rPr>
          <w:rFonts w:ascii="Calibri" w:hAnsi="Calibri" w:cs="Calibri"/>
          <w:i/>
          <w:iCs/>
          <w:noProof/>
          <w:szCs w:val="24"/>
        </w:rPr>
        <w:t>A Focus on Pacific Nutrition. Findings from the 2008/09 New Zealand Adult Nutrition Survey.</w:t>
      </w:r>
      <w:r w:rsidRPr="00657137">
        <w:rPr>
          <w:rFonts w:ascii="Calibri" w:hAnsi="Calibri" w:cs="Calibri"/>
          <w:noProof/>
          <w:szCs w:val="24"/>
        </w:rPr>
        <w:t xml:space="preserve"> [Internet]. Wellington: Ministry of Health; 2012. Available from: http://www.health.govt.nz/publication/focus-pacific-nutrition</w:t>
      </w:r>
    </w:p>
    <w:p w14:paraId="43130A4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192. </w:t>
      </w:r>
      <w:r w:rsidRPr="00657137">
        <w:rPr>
          <w:rFonts w:ascii="Calibri" w:hAnsi="Calibri" w:cs="Calibri"/>
          <w:noProof/>
          <w:szCs w:val="24"/>
        </w:rPr>
        <w:tab/>
        <w:t xml:space="preserve">Ministry of Health. </w:t>
      </w:r>
      <w:r w:rsidRPr="00657137">
        <w:rPr>
          <w:rFonts w:ascii="Calibri" w:hAnsi="Calibri" w:cs="Calibri"/>
          <w:i/>
          <w:iCs/>
          <w:noProof/>
          <w:szCs w:val="24"/>
        </w:rPr>
        <w:t>Who is involved? | Healthy Families</w:t>
      </w:r>
      <w:r w:rsidRPr="00657137">
        <w:rPr>
          <w:rFonts w:ascii="Calibri" w:hAnsi="Calibri" w:cs="Calibri"/>
          <w:noProof/>
          <w:szCs w:val="24"/>
        </w:rPr>
        <w:t xml:space="preserve"> [Internet]. 2019 [cited 2020 Jan 31]. Available from: https://www.healthyfamilies.govt.nz/who-is-involved</w:t>
      </w:r>
    </w:p>
    <w:p w14:paraId="4C7D21D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193. </w:t>
      </w:r>
      <w:r w:rsidRPr="00657137">
        <w:rPr>
          <w:rFonts w:ascii="Calibri" w:hAnsi="Calibri" w:cs="Calibri"/>
          <w:noProof/>
          <w:szCs w:val="24"/>
        </w:rPr>
        <w:tab/>
        <w:t xml:space="preserve">Ministry of Health. </w:t>
      </w:r>
      <w:r w:rsidRPr="00657137">
        <w:rPr>
          <w:rFonts w:ascii="Calibri" w:hAnsi="Calibri" w:cs="Calibri"/>
          <w:i/>
          <w:iCs/>
          <w:noProof/>
          <w:szCs w:val="24"/>
        </w:rPr>
        <w:t>Healthy Families NZ</w:t>
      </w:r>
      <w:r w:rsidRPr="00657137">
        <w:rPr>
          <w:rFonts w:ascii="Calibri" w:hAnsi="Calibri" w:cs="Calibri"/>
          <w:noProof/>
          <w:szCs w:val="24"/>
        </w:rPr>
        <w:t xml:space="preserve"> [Internet]. 2014 [cited 2014 Apr 2]. Available from: http://www.health.govt.nz/our-work/preventative-health-wellness/healthy-families-nz</w:t>
      </w:r>
    </w:p>
    <w:p w14:paraId="7788718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194. </w:t>
      </w:r>
      <w:r w:rsidRPr="00657137">
        <w:rPr>
          <w:rFonts w:ascii="Calibri" w:hAnsi="Calibri" w:cs="Calibri"/>
          <w:noProof/>
          <w:szCs w:val="24"/>
        </w:rPr>
        <w:tab/>
        <w:t xml:space="preserve">New Zealand Government. </w:t>
      </w:r>
      <w:r w:rsidRPr="00657137">
        <w:rPr>
          <w:rFonts w:ascii="Calibri" w:hAnsi="Calibri" w:cs="Calibri"/>
          <w:i/>
          <w:iCs/>
          <w:noProof/>
          <w:szCs w:val="24"/>
        </w:rPr>
        <w:t>Crimes Act 1961</w:t>
      </w:r>
      <w:r w:rsidRPr="00657137">
        <w:rPr>
          <w:rFonts w:ascii="Calibri" w:hAnsi="Calibri" w:cs="Calibri"/>
          <w:noProof/>
          <w:szCs w:val="24"/>
        </w:rPr>
        <w:t xml:space="preserve"> [Internet]. 2013. Available from: </w:t>
      </w:r>
      <w:r w:rsidRPr="00657137">
        <w:rPr>
          <w:rFonts w:ascii="Calibri" w:hAnsi="Calibri" w:cs="Calibri"/>
          <w:noProof/>
          <w:szCs w:val="24"/>
        </w:rPr>
        <w:lastRenderedPageBreak/>
        <w:t>http://www.legislation.govt.nz/act/public/1961/0043/latest/DLM327382.html</w:t>
      </w:r>
    </w:p>
    <w:p w14:paraId="4879016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195. </w:t>
      </w:r>
      <w:r w:rsidRPr="00657137">
        <w:rPr>
          <w:rFonts w:ascii="Calibri" w:hAnsi="Calibri" w:cs="Calibri"/>
          <w:noProof/>
          <w:szCs w:val="24"/>
        </w:rPr>
        <w:tab/>
        <w:t xml:space="preserve">New Zealand Government. </w:t>
      </w:r>
      <w:r w:rsidRPr="00657137">
        <w:rPr>
          <w:rFonts w:ascii="Calibri" w:hAnsi="Calibri" w:cs="Calibri"/>
          <w:i/>
          <w:iCs/>
          <w:noProof/>
          <w:szCs w:val="24"/>
        </w:rPr>
        <w:t>Electoral Act 1993</w:t>
      </w:r>
      <w:r w:rsidRPr="00657137">
        <w:rPr>
          <w:rFonts w:ascii="Calibri" w:hAnsi="Calibri" w:cs="Calibri"/>
          <w:noProof/>
          <w:szCs w:val="24"/>
        </w:rPr>
        <w:t xml:space="preserve"> [Internet]. 2013. Available from: http://www.legislation.govt.nz/act/public/1993/0087/latest/DLM307519.html</w:t>
      </w:r>
    </w:p>
    <w:p w14:paraId="65374B2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196. </w:t>
      </w:r>
      <w:r w:rsidRPr="00657137">
        <w:rPr>
          <w:rFonts w:ascii="Calibri" w:hAnsi="Calibri" w:cs="Calibri"/>
          <w:noProof/>
          <w:szCs w:val="24"/>
        </w:rPr>
        <w:tab/>
        <w:t xml:space="preserve">New Zealand Government. </w:t>
      </w:r>
      <w:r w:rsidRPr="00657137">
        <w:rPr>
          <w:rFonts w:ascii="Calibri" w:hAnsi="Calibri" w:cs="Calibri"/>
          <w:i/>
          <w:iCs/>
          <w:noProof/>
          <w:szCs w:val="24"/>
        </w:rPr>
        <w:t>Secret Commissions Act 1910</w:t>
      </w:r>
      <w:r w:rsidRPr="00657137">
        <w:rPr>
          <w:rFonts w:ascii="Calibri" w:hAnsi="Calibri" w:cs="Calibri"/>
          <w:noProof/>
          <w:szCs w:val="24"/>
        </w:rPr>
        <w:t xml:space="preserve"> [Internet]. 2013. Available from: http://www.legislation.govt.nz/act/public/1910/0040/latest/DLM177643.html</w:t>
      </w:r>
    </w:p>
    <w:p w14:paraId="154AA0E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197. </w:t>
      </w:r>
      <w:r w:rsidRPr="00657137">
        <w:rPr>
          <w:rFonts w:ascii="Calibri" w:hAnsi="Calibri" w:cs="Calibri"/>
          <w:noProof/>
          <w:szCs w:val="24"/>
        </w:rPr>
        <w:tab/>
        <w:t xml:space="preserve">New Zealand Parliament. </w:t>
      </w:r>
      <w:r w:rsidRPr="00657137">
        <w:rPr>
          <w:rFonts w:ascii="Calibri" w:hAnsi="Calibri" w:cs="Calibri"/>
          <w:i/>
          <w:iCs/>
          <w:noProof/>
          <w:szCs w:val="24"/>
        </w:rPr>
        <w:t>Lobbying Disclosure Bill</w:t>
      </w:r>
      <w:r w:rsidRPr="00657137">
        <w:rPr>
          <w:rFonts w:ascii="Calibri" w:hAnsi="Calibri" w:cs="Calibri"/>
          <w:noProof/>
          <w:szCs w:val="24"/>
        </w:rPr>
        <w:t xml:space="preserve"> [Internet]. 2013. Available from: http://www.parliament.nz/en-nz/pb/legislation/bills/00DBHOH_BILL11278_1/lobbying-disclosure-bill</w:t>
      </w:r>
    </w:p>
    <w:p w14:paraId="6B0BD5A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198. </w:t>
      </w:r>
      <w:r w:rsidRPr="00657137">
        <w:rPr>
          <w:rFonts w:ascii="Calibri" w:hAnsi="Calibri" w:cs="Calibri"/>
          <w:noProof/>
          <w:szCs w:val="24"/>
        </w:rPr>
        <w:tab/>
        <w:t xml:space="preserve">State Services Commission. </w:t>
      </w:r>
      <w:r w:rsidRPr="00657137">
        <w:rPr>
          <w:rFonts w:ascii="Calibri" w:hAnsi="Calibri" w:cs="Calibri"/>
          <w:i/>
          <w:iCs/>
          <w:noProof/>
          <w:szCs w:val="24"/>
        </w:rPr>
        <w:t>Best Practice Guidelines for Departments Responsible for Regulatory Processes with Significant Commercial Implications</w:t>
      </w:r>
      <w:r w:rsidRPr="00657137">
        <w:rPr>
          <w:rFonts w:ascii="Calibri" w:hAnsi="Calibri" w:cs="Calibri"/>
          <w:noProof/>
          <w:szCs w:val="24"/>
        </w:rPr>
        <w:t xml:space="preserve"> [Internet]. Available from: http://www.ssc.govt.nz/resources/2814/all-pages</w:t>
      </w:r>
    </w:p>
    <w:p w14:paraId="4010145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199. </w:t>
      </w:r>
      <w:r w:rsidRPr="00657137">
        <w:rPr>
          <w:rFonts w:ascii="Calibri" w:hAnsi="Calibri" w:cs="Calibri"/>
          <w:noProof/>
          <w:szCs w:val="24"/>
        </w:rPr>
        <w:tab/>
        <w:t xml:space="preserve">State Services Commission. </w:t>
      </w:r>
      <w:r w:rsidRPr="00657137">
        <w:rPr>
          <w:rFonts w:ascii="Calibri" w:hAnsi="Calibri" w:cs="Calibri"/>
          <w:i/>
          <w:iCs/>
          <w:noProof/>
          <w:szCs w:val="24"/>
        </w:rPr>
        <w:t>Integrity and conduct</w:t>
      </w:r>
      <w:r w:rsidRPr="00657137">
        <w:rPr>
          <w:rFonts w:ascii="Calibri" w:hAnsi="Calibri" w:cs="Calibri"/>
          <w:noProof/>
          <w:szCs w:val="24"/>
        </w:rPr>
        <w:t xml:space="preserve"> [Internet]. State Services Commission; 2017. Available from: http://www.ssc.govt.nz/integrityandconduct</w:t>
      </w:r>
    </w:p>
    <w:p w14:paraId="43E897E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200. </w:t>
      </w:r>
      <w:r w:rsidRPr="00657137">
        <w:rPr>
          <w:rFonts w:ascii="Calibri" w:hAnsi="Calibri" w:cs="Calibri"/>
          <w:noProof/>
          <w:szCs w:val="24"/>
        </w:rPr>
        <w:tab/>
        <w:t xml:space="preserve">State Services Commission. </w:t>
      </w:r>
      <w:r w:rsidRPr="00657137">
        <w:rPr>
          <w:rFonts w:ascii="Calibri" w:hAnsi="Calibri" w:cs="Calibri"/>
          <w:i/>
          <w:iCs/>
          <w:noProof/>
          <w:szCs w:val="24"/>
        </w:rPr>
        <w:t>Board appointment and induction guidelines</w:t>
      </w:r>
      <w:r w:rsidRPr="00657137">
        <w:rPr>
          <w:rFonts w:ascii="Calibri" w:hAnsi="Calibri" w:cs="Calibri"/>
          <w:noProof/>
          <w:szCs w:val="24"/>
        </w:rPr>
        <w:t xml:space="preserve"> [Internet]. 2015. Available from: http://www.ssc.govt.nz/board-appointment-guidelines</w:t>
      </w:r>
    </w:p>
    <w:p w14:paraId="4D1789E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201. </w:t>
      </w:r>
      <w:r w:rsidRPr="00657137">
        <w:rPr>
          <w:rFonts w:ascii="Calibri" w:hAnsi="Calibri" w:cs="Calibri"/>
          <w:noProof/>
          <w:szCs w:val="24"/>
        </w:rPr>
        <w:tab/>
        <w:t xml:space="preserve">State Services Commission. </w:t>
      </w:r>
      <w:r w:rsidRPr="00657137">
        <w:rPr>
          <w:rFonts w:ascii="Calibri" w:hAnsi="Calibri" w:cs="Calibri"/>
          <w:i/>
          <w:iCs/>
          <w:noProof/>
          <w:szCs w:val="24"/>
        </w:rPr>
        <w:t>Managing conflicts of interest: Guidance for public entities</w:t>
      </w:r>
      <w:r w:rsidRPr="00657137">
        <w:rPr>
          <w:rFonts w:ascii="Calibri" w:hAnsi="Calibri" w:cs="Calibri"/>
          <w:noProof/>
          <w:szCs w:val="24"/>
        </w:rPr>
        <w:t xml:space="preserve"> [Internet]. 2007. Available from: http://www.oag.govt.nz/2007/conflicts-public-entities</w:t>
      </w:r>
    </w:p>
    <w:p w14:paraId="1B1128E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202. </w:t>
      </w:r>
      <w:r w:rsidRPr="00657137">
        <w:rPr>
          <w:rFonts w:ascii="Calibri" w:hAnsi="Calibri" w:cs="Calibri"/>
          <w:noProof/>
          <w:szCs w:val="24"/>
        </w:rPr>
        <w:tab/>
        <w:t xml:space="preserve">Gluckman P. </w:t>
      </w:r>
      <w:r w:rsidRPr="00657137">
        <w:rPr>
          <w:rFonts w:ascii="Calibri" w:hAnsi="Calibri" w:cs="Calibri"/>
          <w:i/>
          <w:iCs/>
          <w:noProof/>
          <w:szCs w:val="24"/>
        </w:rPr>
        <w:t>The role of evidence in policy formation and implementation. A report from the Prime Minister’s Chief Science Advisor</w:t>
      </w:r>
      <w:r w:rsidRPr="00657137">
        <w:rPr>
          <w:rFonts w:ascii="Calibri" w:hAnsi="Calibri" w:cs="Calibri"/>
          <w:noProof/>
          <w:szCs w:val="24"/>
        </w:rPr>
        <w:t xml:space="preserve">. Wellington: Office of the Prime Minister’s Science Advisory Committee; 2013. </w:t>
      </w:r>
    </w:p>
    <w:p w14:paraId="7C59CC5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203. </w:t>
      </w:r>
      <w:r w:rsidRPr="00657137">
        <w:rPr>
          <w:rFonts w:ascii="Calibri" w:hAnsi="Calibri" w:cs="Calibri"/>
          <w:noProof/>
          <w:szCs w:val="24"/>
        </w:rPr>
        <w:tab/>
        <w:t xml:space="preserve">Professor Sir Peter Gluckman. </w:t>
      </w:r>
      <w:r w:rsidRPr="00657137">
        <w:rPr>
          <w:rFonts w:ascii="Calibri" w:hAnsi="Calibri" w:cs="Calibri"/>
          <w:i/>
          <w:iCs/>
          <w:noProof/>
          <w:szCs w:val="24"/>
        </w:rPr>
        <w:t>Enhancing evidence-informed policy making: A report by the Prime Minister’s Chief Science Advisor</w:t>
      </w:r>
      <w:r w:rsidRPr="00657137">
        <w:rPr>
          <w:rFonts w:ascii="Calibri" w:hAnsi="Calibri" w:cs="Calibri"/>
          <w:noProof/>
          <w:szCs w:val="24"/>
        </w:rPr>
        <w:t xml:space="preserve"> [Internet]. 2017 [cited 2020 Jan 17]. Available from: www.pmcsa.org.nz</w:t>
      </w:r>
    </w:p>
    <w:p w14:paraId="1C0079C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204. </w:t>
      </w:r>
      <w:r w:rsidRPr="00657137">
        <w:rPr>
          <w:rFonts w:ascii="Calibri" w:hAnsi="Calibri" w:cs="Calibri"/>
          <w:noProof/>
          <w:szCs w:val="24"/>
        </w:rPr>
        <w:tab/>
        <w:t xml:space="preserve">Prime Minister’s Chief Science Advisor. </w:t>
      </w:r>
      <w:r w:rsidRPr="00657137">
        <w:rPr>
          <w:rFonts w:ascii="Calibri" w:hAnsi="Calibri" w:cs="Calibri"/>
          <w:i/>
          <w:iCs/>
          <w:noProof/>
          <w:szCs w:val="24"/>
        </w:rPr>
        <w:t>Departmental Science Advisors - He Rauhinga Tohu Putaiao</w:t>
      </w:r>
      <w:r w:rsidRPr="00657137">
        <w:rPr>
          <w:rFonts w:ascii="Calibri" w:hAnsi="Calibri" w:cs="Calibri"/>
          <w:noProof/>
          <w:szCs w:val="24"/>
        </w:rPr>
        <w:t xml:space="preserve"> [Internet]. 2019 [cited 2020 Feb 5]. Available from: https://www.pmcsa.ac.nz/our-community/departmental-science-advisors/</w:t>
      </w:r>
    </w:p>
    <w:p w14:paraId="594C70E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205. </w:t>
      </w:r>
      <w:r w:rsidRPr="00657137">
        <w:rPr>
          <w:rFonts w:ascii="Calibri" w:hAnsi="Calibri" w:cs="Calibri"/>
          <w:noProof/>
          <w:szCs w:val="24"/>
        </w:rPr>
        <w:tab/>
        <w:t xml:space="preserve">MSD. </w:t>
      </w:r>
      <w:r w:rsidRPr="00657137">
        <w:rPr>
          <w:rFonts w:ascii="Calibri" w:hAnsi="Calibri" w:cs="Calibri"/>
          <w:i/>
          <w:iCs/>
          <w:noProof/>
          <w:szCs w:val="24"/>
        </w:rPr>
        <w:t>Families Commission / Superu Annual Report 2017-2018 - Ministry of Social Development</w:t>
      </w:r>
      <w:r w:rsidRPr="00657137">
        <w:rPr>
          <w:rFonts w:ascii="Calibri" w:hAnsi="Calibri" w:cs="Calibri"/>
          <w:noProof/>
          <w:szCs w:val="24"/>
        </w:rPr>
        <w:t>. 2018 [cited 2020 Feb 5]; Available from: https://www.msd.govt.nz/about-msd-and-our-work/publications-resources/corporate/families-commission-superu-annual-report/families-commission-superu-annual-report-2017-2018.html</w:t>
      </w:r>
    </w:p>
    <w:p w14:paraId="64933A4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206. </w:t>
      </w:r>
      <w:r w:rsidRPr="00657137">
        <w:rPr>
          <w:rFonts w:ascii="Calibri" w:hAnsi="Calibri" w:cs="Calibri"/>
          <w:noProof/>
          <w:szCs w:val="24"/>
        </w:rPr>
        <w:tab/>
        <w:t xml:space="preserve">Ministry of Education. </w:t>
      </w:r>
      <w:r w:rsidRPr="00657137">
        <w:rPr>
          <w:rFonts w:ascii="Calibri" w:hAnsi="Calibri" w:cs="Calibri"/>
          <w:i/>
          <w:iCs/>
          <w:noProof/>
          <w:szCs w:val="24"/>
        </w:rPr>
        <w:t xml:space="preserve">Anti-obesity and wellbeing expert takes up new role with the Ministry of Education </w:t>
      </w:r>
      <w:r w:rsidRPr="00657137">
        <w:rPr>
          <w:rFonts w:ascii="Calibri" w:hAnsi="Calibri" w:cs="Calibri"/>
          <w:noProof/>
          <w:szCs w:val="24"/>
        </w:rPr>
        <w:t xml:space="preserve"> [Internet]. 2017. Available from: http://www.education.govt.nz/news/anti-obesity-and-wellbeing-expert-takes-up-new-role-with-the-ministry-of-education/</w:t>
      </w:r>
    </w:p>
    <w:p w14:paraId="7F30C8F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207. </w:t>
      </w:r>
      <w:r w:rsidRPr="00657137">
        <w:rPr>
          <w:rFonts w:ascii="Calibri" w:hAnsi="Calibri" w:cs="Calibri"/>
          <w:noProof/>
          <w:szCs w:val="24"/>
        </w:rPr>
        <w:tab/>
        <w:t xml:space="preserve">Coleman  H. JP. </w:t>
      </w:r>
      <w:r w:rsidRPr="00657137">
        <w:rPr>
          <w:rFonts w:ascii="Calibri" w:hAnsi="Calibri" w:cs="Calibri"/>
          <w:i/>
          <w:iCs/>
          <w:noProof/>
          <w:szCs w:val="24"/>
        </w:rPr>
        <w:t>New appointment to support physical activity and nutrition in schools</w:t>
      </w:r>
      <w:r w:rsidRPr="00657137">
        <w:rPr>
          <w:rFonts w:ascii="Calibri" w:hAnsi="Calibri" w:cs="Calibri"/>
          <w:noProof/>
          <w:szCs w:val="24"/>
        </w:rPr>
        <w:t xml:space="preserve"> [Internet]. 2017. Available from: https://www.beehive.govt.nz/release/new-appointment-support-physical-activity-and-nutrition-schools</w:t>
      </w:r>
    </w:p>
    <w:p w14:paraId="0D9B2EB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208. </w:t>
      </w:r>
      <w:r w:rsidRPr="00657137">
        <w:rPr>
          <w:rFonts w:ascii="Calibri" w:hAnsi="Calibri" w:cs="Calibri"/>
          <w:noProof/>
          <w:szCs w:val="24"/>
        </w:rPr>
        <w:tab/>
        <w:t xml:space="preserve">Ministry of Health. </w:t>
      </w:r>
      <w:r w:rsidRPr="00657137">
        <w:rPr>
          <w:rFonts w:ascii="Calibri" w:hAnsi="Calibri" w:cs="Calibri"/>
          <w:i/>
          <w:iCs/>
          <w:noProof/>
          <w:szCs w:val="24"/>
        </w:rPr>
        <w:t>Chief Science Advisor | Ministry of Health NZ</w:t>
      </w:r>
      <w:r w:rsidRPr="00657137">
        <w:rPr>
          <w:rFonts w:ascii="Calibri" w:hAnsi="Calibri" w:cs="Calibri"/>
          <w:noProof/>
          <w:szCs w:val="24"/>
        </w:rPr>
        <w:t xml:space="preserve"> [Internet]. 2019 [cited 2020 Jan 17]. Available from: https://www.health.govt.nz/about-ministry/leadership-ministry/chief-science-advisor</w:t>
      </w:r>
    </w:p>
    <w:p w14:paraId="155ABFD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209. </w:t>
      </w:r>
      <w:r w:rsidRPr="00657137">
        <w:rPr>
          <w:rFonts w:ascii="Calibri" w:hAnsi="Calibri" w:cs="Calibri"/>
          <w:noProof/>
          <w:szCs w:val="24"/>
        </w:rPr>
        <w:tab/>
        <w:t xml:space="preserve">State Services Commission. </w:t>
      </w:r>
      <w:r w:rsidRPr="00657137">
        <w:rPr>
          <w:rFonts w:ascii="Calibri" w:hAnsi="Calibri" w:cs="Calibri"/>
          <w:i/>
          <w:iCs/>
          <w:noProof/>
          <w:szCs w:val="24"/>
        </w:rPr>
        <w:t>The Policy Advice Initiative: Opportunities for Management</w:t>
      </w:r>
      <w:r w:rsidRPr="00657137">
        <w:rPr>
          <w:rFonts w:ascii="Calibri" w:hAnsi="Calibri" w:cs="Calibri"/>
          <w:noProof/>
          <w:szCs w:val="24"/>
        </w:rPr>
        <w:t xml:space="preserve"> [Internet]. 1995. Available from: https://www.ssc.govt.nz/resources/2698/all-pages</w:t>
      </w:r>
    </w:p>
    <w:p w14:paraId="557DC9B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210. </w:t>
      </w:r>
      <w:r w:rsidRPr="00657137">
        <w:rPr>
          <w:rFonts w:ascii="Calibri" w:hAnsi="Calibri" w:cs="Calibri"/>
          <w:noProof/>
          <w:szCs w:val="24"/>
        </w:rPr>
        <w:tab/>
        <w:t xml:space="preserve">State Services Commission. </w:t>
      </w:r>
      <w:r w:rsidRPr="00657137">
        <w:rPr>
          <w:rFonts w:ascii="Calibri" w:hAnsi="Calibri" w:cs="Calibri"/>
          <w:i/>
          <w:iCs/>
          <w:noProof/>
          <w:szCs w:val="24"/>
        </w:rPr>
        <w:t xml:space="preserve">Performance Improvement Framework </w:t>
      </w:r>
      <w:r w:rsidRPr="00657137">
        <w:rPr>
          <w:rFonts w:ascii="Calibri" w:hAnsi="Calibri" w:cs="Calibri"/>
          <w:noProof/>
          <w:szCs w:val="24"/>
        </w:rPr>
        <w:t xml:space="preserve"> [Internet]. 2018 [cited 2020 Feb 2]. Available from: https://ssc.govt.nz/our-work/performance-improvement-framework/</w:t>
      </w:r>
    </w:p>
    <w:p w14:paraId="55B1011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211. </w:t>
      </w:r>
      <w:r w:rsidRPr="00657137">
        <w:rPr>
          <w:rFonts w:ascii="Calibri" w:hAnsi="Calibri" w:cs="Calibri"/>
          <w:noProof/>
          <w:szCs w:val="24"/>
        </w:rPr>
        <w:tab/>
        <w:t xml:space="preserve">Treasury NZ. </w:t>
      </w:r>
      <w:r w:rsidRPr="00657137">
        <w:rPr>
          <w:rFonts w:ascii="Calibri" w:hAnsi="Calibri" w:cs="Calibri"/>
          <w:i/>
          <w:iCs/>
          <w:noProof/>
          <w:szCs w:val="24"/>
        </w:rPr>
        <w:t>Review of expenditure on policy advice. Improving the quality and value of policy advice</w:t>
      </w:r>
      <w:r w:rsidRPr="00657137">
        <w:rPr>
          <w:rFonts w:ascii="Calibri" w:hAnsi="Calibri" w:cs="Calibri"/>
          <w:noProof/>
          <w:szCs w:val="24"/>
        </w:rPr>
        <w:t xml:space="preserve"> [Internet]. 2010. Available from: http://www.treasury.govt.nz/statesector/policyexpenditurereview/report-repa-dec10.pdf</w:t>
      </w:r>
    </w:p>
    <w:p w14:paraId="0283E0B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212. </w:t>
      </w:r>
      <w:r w:rsidRPr="00657137">
        <w:rPr>
          <w:rFonts w:ascii="Calibri" w:hAnsi="Calibri" w:cs="Calibri"/>
          <w:noProof/>
          <w:szCs w:val="24"/>
        </w:rPr>
        <w:tab/>
        <w:t xml:space="preserve">Services Commission S. </w:t>
      </w:r>
      <w:r w:rsidRPr="00657137">
        <w:rPr>
          <w:rFonts w:ascii="Calibri" w:hAnsi="Calibri" w:cs="Calibri"/>
          <w:i/>
          <w:iCs/>
          <w:noProof/>
          <w:szCs w:val="24"/>
        </w:rPr>
        <w:t>PERFORMANCE IMPROVEMENT FRAMEWORK Review for Manatū Hauora, the Ministry of Health Lead Reviewers’ Acknowledgement</w:t>
      </w:r>
      <w:r w:rsidRPr="00657137">
        <w:rPr>
          <w:rFonts w:ascii="Calibri" w:hAnsi="Calibri" w:cs="Calibri"/>
          <w:noProof/>
          <w:szCs w:val="24"/>
        </w:rPr>
        <w:t xml:space="preserve"> [Internet]. 2017 [cited 2020 Jan 17]. Available from: www.ssc.govt.nz/pif</w:t>
      </w:r>
    </w:p>
    <w:p w14:paraId="1850B50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213. </w:t>
      </w:r>
      <w:r w:rsidRPr="00657137">
        <w:rPr>
          <w:rFonts w:ascii="Calibri" w:hAnsi="Calibri" w:cs="Calibri"/>
          <w:noProof/>
          <w:szCs w:val="24"/>
        </w:rPr>
        <w:tab/>
        <w:t xml:space="preserve">Australian Government Federal Register of Legislation. </w:t>
      </w:r>
      <w:r w:rsidRPr="00657137">
        <w:rPr>
          <w:rFonts w:ascii="Calibri" w:hAnsi="Calibri" w:cs="Calibri"/>
          <w:i/>
          <w:iCs/>
          <w:noProof/>
          <w:szCs w:val="24"/>
        </w:rPr>
        <w:t>National Health and Medical Research Council Act 1992</w:t>
      </w:r>
      <w:r w:rsidRPr="00657137">
        <w:rPr>
          <w:rFonts w:ascii="Calibri" w:hAnsi="Calibri" w:cs="Calibri"/>
          <w:noProof/>
          <w:szCs w:val="24"/>
        </w:rPr>
        <w:t xml:space="preserve"> [Internet]. Vol. 16/06/2016. Available from: </w:t>
      </w:r>
      <w:r w:rsidRPr="00657137">
        <w:rPr>
          <w:rFonts w:ascii="Calibri" w:hAnsi="Calibri" w:cs="Calibri"/>
          <w:noProof/>
          <w:szCs w:val="24"/>
        </w:rPr>
        <w:lastRenderedPageBreak/>
        <w:t>https://www.legislation.gov.au/Details/C2006C00354</w:t>
      </w:r>
    </w:p>
    <w:p w14:paraId="6B3CD01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214. </w:t>
      </w:r>
      <w:r w:rsidRPr="00657137">
        <w:rPr>
          <w:rFonts w:ascii="Calibri" w:hAnsi="Calibri" w:cs="Calibri"/>
          <w:noProof/>
          <w:szCs w:val="24"/>
        </w:rPr>
        <w:tab/>
        <w:t xml:space="preserve">State Services Commission. </w:t>
      </w:r>
      <w:r w:rsidRPr="00657137">
        <w:rPr>
          <w:rFonts w:ascii="Calibri" w:hAnsi="Calibri" w:cs="Calibri"/>
          <w:i/>
          <w:iCs/>
          <w:noProof/>
          <w:szCs w:val="24"/>
        </w:rPr>
        <w:t>Performance Improvement Framework Reports and Related Announcements</w:t>
      </w:r>
      <w:r w:rsidRPr="00657137">
        <w:rPr>
          <w:rFonts w:ascii="Calibri" w:hAnsi="Calibri" w:cs="Calibri"/>
          <w:noProof/>
          <w:szCs w:val="24"/>
        </w:rPr>
        <w:t xml:space="preserve"> [Internet]. 2016. Available from: http://www.ssc.govt.nz/pif-reports-announcements</w:t>
      </w:r>
    </w:p>
    <w:p w14:paraId="1708D6D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215. </w:t>
      </w:r>
      <w:r w:rsidRPr="00657137">
        <w:rPr>
          <w:rFonts w:ascii="Calibri" w:hAnsi="Calibri" w:cs="Calibri"/>
          <w:noProof/>
          <w:szCs w:val="24"/>
        </w:rPr>
        <w:tab/>
        <w:t xml:space="preserve">International Budget Partnership. </w:t>
      </w:r>
      <w:r w:rsidRPr="00657137">
        <w:rPr>
          <w:rFonts w:ascii="Calibri" w:hAnsi="Calibri" w:cs="Calibri"/>
          <w:i/>
          <w:iCs/>
          <w:noProof/>
          <w:szCs w:val="24"/>
        </w:rPr>
        <w:t>Open Budget Index Rankings</w:t>
      </w:r>
      <w:r w:rsidRPr="00657137">
        <w:rPr>
          <w:rFonts w:ascii="Calibri" w:hAnsi="Calibri" w:cs="Calibri"/>
          <w:noProof/>
          <w:szCs w:val="24"/>
        </w:rPr>
        <w:t xml:space="preserve"> [Internet]. 2017. Available from: http://www.internationalbudget.org/opening-budgets/open-budget-initiative/open-budget-survey/publications-2/rankings-key-findings/rankings/</w:t>
      </w:r>
    </w:p>
    <w:p w14:paraId="49266B3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216. </w:t>
      </w:r>
      <w:r w:rsidRPr="00657137">
        <w:rPr>
          <w:rFonts w:ascii="Calibri" w:hAnsi="Calibri" w:cs="Calibri"/>
          <w:noProof/>
          <w:szCs w:val="24"/>
        </w:rPr>
        <w:tab/>
        <w:t xml:space="preserve">Transparency International. </w:t>
      </w:r>
      <w:r w:rsidRPr="00657137">
        <w:rPr>
          <w:rFonts w:ascii="Calibri" w:hAnsi="Calibri" w:cs="Calibri"/>
          <w:i/>
          <w:iCs/>
          <w:noProof/>
          <w:szCs w:val="24"/>
        </w:rPr>
        <w:t>New Zealand public sector ranked number one as the least corrupt on the planet</w:t>
      </w:r>
      <w:r w:rsidRPr="00657137">
        <w:rPr>
          <w:rFonts w:ascii="Calibri" w:hAnsi="Calibri" w:cs="Calibri"/>
          <w:noProof/>
          <w:szCs w:val="24"/>
        </w:rPr>
        <w:t xml:space="preserve"> [Internet]. Wellington: Transparency International; 2017. Available from: http://www.transparency.org.nz/docs/2017//Corruption-Perceptions-Index-2016-TINZ-Media-Release.pdf</w:t>
      </w:r>
    </w:p>
    <w:p w14:paraId="61ECF66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217.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 xml:space="preserve">Stakeholder Engagement Strategy 2013-2016. </w:t>
      </w:r>
      <w:r w:rsidRPr="00657137">
        <w:rPr>
          <w:rFonts w:ascii="Calibri" w:hAnsi="Calibri" w:cs="Calibri"/>
          <w:noProof/>
          <w:szCs w:val="24"/>
        </w:rPr>
        <w:t xml:space="preserve">. Wellington: FSANZ New Zealand.; 2013. </w:t>
      </w:r>
    </w:p>
    <w:p w14:paraId="5AB58ED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218. </w:t>
      </w:r>
      <w:r w:rsidRPr="00657137">
        <w:rPr>
          <w:rFonts w:ascii="Calibri" w:hAnsi="Calibri" w:cs="Calibri"/>
          <w:noProof/>
          <w:szCs w:val="24"/>
        </w:rPr>
        <w:tab/>
        <w:t xml:space="preserve">The World Wide Web Foundation. </w:t>
      </w:r>
      <w:r w:rsidRPr="00657137">
        <w:rPr>
          <w:rFonts w:ascii="Calibri" w:hAnsi="Calibri" w:cs="Calibri"/>
          <w:i/>
          <w:iCs/>
          <w:noProof/>
          <w:szCs w:val="24"/>
        </w:rPr>
        <w:t>Open Data Barometer Global Report - Fourth Edition</w:t>
      </w:r>
      <w:r w:rsidRPr="00657137">
        <w:rPr>
          <w:rFonts w:ascii="Calibri" w:hAnsi="Calibri" w:cs="Calibri"/>
          <w:noProof/>
          <w:szCs w:val="24"/>
        </w:rPr>
        <w:t xml:space="preserve"> [Internet]. 2017 [cited 2020 Jan 17]. Available from: https://www.pmcsa.org.nz/wp-content/uploads/17-07-07-Enhancing-evidence-informed-policy-making.pdf</w:t>
      </w:r>
    </w:p>
    <w:p w14:paraId="02354AD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219. </w:t>
      </w:r>
      <w:r w:rsidRPr="00657137">
        <w:rPr>
          <w:rFonts w:ascii="Calibri" w:hAnsi="Calibri" w:cs="Calibri"/>
          <w:noProof/>
          <w:szCs w:val="24"/>
        </w:rPr>
        <w:tab/>
        <w:t xml:space="preserve">New Zealand Food Safety. </w:t>
      </w:r>
      <w:r w:rsidRPr="00657137">
        <w:rPr>
          <w:rFonts w:ascii="Calibri" w:hAnsi="Calibri" w:cs="Calibri"/>
          <w:i/>
          <w:iCs/>
          <w:noProof/>
          <w:szCs w:val="24"/>
        </w:rPr>
        <w:t>New Zealand Total Diet Study | NZ Food Safety | NZ Government</w:t>
      </w:r>
      <w:r w:rsidRPr="00657137">
        <w:rPr>
          <w:rFonts w:ascii="Calibri" w:hAnsi="Calibri" w:cs="Calibri"/>
          <w:noProof/>
          <w:szCs w:val="24"/>
        </w:rPr>
        <w:t xml:space="preserve"> [Internet]. 2019 [cited 2020 Jan 17]. Available from: https://www.mpi.govt.nz/food-safety/food-monitoring-and-surveillance/new-zealand-total-diet-study/</w:t>
      </w:r>
    </w:p>
    <w:p w14:paraId="5183C15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220.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Monitoring of trans fatty acids</w:t>
      </w:r>
      <w:r w:rsidRPr="00657137">
        <w:rPr>
          <w:rFonts w:ascii="Calibri" w:hAnsi="Calibri" w:cs="Calibri"/>
          <w:noProof/>
          <w:szCs w:val="24"/>
        </w:rPr>
        <w:t xml:space="preserve"> [Internet]. 2017 [cited 2020 Feb 7]. Available from: https://www.foodstandards.gov.au/science/monitoringnutrients/Pages/Monitoring-of-trans-fatty-acids.aspx</w:t>
      </w:r>
    </w:p>
    <w:p w14:paraId="469CEDC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221.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Assessment of Trans Fatty Acids in Imported Oils</w:t>
      </w:r>
      <w:r w:rsidRPr="00657137">
        <w:rPr>
          <w:rFonts w:ascii="Calibri" w:hAnsi="Calibri" w:cs="Calibri"/>
          <w:noProof/>
          <w:szCs w:val="24"/>
        </w:rPr>
        <w:t xml:space="preserve">. 2017. </w:t>
      </w:r>
    </w:p>
    <w:p w14:paraId="0D5B3E4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222. </w:t>
      </w:r>
      <w:r w:rsidRPr="00657137">
        <w:rPr>
          <w:rFonts w:ascii="Calibri" w:hAnsi="Calibri" w:cs="Calibri"/>
          <w:noProof/>
          <w:szCs w:val="24"/>
        </w:rPr>
        <w:tab/>
        <w:t xml:space="preserve">New Zealand Food Composition Database. </w:t>
      </w:r>
      <w:r w:rsidRPr="00657137">
        <w:rPr>
          <w:rFonts w:ascii="Calibri" w:hAnsi="Calibri" w:cs="Calibri"/>
          <w:i/>
          <w:iCs/>
          <w:noProof/>
          <w:szCs w:val="24"/>
        </w:rPr>
        <w:t>FOODfiles</w:t>
      </w:r>
      <w:r w:rsidRPr="00657137">
        <w:rPr>
          <w:rFonts w:ascii="Calibri" w:hAnsi="Calibri" w:cs="Calibri"/>
          <w:i/>
          <w:iCs/>
          <w:noProof/>
          <w:szCs w:val="24"/>
          <w:vertAlign w:val="superscript"/>
        </w:rPr>
        <w:t>TM</w:t>
      </w:r>
      <w:r w:rsidRPr="00657137">
        <w:rPr>
          <w:rFonts w:ascii="Calibri" w:hAnsi="Calibri" w:cs="Calibri"/>
          <w:i/>
          <w:iCs/>
          <w:noProof/>
          <w:szCs w:val="24"/>
        </w:rPr>
        <w:t xml:space="preserve"> - New Zealand Food Composition Database</w:t>
      </w:r>
      <w:r w:rsidRPr="00657137">
        <w:rPr>
          <w:rFonts w:ascii="Calibri" w:hAnsi="Calibri" w:cs="Calibri"/>
          <w:noProof/>
          <w:szCs w:val="24"/>
        </w:rPr>
        <w:t xml:space="preserve"> [Internet]. 2019 [cited 2020 Jan 17]. Available from: https://www.foodcomposition.co.nz/foodfiles/</w:t>
      </w:r>
    </w:p>
    <w:p w14:paraId="007189E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223. </w:t>
      </w:r>
      <w:r w:rsidRPr="00657137">
        <w:rPr>
          <w:rFonts w:ascii="Calibri" w:hAnsi="Calibri" w:cs="Calibri"/>
          <w:noProof/>
          <w:szCs w:val="24"/>
        </w:rPr>
        <w:tab/>
        <w:t xml:space="preserve">GS1 New Zealand. </w:t>
      </w:r>
      <w:r w:rsidRPr="00657137">
        <w:rPr>
          <w:rFonts w:ascii="Calibri" w:hAnsi="Calibri" w:cs="Calibri"/>
          <w:i/>
          <w:iCs/>
          <w:noProof/>
          <w:szCs w:val="24"/>
        </w:rPr>
        <w:t>Standards » GS1 New Zealand</w:t>
      </w:r>
      <w:r w:rsidRPr="00657137">
        <w:rPr>
          <w:rFonts w:ascii="Calibri" w:hAnsi="Calibri" w:cs="Calibri"/>
          <w:noProof/>
          <w:szCs w:val="24"/>
        </w:rPr>
        <w:t xml:space="preserve"> [Internet]. 2019 [cited 2020 Jan 29]. Available from: https://www.gs1nz.org/standards/</w:t>
      </w:r>
    </w:p>
    <w:p w14:paraId="1EC447C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224. </w:t>
      </w:r>
      <w:r w:rsidRPr="00657137">
        <w:rPr>
          <w:rFonts w:ascii="Calibri" w:hAnsi="Calibri" w:cs="Calibri"/>
          <w:noProof/>
          <w:szCs w:val="24"/>
        </w:rPr>
        <w:tab/>
        <w:t xml:space="preserve">Education Review Office. </w:t>
      </w:r>
      <w:r w:rsidRPr="00657137">
        <w:rPr>
          <w:rFonts w:ascii="Calibri" w:hAnsi="Calibri" w:cs="Calibri"/>
          <w:i/>
          <w:iCs/>
          <w:noProof/>
          <w:szCs w:val="24"/>
        </w:rPr>
        <w:t xml:space="preserve">Food, Nutrition and Physical Activity in NZ Schools and Early Learning Services </w:t>
      </w:r>
      <w:r w:rsidRPr="00657137">
        <w:rPr>
          <w:rFonts w:ascii="Calibri" w:hAnsi="Calibri" w:cs="Calibri"/>
          <w:noProof/>
          <w:szCs w:val="24"/>
        </w:rPr>
        <w:t xml:space="preserve"> [Internet]. Wellington: Education Review Office; 2017. Available from: http://www.ero.govt.nz/publications/food-nutrition-and-physical-activity-in-nz-schools-and-early-learning-services/what-were-schools-and-services-that-were-very-good-at-promoting-positive-attitudes-to-food-nutrition-and-physical-activity-doing/</w:t>
      </w:r>
    </w:p>
    <w:p w14:paraId="6B023D2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225. </w:t>
      </w:r>
      <w:r w:rsidRPr="00657137">
        <w:rPr>
          <w:rFonts w:ascii="Calibri" w:hAnsi="Calibri" w:cs="Calibri"/>
          <w:noProof/>
          <w:szCs w:val="24"/>
        </w:rPr>
        <w:tab/>
        <w:t xml:space="preserve">Education Review Office. </w:t>
      </w:r>
      <w:r w:rsidRPr="00657137">
        <w:rPr>
          <w:rFonts w:ascii="Calibri" w:hAnsi="Calibri" w:cs="Calibri"/>
          <w:i/>
          <w:iCs/>
          <w:noProof/>
          <w:szCs w:val="24"/>
        </w:rPr>
        <w:t xml:space="preserve">Overview | Food, Nutrition and Physical Activity in NZ Schools and Early Learning Services </w:t>
      </w:r>
      <w:r w:rsidRPr="00657137">
        <w:rPr>
          <w:rFonts w:ascii="Calibri" w:hAnsi="Calibri" w:cs="Calibri"/>
          <w:noProof/>
          <w:szCs w:val="24"/>
        </w:rPr>
        <w:t xml:space="preserve"> [Internet]. 2016 [cited 2020 Feb 5]. Available from: https://www.ero.govt.nz/publications/food-nutrition-and-physical-activity-in-nz-schools-and-early-learning-services/overview/</w:t>
      </w:r>
    </w:p>
    <w:p w14:paraId="4FF0549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226. </w:t>
      </w:r>
      <w:r w:rsidRPr="00657137">
        <w:rPr>
          <w:rFonts w:ascii="Calibri" w:hAnsi="Calibri" w:cs="Calibri"/>
          <w:noProof/>
          <w:szCs w:val="24"/>
        </w:rPr>
        <w:tab/>
        <w:t xml:space="preserve">Children’s Food Trust. </w:t>
      </w:r>
      <w:r w:rsidRPr="00657137">
        <w:rPr>
          <w:rFonts w:ascii="Calibri" w:hAnsi="Calibri" w:cs="Calibri"/>
          <w:i/>
          <w:iCs/>
          <w:noProof/>
          <w:szCs w:val="24"/>
        </w:rPr>
        <w:t>Our research</w:t>
      </w:r>
      <w:r w:rsidRPr="00657137">
        <w:rPr>
          <w:rFonts w:ascii="Calibri" w:hAnsi="Calibri" w:cs="Calibri"/>
          <w:noProof/>
          <w:szCs w:val="24"/>
        </w:rPr>
        <w:t xml:space="preserve"> [Internet]. 2016. Available from: http://www.childrensfoodtrust.org.uk/childrens-food-trust/our-research/</w:t>
      </w:r>
    </w:p>
    <w:p w14:paraId="51EB456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227. </w:t>
      </w:r>
      <w:r w:rsidRPr="00657137">
        <w:rPr>
          <w:rFonts w:ascii="Calibri" w:hAnsi="Calibri" w:cs="Calibri"/>
          <w:noProof/>
          <w:szCs w:val="24"/>
        </w:rPr>
        <w:tab/>
        <w:t xml:space="preserve">McLean RM, Williams SM, Te Morenga LA, Mann JI. </w:t>
      </w:r>
      <w:r w:rsidRPr="00657137">
        <w:rPr>
          <w:rFonts w:ascii="Calibri" w:hAnsi="Calibri" w:cs="Calibri"/>
          <w:i/>
          <w:iCs/>
          <w:noProof/>
          <w:szCs w:val="24"/>
        </w:rPr>
        <w:t>Spot urine and 24-h diet recall estimates of dietary sodium intake from the 2008/09 New Zealand Adult Nutrition Survey: a comparison</w:t>
      </w:r>
      <w:r w:rsidRPr="00657137">
        <w:rPr>
          <w:rFonts w:ascii="Calibri" w:hAnsi="Calibri" w:cs="Calibri"/>
          <w:noProof/>
          <w:szCs w:val="24"/>
        </w:rPr>
        <w:t>. Eur J Clin Nutr [Internet]. 2018;72(8):1120–7. Available from: https://doi.org/10.1038/s41430-018-0176-0</w:t>
      </w:r>
    </w:p>
    <w:p w14:paraId="49D1907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228. </w:t>
      </w:r>
      <w:r w:rsidRPr="00657137">
        <w:rPr>
          <w:rFonts w:ascii="Calibri" w:hAnsi="Calibri" w:cs="Calibri"/>
          <w:noProof/>
          <w:szCs w:val="24"/>
        </w:rPr>
        <w:tab/>
        <w:t xml:space="preserve">Kibblewhite R, Nettleton A, McLean R, Haszard J, Fleming E, Kruimer D, et al. </w:t>
      </w:r>
      <w:r w:rsidRPr="00657137">
        <w:rPr>
          <w:rFonts w:ascii="Calibri" w:hAnsi="Calibri" w:cs="Calibri"/>
          <w:i/>
          <w:iCs/>
          <w:noProof/>
          <w:szCs w:val="24"/>
        </w:rPr>
        <w:t>Estimating Free and Added Sugar Intakes in New Zealand</w:t>
      </w:r>
      <w:r w:rsidRPr="00657137">
        <w:rPr>
          <w:rFonts w:ascii="Calibri" w:hAnsi="Calibri" w:cs="Calibri"/>
          <w:noProof/>
          <w:szCs w:val="24"/>
        </w:rPr>
        <w:t>. Nutrients [Internet]. 2017 Nov 27 [cited 2020 Jan 30];9(12):1292. Available from: http://www.mdpi.com/2072-6643/9/12/1292</w:t>
      </w:r>
    </w:p>
    <w:p w14:paraId="07A063E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229. </w:t>
      </w:r>
      <w:r w:rsidRPr="00657137">
        <w:rPr>
          <w:rFonts w:ascii="Calibri" w:hAnsi="Calibri" w:cs="Calibri"/>
          <w:noProof/>
          <w:szCs w:val="24"/>
        </w:rPr>
        <w:tab/>
        <w:t xml:space="preserve">Ministry of Health. </w:t>
      </w:r>
      <w:r w:rsidRPr="00657137">
        <w:rPr>
          <w:rFonts w:ascii="Calibri" w:hAnsi="Calibri" w:cs="Calibri"/>
          <w:i/>
          <w:iCs/>
          <w:noProof/>
          <w:szCs w:val="24"/>
        </w:rPr>
        <w:t xml:space="preserve">New Zealand Health Survey  </w:t>
      </w:r>
      <w:r w:rsidRPr="00657137">
        <w:rPr>
          <w:rFonts w:ascii="Calibri" w:hAnsi="Calibri" w:cs="Calibri"/>
          <w:noProof/>
          <w:szCs w:val="24"/>
        </w:rPr>
        <w:t xml:space="preserve"> [Internet]. 2016. Available from: http://www.health.govt.nz/nz-health-statistics/national-collections-and-surveys/surveys/current-recent-surveys/new-zealand-health-survey?mega=Health statistics&amp;title=NZ Health Survey#published</w:t>
      </w:r>
    </w:p>
    <w:p w14:paraId="2F26392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230. </w:t>
      </w:r>
      <w:r w:rsidRPr="00657137">
        <w:rPr>
          <w:rFonts w:ascii="Calibri" w:hAnsi="Calibri" w:cs="Calibri"/>
          <w:noProof/>
          <w:szCs w:val="24"/>
        </w:rPr>
        <w:tab/>
        <w:t xml:space="preserve">Promotion Agency H. </w:t>
      </w:r>
      <w:r w:rsidRPr="00657137">
        <w:rPr>
          <w:rFonts w:ascii="Calibri" w:hAnsi="Calibri" w:cs="Calibri"/>
          <w:i/>
          <w:iCs/>
          <w:noProof/>
          <w:szCs w:val="24"/>
        </w:rPr>
        <w:t>Health Promotion Agency Annual Report 2018/19</w:t>
      </w:r>
      <w:r w:rsidRPr="00657137">
        <w:rPr>
          <w:rFonts w:ascii="Calibri" w:hAnsi="Calibri" w:cs="Calibri"/>
          <w:noProof/>
          <w:szCs w:val="24"/>
        </w:rPr>
        <w:t xml:space="preserve">. 2019. </w:t>
      </w:r>
    </w:p>
    <w:p w14:paraId="686ADCD6"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231. </w:t>
      </w:r>
      <w:r w:rsidRPr="00657137">
        <w:rPr>
          <w:rFonts w:ascii="Calibri" w:hAnsi="Calibri" w:cs="Calibri"/>
          <w:noProof/>
          <w:szCs w:val="24"/>
        </w:rPr>
        <w:tab/>
        <w:t xml:space="preserve">Gets.govt.nz. </w:t>
      </w:r>
      <w:r w:rsidRPr="00657137">
        <w:rPr>
          <w:rFonts w:ascii="Calibri" w:hAnsi="Calibri" w:cs="Calibri"/>
          <w:i/>
          <w:iCs/>
          <w:noProof/>
          <w:szCs w:val="24"/>
        </w:rPr>
        <w:t>GETS - Government Electronic Tender Service | Current Tenders</w:t>
      </w:r>
      <w:r w:rsidRPr="00657137">
        <w:rPr>
          <w:rFonts w:ascii="Calibri" w:hAnsi="Calibri" w:cs="Calibri"/>
          <w:noProof/>
          <w:szCs w:val="24"/>
        </w:rPr>
        <w:t xml:space="preserve"> [Internet]. New Zealand </w:t>
      </w:r>
      <w:r w:rsidRPr="00657137">
        <w:rPr>
          <w:rFonts w:ascii="Calibri" w:hAnsi="Calibri" w:cs="Calibri"/>
          <w:noProof/>
          <w:szCs w:val="24"/>
        </w:rPr>
        <w:lastRenderedPageBreak/>
        <w:t>Government. 2020 [cited 2020 Feb 5]. Available from: https://www.gets.govt.nz/ExternalIndex.htm</w:t>
      </w:r>
    </w:p>
    <w:p w14:paraId="66A6F7E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232. </w:t>
      </w:r>
      <w:r w:rsidRPr="00657137">
        <w:rPr>
          <w:rFonts w:ascii="Calibri" w:hAnsi="Calibri" w:cs="Calibri"/>
          <w:noProof/>
          <w:szCs w:val="24"/>
        </w:rPr>
        <w:tab/>
        <w:t xml:space="preserve">Centres for Disease Control. </w:t>
      </w:r>
      <w:r w:rsidRPr="00657137">
        <w:rPr>
          <w:rFonts w:ascii="Calibri" w:hAnsi="Calibri" w:cs="Calibri"/>
          <w:i/>
          <w:iCs/>
          <w:noProof/>
          <w:szCs w:val="24"/>
        </w:rPr>
        <w:t>National Health and Nutrition Examination Survey</w:t>
      </w:r>
      <w:r w:rsidRPr="00657137">
        <w:rPr>
          <w:rFonts w:ascii="Calibri" w:hAnsi="Calibri" w:cs="Calibri"/>
          <w:noProof/>
          <w:szCs w:val="24"/>
        </w:rPr>
        <w:t xml:space="preserve"> [Internet]. 2016. Available from: http://www.cdc.gov/nchs/nhanes.htm</w:t>
      </w:r>
    </w:p>
    <w:p w14:paraId="2E80291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233. </w:t>
      </w:r>
      <w:r w:rsidRPr="00657137">
        <w:rPr>
          <w:rFonts w:ascii="Calibri" w:hAnsi="Calibri" w:cs="Calibri"/>
          <w:noProof/>
          <w:szCs w:val="24"/>
        </w:rPr>
        <w:tab/>
        <w:t xml:space="preserve">Ministry of Health. </w:t>
      </w:r>
      <w:r w:rsidRPr="00657137">
        <w:rPr>
          <w:rFonts w:ascii="Calibri" w:hAnsi="Calibri" w:cs="Calibri"/>
          <w:i/>
          <w:iCs/>
          <w:noProof/>
          <w:szCs w:val="24"/>
        </w:rPr>
        <w:t>Understanding excess body weight: New Zealand Health Survey</w:t>
      </w:r>
      <w:r w:rsidRPr="00657137">
        <w:rPr>
          <w:rFonts w:ascii="Calibri" w:hAnsi="Calibri" w:cs="Calibri"/>
          <w:noProof/>
          <w:szCs w:val="24"/>
        </w:rPr>
        <w:t xml:space="preserve"> [Internet]. Wellington: Ministry of Health; 2015. Available from: http://www.health.govt.nz/publication/understanding-excess-body-weight-new-zealand-health-survey</w:t>
      </w:r>
    </w:p>
    <w:p w14:paraId="05B418B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234. </w:t>
      </w:r>
      <w:r w:rsidRPr="00657137">
        <w:rPr>
          <w:rFonts w:ascii="Calibri" w:hAnsi="Calibri" w:cs="Calibri"/>
          <w:noProof/>
          <w:szCs w:val="24"/>
        </w:rPr>
        <w:tab/>
        <w:t xml:space="preserve">Ministry of Health. </w:t>
      </w:r>
      <w:r w:rsidRPr="00657137">
        <w:rPr>
          <w:rFonts w:ascii="Calibri" w:hAnsi="Calibri" w:cs="Calibri"/>
          <w:i/>
          <w:iCs/>
          <w:noProof/>
          <w:szCs w:val="24"/>
        </w:rPr>
        <w:t>B4 School Check</w:t>
      </w:r>
      <w:r w:rsidRPr="00657137">
        <w:rPr>
          <w:rFonts w:ascii="Calibri" w:hAnsi="Calibri" w:cs="Calibri"/>
          <w:noProof/>
          <w:szCs w:val="24"/>
        </w:rPr>
        <w:t xml:space="preserve"> [Internet]. Available from: http://www.health.govt.nz/our-work/life-stages/child-health/b4-school-check</w:t>
      </w:r>
    </w:p>
    <w:p w14:paraId="6925E0E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235. </w:t>
      </w:r>
      <w:r w:rsidRPr="00657137">
        <w:rPr>
          <w:rFonts w:ascii="Calibri" w:hAnsi="Calibri" w:cs="Calibri"/>
          <w:noProof/>
          <w:szCs w:val="24"/>
        </w:rPr>
        <w:tab/>
        <w:t xml:space="preserve">Ministry of Health. </w:t>
      </w:r>
      <w:r w:rsidRPr="00657137">
        <w:rPr>
          <w:rFonts w:ascii="Calibri" w:hAnsi="Calibri" w:cs="Calibri"/>
          <w:i/>
          <w:iCs/>
          <w:noProof/>
          <w:szCs w:val="24"/>
        </w:rPr>
        <w:t>Access, Use and Disclosure Policy for B4 School Check Information System Users.</w:t>
      </w:r>
      <w:r w:rsidRPr="00657137">
        <w:rPr>
          <w:rFonts w:ascii="Calibri" w:hAnsi="Calibri" w:cs="Calibri"/>
          <w:noProof/>
          <w:szCs w:val="24"/>
        </w:rPr>
        <w:t xml:space="preserve"> [Internet]. Wellington: Ministry of Health; 2010. Available from: http://www.health.govt.nz/system/files/documents/publications/policy-b4school-check-information-system-users.pdf</w:t>
      </w:r>
    </w:p>
    <w:p w14:paraId="6D31DA6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236. </w:t>
      </w:r>
      <w:r w:rsidRPr="00657137">
        <w:rPr>
          <w:rFonts w:ascii="Calibri" w:hAnsi="Calibri" w:cs="Calibri"/>
          <w:noProof/>
          <w:szCs w:val="24"/>
        </w:rPr>
        <w:tab/>
        <w:t xml:space="preserve">Ministry of Health. </w:t>
      </w:r>
      <w:r w:rsidRPr="00657137">
        <w:rPr>
          <w:rFonts w:ascii="Calibri" w:hAnsi="Calibri" w:cs="Calibri"/>
          <w:i/>
          <w:iCs/>
          <w:noProof/>
          <w:szCs w:val="24"/>
        </w:rPr>
        <w:t>New Zealand Maternity Clinical Indicators 2015</w:t>
      </w:r>
      <w:r w:rsidRPr="00657137">
        <w:rPr>
          <w:rFonts w:ascii="Calibri" w:hAnsi="Calibri" w:cs="Calibri"/>
          <w:noProof/>
          <w:szCs w:val="24"/>
        </w:rPr>
        <w:t xml:space="preserve"> [Internet]. 2016. Available from: http://www.health.govt.nz/publication/new-zealand-maternity-clinical-indicators-2015</w:t>
      </w:r>
    </w:p>
    <w:p w14:paraId="2C939AA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237. </w:t>
      </w:r>
      <w:r w:rsidRPr="00657137">
        <w:rPr>
          <w:rFonts w:ascii="Calibri" w:hAnsi="Calibri" w:cs="Calibri"/>
          <w:noProof/>
          <w:szCs w:val="24"/>
        </w:rPr>
        <w:tab/>
        <w:t xml:space="preserve">Health and Social Care Information Centre. </w:t>
      </w:r>
      <w:r w:rsidRPr="00657137">
        <w:rPr>
          <w:rFonts w:ascii="Calibri" w:hAnsi="Calibri" w:cs="Calibri"/>
          <w:i/>
          <w:iCs/>
          <w:noProof/>
          <w:szCs w:val="24"/>
        </w:rPr>
        <w:t>National Child Measurement Programme</w:t>
      </w:r>
      <w:r w:rsidRPr="00657137">
        <w:rPr>
          <w:rFonts w:ascii="Calibri" w:hAnsi="Calibri" w:cs="Calibri"/>
          <w:noProof/>
          <w:szCs w:val="24"/>
        </w:rPr>
        <w:t xml:space="preserve"> [Internet]. 2016. Available from: http://www.hscic.gov.uk/ncmp</w:t>
      </w:r>
    </w:p>
    <w:p w14:paraId="359FA87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238. </w:t>
      </w:r>
      <w:r w:rsidRPr="00657137">
        <w:rPr>
          <w:rFonts w:ascii="Calibri" w:hAnsi="Calibri" w:cs="Calibri"/>
          <w:noProof/>
          <w:szCs w:val="24"/>
        </w:rPr>
        <w:tab/>
        <w:t xml:space="preserve">Ministry of Health. </w:t>
      </w:r>
      <w:r w:rsidRPr="00657137">
        <w:rPr>
          <w:rFonts w:ascii="Calibri" w:hAnsi="Calibri" w:cs="Calibri"/>
          <w:i/>
          <w:iCs/>
          <w:noProof/>
          <w:szCs w:val="24"/>
        </w:rPr>
        <w:t>Content Guide 2014/15: New Zealand Health Survey</w:t>
      </w:r>
      <w:r w:rsidRPr="00657137">
        <w:rPr>
          <w:rFonts w:ascii="Calibri" w:hAnsi="Calibri" w:cs="Calibri"/>
          <w:noProof/>
          <w:szCs w:val="24"/>
        </w:rPr>
        <w:t xml:space="preserve"> [Internet]. Wellington: Ministry of Health; 2015. Available from: https://www.health.govt.nz/publication/questionnaires-and-content-guide-2014-15-new-zealand-health-survey</w:t>
      </w:r>
    </w:p>
    <w:p w14:paraId="490DD95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239. </w:t>
      </w:r>
      <w:r w:rsidRPr="00657137">
        <w:rPr>
          <w:rFonts w:ascii="Calibri" w:hAnsi="Calibri" w:cs="Calibri"/>
          <w:noProof/>
          <w:szCs w:val="24"/>
        </w:rPr>
        <w:tab/>
        <w:t xml:space="preserve">Ministry of Health. </w:t>
      </w:r>
      <w:r w:rsidRPr="00657137">
        <w:rPr>
          <w:rFonts w:ascii="Calibri" w:hAnsi="Calibri" w:cs="Calibri"/>
          <w:i/>
          <w:iCs/>
          <w:noProof/>
          <w:szCs w:val="24"/>
        </w:rPr>
        <w:t>Mortality Collection</w:t>
      </w:r>
      <w:r w:rsidRPr="00657137">
        <w:rPr>
          <w:rFonts w:ascii="Calibri" w:hAnsi="Calibri" w:cs="Calibri"/>
          <w:noProof/>
          <w:szCs w:val="24"/>
        </w:rPr>
        <w:t xml:space="preserve"> [Internet]. Available from: http://www.health.govt.nz/nz-health-statistics/national-collections-and-surveys/collections/mortality-collection</w:t>
      </w:r>
    </w:p>
    <w:p w14:paraId="33585DE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240. </w:t>
      </w:r>
      <w:r w:rsidRPr="00657137">
        <w:rPr>
          <w:rFonts w:ascii="Calibri" w:hAnsi="Calibri" w:cs="Calibri"/>
          <w:noProof/>
          <w:szCs w:val="24"/>
        </w:rPr>
        <w:tab/>
        <w:t xml:space="preserve">Ministry of Health. </w:t>
      </w:r>
      <w:r w:rsidRPr="00657137">
        <w:rPr>
          <w:rFonts w:ascii="Calibri" w:hAnsi="Calibri" w:cs="Calibri"/>
          <w:i/>
          <w:iCs/>
          <w:noProof/>
          <w:szCs w:val="24"/>
        </w:rPr>
        <w:t>National Minimum Dataset (hospital events)</w:t>
      </w:r>
      <w:r w:rsidRPr="00657137">
        <w:rPr>
          <w:rFonts w:ascii="Calibri" w:hAnsi="Calibri" w:cs="Calibri"/>
          <w:noProof/>
          <w:szCs w:val="24"/>
        </w:rPr>
        <w:t xml:space="preserve"> [Internet]. Available from: http://www.health.govt.nz/nz-health-statistics/national-collections-and-surveys/collections/national-minimum-dataset-hospital-events</w:t>
      </w:r>
    </w:p>
    <w:p w14:paraId="6016A18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241. </w:t>
      </w:r>
      <w:r w:rsidRPr="00657137">
        <w:rPr>
          <w:rFonts w:ascii="Calibri" w:hAnsi="Calibri" w:cs="Calibri"/>
          <w:noProof/>
          <w:szCs w:val="24"/>
        </w:rPr>
        <w:tab/>
        <w:t xml:space="preserve">Ministry of Health. </w:t>
      </w:r>
      <w:r w:rsidRPr="00657137">
        <w:rPr>
          <w:rFonts w:ascii="Calibri" w:hAnsi="Calibri" w:cs="Calibri"/>
          <w:i/>
          <w:iCs/>
          <w:noProof/>
          <w:szCs w:val="24"/>
        </w:rPr>
        <w:t>New Zealand Cancer Registry (NZCR)</w:t>
      </w:r>
      <w:r w:rsidRPr="00657137">
        <w:rPr>
          <w:rFonts w:ascii="Calibri" w:hAnsi="Calibri" w:cs="Calibri"/>
          <w:noProof/>
          <w:szCs w:val="24"/>
        </w:rPr>
        <w:t xml:space="preserve"> [Internet]. Available from: http://www.health.govt.nz/nz-health-statistics/national-collections-and-surveys/collections/new-zealand-cancer-registry-nzcr</w:t>
      </w:r>
    </w:p>
    <w:p w14:paraId="5F3FD6F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242. </w:t>
      </w:r>
      <w:r w:rsidRPr="00657137">
        <w:rPr>
          <w:rFonts w:ascii="Calibri" w:hAnsi="Calibri" w:cs="Calibri"/>
          <w:noProof/>
          <w:szCs w:val="24"/>
        </w:rPr>
        <w:tab/>
        <w:t xml:space="preserve">Ministry of Health. </w:t>
      </w:r>
      <w:r w:rsidRPr="00657137">
        <w:rPr>
          <w:rFonts w:ascii="Calibri" w:hAnsi="Calibri" w:cs="Calibri"/>
          <w:i/>
          <w:iCs/>
          <w:noProof/>
          <w:szCs w:val="24"/>
        </w:rPr>
        <w:t>Health Loss in New Zealand: A report from the New Zealand Burden of Diseases, Injuries and Risk Factors Study 2006–2016</w:t>
      </w:r>
      <w:r w:rsidRPr="00657137">
        <w:rPr>
          <w:rFonts w:ascii="Calibri" w:hAnsi="Calibri" w:cs="Calibri"/>
          <w:noProof/>
          <w:szCs w:val="24"/>
        </w:rPr>
        <w:t xml:space="preserve"> [Internet]. Wellington: Ministry of Health; 2013. Available from: http://www.health.govt.nz/publication/health-loss-new-zealand-report-new-zealand-burden-diseases-injuries-and-risk-factors-study-2006-2016</w:t>
      </w:r>
    </w:p>
    <w:p w14:paraId="2F26A58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243. </w:t>
      </w:r>
      <w:r w:rsidRPr="00657137">
        <w:rPr>
          <w:rFonts w:ascii="Calibri" w:hAnsi="Calibri" w:cs="Calibri"/>
          <w:noProof/>
          <w:szCs w:val="24"/>
        </w:rPr>
        <w:tab/>
        <w:t xml:space="preserve">Ministry of Health. </w:t>
      </w:r>
      <w:r w:rsidRPr="00657137">
        <w:rPr>
          <w:rFonts w:ascii="Calibri" w:hAnsi="Calibri" w:cs="Calibri"/>
          <w:i/>
          <w:iCs/>
          <w:noProof/>
          <w:szCs w:val="24"/>
        </w:rPr>
        <w:t xml:space="preserve">Virtual Diabetes Register (VDR) </w:t>
      </w:r>
      <w:r w:rsidRPr="00657137">
        <w:rPr>
          <w:rFonts w:ascii="Calibri" w:hAnsi="Calibri" w:cs="Calibri"/>
          <w:noProof/>
          <w:szCs w:val="24"/>
        </w:rPr>
        <w:t xml:space="preserve"> [Internet]. 2016. Available from: http://www.health.govt.nz/our-work/diseases-and-conditions/diabetes/about-diabetes/virtual-diabetes-register-vdr</w:t>
      </w:r>
    </w:p>
    <w:p w14:paraId="78A9508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244. </w:t>
      </w:r>
      <w:r w:rsidRPr="00657137">
        <w:rPr>
          <w:rFonts w:ascii="Calibri" w:hAnsi="Calibri" w:cs="Calibri"/>
          <w:noProof/>
          <w:szCs w:val="24"/>
        </w:rPr>
        <w:tab/>
        <w:t xml:space="preserve">Statistics New Zealand. </w:t>
      </w:r>
      <w:r w:rsidRPr="00657137">
        <w:rPr>
          <w:rFonts w:ascii="Calibri" w:hAnsi="Calibri" w:cs="Calibri"/>
          <w:i/>
          <w:iCs/>
          <w:noProof/>
          <w:szCs w:val="24"/>
        </w:rPr>
        <w:t>Life expectancy</w:t>
      </w:r>
      <w:r w:rsidRPr="00657137">
        <w:rPr>
          <w:rFonts w:ascii="Calibri" w:hAnsi="Calibri" w:cs="Calibri"/>
          <w:noProof/>
          <w:szCs w:val="24"/>
        </w:rPr>
        <w:t xml:space="preserve"> [Internet]. Available from: http://www.stats.govt.nz/browse_for_stats/health/life_expectancy.aspx</w:t>
      </w:r>
    </w:p>
    <w:p w14:paraId="12827FF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245. </w:t>
      </w:r>
      <w:r w:rsidRPr="00657137">
        <w:rPr>
          <w:rFonts w:ascii="Calibri" w:hAnsi="Calibri" w:cs="Calibri"/>
          <w:noProof/>
          <w:szCs w:val="24"/>
        </w:rPr>
        <w:tab/>
        <w:t xml:space="preserve">Ministry of Health. </w:t>
      </w:r>
      <w:r w:rsidRPr="00657137">
        <w:rPr>
          <w:rFonts w:ascii="Calibri" w:hAnsi="Calibri" w:cs="Calibri"/>
          <w:i/>
          <w:iCs/>
          <w:noProof/>
          <w:szCs w:val="24"/>
        </w:rPr>
        <w:t>Childhood obesity plan achievements to date</w:t>
      </w:r>
      <w:r w:rsidRPr="00657137">
        <w:rPr>
          <w:rFonts w:ascii="Calibri" w:hAnsi="Calibri" w:cs="Calibri"/>
          <w:noProof/>
          <w:szCs w:val="24"/>
        </w:rPr>
        <w:t xml:space="preserve"> [Internet]. 2016. Available from: https://www.health.govt.nz/news-media/news-items/food-and-beverage-industry-pledge-and-asa-review-update</w:t>
      </w:r>
    </w:p>
    <w:p w14:paraId="3374009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246. </w:t>
      </w:r>
      <w:r w:rsidRPr="00657137">
        <w:rPr>
          <w:rFonts w:ascii="Calibri" w:hAnsi="Calibri" w:cs="Calibri"/>
          <w:noProof/>
          <w:szCs w:val="24"/>
        </w:rPr>
        <w:tab/>
        <w:t xml:space="preserve">Dr GR, Lindberg K, Shanthakumar M, Wehipeihana N, Fisher K, Spee K, et al. </w:t>
      </w:r>
      <w:r w:rsidRPr="00657137">
        <w:rPr>
          <w:rFonts w:ascii="Calibri" w:hAnsi="Calibri" w:cs="Calibri"/>
          <w:i/>
          <w:iCs/>
          <w:noProof/>
          <w:szCs w:val="24"/>
        </w:rPr>
        <w:t>Healthy Families NZ Summative Evaluation Report of Healthy Families NZ</w:t>
      </w:r>
      <w:r w:rsidRPr="00657137">
        <w:rPr>
          <w:rFonts w:ascii="Calibri" w:hAnsi="Calibri" w:cs="Calibri"/>
          <w:noProof/>
          <w:szCs w:val="24"/>
        </w:rPr>
        <w:t xml:space="preserve">. 2018. </w:t>
      </w:r>
    </w:p>
    <w:p w14:paraId="0446B2B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247. </w:t>
      </w:r>
      <w:r w:rsidRPr="00657137">
        <w:rPr>
          <w:rFonts w:ascii="Calibri" w:hAnsi="Calibri" w:cs="Calibri"/>
          <w:noProof/>
          <w:szCs w:val="24"/>
        </w:rPr>
        <w:tab/>
        <w:t xml:space="preserve">National Science Challenges. </w:t>
      </w:r>
      <w:r w:rsidRPr="00657137">
        <w:rPr>
          <w:rFonts w:ascii="Calibri" w:hAnsi="Calibri" w:cs="Calibri"/>
          <w:i/>
          <w:iCs/>
          <w:noProof/>
          <w:szCs w:val="24"/>
        </w:rPr>
        <w:t>New research on National Healthy Food and Drink Policy – Healthier Lives</w:t>
      </w:r>
      <w:r w:rsidRPr="00657137">
        <w:rPr>
          <w:rFonts w:ascii="Calibri" w:hAnsi="Calibri" w:cs="Calibri"/>
          <w:noProof/>
          <w:szCs w:val="24"/>
        </w:rPr>
        <w:t xml:space="preserve"> [Internet]. Healthier Lives. 2019 [cited 2020 Feb 5]. Available from: https://healthierlives.co.nz/2019/12/16/new-research-on-national-healthy-food-and-drink-policy/</w:t>
      </w:r>
    </w:p>
    <w:p w14:paraId="2742C98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248. </w:t>
      </w:r>
      <w:r w:rsidRPr="00657137">
        <w:rPr>
          <w:rFonts w:ascii="Calibri" w:hAnsi="Calibri" w:cs="Calibri"/>
          <w:noProof/>
          <w:szCs w:val="24"/>
        </w:rPr>
        <w:tab/>
        <w:t xml:space="preserve">US National Institutes of Health. </w:t>
      </w:r>
      <w:r w:rsidRPr="00657137">
        <w:rPr>
          <w:rFonts w:ascii="Calibri" w:hAnsi="Calibri" w:cs="Calibri"/>
          <w:i/>
          <w:iCs/>
          <w:noProof/>
          <w:szCs w:val="24"/>
        </w:rPr>
        <w:t>Time-Sensitive Obesity Policy and Program Evaluation (R01)</w:t>
      </w:r>
      <w:r w:rsidRPr="00657137">
        <w:rPr>
          <w:rFonts w:ascii="Calibri" w:hAnsi="Calibri" w:cs="Calibri"/>
          <w:noProof/>
          <w:szCs w:val="24"/>
        </w:rPr>
        <w:t xml:space="preserve"> [Internet]. 2016. Available from: http://grants.nih.gov/grants/guide/pa-files/PAR-12-257.html</w:t>
      </w:r>
    </w:p>
    <w:p w14:paraId="48394E7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249. </w:t>
      </w:r>
      <w:r w:rsidRPr="00657137">
        <w:rPr>
          <w:rFonts w:ascii="Calibri" w:hAnsi="Calibri" w:cs="Calibri"/>
          <w:noProof/>
          <w:szCs w:val="24"/>
        </w:rPr>
        <w:tab/>
        <w:t xml:space="preserve">Royal Society of New Zealand Te Aparangi. </w:t>
      </w:r>
      <w:r w:rsidRPr="00657137">
        <w:rPr>
          <w:rFonts w:ascii="Calibri" w:hAnsi="Calibri" w:cs="Calibri"/>
          <w:i/>
          <w:iCs/>
          <w:noProof/>
          <w:szCs w:val="24"/>
        </w:rPr>
        <w:t>Marsden awards</w:t>
      </w:r>
      <w:r w:rsidRPr="00657137">
        <w:rPr>
          <w:rFonts w:ascii="Calibri" w:hAnsi="Calibri" w:cs="Calibri"/>
          <w:noProof/>
          <w:szCs w:val="24"/>
        </w:rPr>
        <w:t xml:space="preserve"> [Internet]. 2017 [cited 2020 Jan 28]. Available from: https://www.royalsociety.org.nz/what-we-do/funds-and-opportunities/marsden/awarded-grants/marsden-awards-2017/</w:t>
      </w:r>
    </w:p>
    <w:p w14:paraId="598383E4"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250. </w:t>
      </w:r>
      <w:r w:rsidRPr="00657137">
        <w:rPr>
          <w:rFonts w:ascii="Calibri" w:hAnsi="Calibri" w:cs="Calibri"/>
          <w:noProof/>
          <w:szCs w:val="24"/>
        </w:rPr>
        <w:tab/>
        <w:t xml:space="preserve">Health Research Council of New Zealand. </w:t>
      </w:r>
      <w:r w:rsidRPr="00657137">
        <w:rPr>
          <w:rFonts w:ascii="Calibri" w:hAnsi="Calibri" w:cs="Calibri"/>
          <w:i/>
          <w:iCs/>
          <w:noProof/>
          <w:szCs w:val="24"/>
        </w:rPr>
        <w:t xml:space="preserve">HRC Research Repository </w:t>
      </w:r>
      <w:r w:rsidRPr="00657137">
        <w:rPr>
          <w:rFonts w:ascii="Calibri" w:hAnsi="Calibri" w:cs="Calibri"/>
          <w:noProof/>
          <w:szCs w:val="24"/>
        </w:rPr>
        <w:t xml:space="preserve"> [Internet]. 2021 [cited 2020 Jan 28]. Available from: https://www.hrc.govt.nz/resources/research-repository?query=</w:t>
      </w:r>
    </w:p>
    <w:p w14:paraId="2567B42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251. </w:t>
      </w:r>
      <w:r w:rsidRPr="00657137">
        <w:rPr>
          <w:rFonts w:ascii="Calibri" w:hAnsi="Calibri" w:cs="Calibri"/>
          <w:noProof/>
          <w:szCs w:val="24"/>
        </w:rPr>
        <w:tab/>
        <w:t xml:space="preserve">Health Research Council. </w:t>
      </w:r>
      <w:r w:rsidRPr="00657137">
        <w:rPr>
          <w:rFonts w:ascii="Calibri" w:hAnsi="Calibri" w:cs="Calibri"/>
          <w:i/>
          <w:iCs/>
          <w:noProof/>
          <w:szCs w:val="24"/>
        </w:rPr>
        <w:t>Major push to tackle diabetes with $5.7m research funding</w:t>
      </w:r>
      <w:r w:rsidRPr="00657137">
        <w:rPr>
          <w:rFonts w:ascii="Calibri" w:hAnsi="Calibri" w:cs="Calibri"/>
          <w:noProof/>
          <w:szCs w:val="24"/>
        </w:rPr>
        <w:t xml:space="preserve"> [Internet]. 2017. Available from: http://www.hrc.govt.nz/news-and-publications/news-media#major-push-to-tackle-diabetes-with-$5.7m-research-funding</w:t>
      </w:r>
    </w:p>
    <w:p w14:paraId="1677B68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252. </w:t>
      </w:r>
      <w:r w:rsidRPr="00657137">
        <w:rPr>
          <w:rFonts w:ascii="Calibri" w:hAnsi="Calibri" w:cs="Calibri"/>
          <w:noProof/>
          <w:szCs w:val="24"/>
        </w:rPr>
        <w:tab/>
        <w:t xml:space="preserve">National Science Challenges. </w:t>
      </w:r>
      <w:r w:rsidRPr="00657137">
        <w:rPr>
          <w:rFonts w:ascii="Calibri" w:hAnsi="Calibri" w:cs="Calibri"/>
          <w:i/>
          <w:iCs/>
          <w:noProof/>
          <w:szCs w:val="24"/>
        </w:rPr>
        <w:t>Vision Mātauranga</w:t>
      </w:r>
      <w:r w:rsidRPr="00657137">
        <w:rPr>
          <w:rFonts w:ascii="Calibri" w:hAnsi="Calibri" w:cs="Calibri"/>
          <w:noProof/>
          <w:szCs w:val="24"/>
        </w:rPr>
        <w:t xml:space="preserve"> [Internet]. 2019 [cited 2020 Jan 20]. Available from: https://www.highvaluenutrition.co.nz/about-us/vision-matauranga/</w:t>
      </w:r>
    </w:p>
    <w:p w14:paraId="09A1476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253. </w:t>
      </w:r>
      <w:r w:rsidRPr="00657137">
        <w:rPr>
          <w:rFonts w:ascii="Calibri" w:hAnsi="Calibri" w:cs="Calibri"/>
          <w:noProof/>
          <w:szCs w:val="24"/>
        </w:rPr>
        <w:tab/>
        <w:t xml:space="preserve">University of Auckland. </w:t>
      </w:r>
      <w:r w:rsidRPr="00657137">
        <w:rPr>
          <w:rFonts w:ascii="Calibri" w:hAnsi="Calibri" w:cs="Calibri"/>
          <w:i/>
          <w:iCs/>
          <w:noProof/>
          <w:szCs w:val="24"/>
        </w:rPr>
        <w:t>No Title</w:t>
      </w:r>
      <w:r w:rsidRPr="00657137">
        <w:rPr>
          <w:rFonts w:ascii="Calibri" w:hAnsi="Calibri" w:cs="Calibri"/>
          <w:noProof/>
          <w:szCs w:val="24"/>
        </w:rPr>
        <w:t xml:space="preserve"> [Internet]. Our Challenge: What is a better start? Available from: http://www.abetterstart.nz/en/our-challenge.html</w:t>
      </w:r>
    </w:p>
    <w:p w14:paraId="0B3C504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254. </w:t>
      </w:r>
      <w:r w:rsidRPr="00657137">
        <w:rPr>
          <w:rFonts w:ascii="Calibri" w:hAnsi="Calibri" w:cs="Calibri"/>
          <w:noProof/>
          <w:szCs w:val="24"/>
        </w:rPr>
        <w:tab/>
        <w:t xml:space="preserve">National Science Challenges. </w:t>
      </w:r>
      <w:r w:rsidRPr="00657137">
        <w:rPr>
          <w:rFonts w:ascii="Calibri" w:hAnsi="Calibri" w:cs="Calibri"/>
          <w:i/>
          <w:iCs/>
          <w:noProof/>
          <w:szCs w:val="24"/>
        </w:rPr>
        <w:t>A BETTER START Future Strategy 2019-2024</w:t>
      </w:r>
      <w:r w:rsidRPr="00657137">
        <w:rPr>
          <w:rFonts w:ascii="Calibri" w:hAnsi="Calibri" w:cs="Calibri"/>
          <w:noProof/>
          <w:szCs w:val="24"/>
        </w:rPr>
        <w:t xml:space="preserve">. 2019. </w:t>
      </w:r>
    </w:p>
    <w:p w14:paraId="23DF4BF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255. </w:t>
      </w:r>
      <w:r w:rsidRPr="00657137">
        <w:rPr>
          <w:rFonts w:ascii="Calibri" w:hAnsi="Calibri" w:cs="Calibri"/>
          <w:noProof/>
          <w:szCs w:val="24"/>
        </w:rPr>
        <w:tab/>
        <w:t xml:space="preserve">Cure Kids. </w:t>
      </w:r>
      <w:r w:rsidRPr="00657137">
        <w:rPr>
          <w:rFonts w:ascii="Calibri" w:hAnsi="Calibri" w:cs="Calibri"/>
          <w:i/>
          <w:iCs/>
          <w:noProof/>
          <w:szCs w:val="24"/>
        </w:rPr>
        <w:t>Innovative child health research fund launches</w:t>
      </w:r>
      <w:r w:rsidRPr="00657137">
        <w:rPr>
          <w:rFonts w:ascii="Calibri" w:hAnsi="Calibri" w:cs="Calibri"/>
          <w:noProof/>
          <w:szCs w:val="24"/>
        </w:rPr>
        <w:t xml:space="preserve"> [Internet]. 2017. Available from: http://curekids.org.nz/news/innovative-child-health-research-fund-launches/</w:t>
      </w:r>
    </w:p>
    <w:p w14:paraId="48721CB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256. </w:t>
      </w:r>
      <w:r w:rsidRPr="00657137">
        <w:rPr>
          <w:rFonts w:ascii="Calibri" w:hAnsi="Calibri" w:cs="Calibri"/>
          <w:noProof/>
          <w:szCs w:val="24"/>
        </w:rPr>
        <w:tab/>
        <w:t xml:space="preserve">Ministry of Business I and E. </w:t>
      </w:r>
      <w:r w:rsidRPr="00657137">
        <w:rPr>
          <w:rFonts w:ascii="Calibri" w:hAnsi="Calibri" w:cs="Calibri"/>
          <w:i/>
          <w:iCs/>
          <w:noProof/>
          <w:szCs w:val="24"/>
        </w:rPr>
        <w:t>Healthier Lives</w:t>
      </w:r>
      <w:r w:rsidRPr="00657137">
        <w:rPr>
          <w:rFonts w:ascii="Calibri" w:hAnsi="Calibri" w:cs="Calibri"/>
          <w:noProof/>
          <w:szCs w:val="24"/>
        </w:rPr>
        <w:t xml:space="preserve"> [Internet]. 2016. Available from: http://www.mbie.govt.nz/info-services/science-innovation/national-science-challenges/healthier-lives</w:t>
      </w:r>
    </w:p>
    <w:p w14:paraId="5CC49E7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257. </w:t>
      </w:r>
      <w:r w:rsidRPr="00657137">
        <w:rPr>
          <w:rFonts w:ascii="Calibri" w:hAnsi="Calibri" w:cs="Calibri"/>
          <w:noProof/>
          <w:szCs w:val="24"/>
        </w:rPr>
        <w:tab/>
        <w:t xml:space="preserve">National Science Challenge. </w:t>
      </w:r>
      <w:r w:rsidRPr="00657137">
        <w:rPr>
          <w:rFonts w:ascii="Calibri" w:hAnsi="Calibri" w:cs="Calibri"/>
          <w:i/>
          <w:iCs/>
          <w:noProof/>
          <w:szCs w:val="24"/>
        </w:rPr>
        <w:t xml:space="preserve">Staying Upright and Eating Well – Ageing Well </w:t>
      </w:r>
      <w:r w:rsidRPr="00657137">
        <w:rPr>
          <w:rFonts w:ascii="Calibri" w:hAnsi="Calibri" w:cs="Calibri"/>
          <w:noProof/>
          <w:szCs w:val="24"/>
        </w:rPr>
        <w:t xml:space="preserve"> [Internet]. 2019 [cited 2020 Jan 20]. Available from: https://www.ageingwellchallenge.co.nz/research/staying-upright-and-eating-well/</w:t>
      </w:r>
    </w:p>
    <w:p w14:paraId="7DFF994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258. </w:t>
      </w:r>
      <w:r w:rsidRPr="00657137">
        <w:rPr>
          <w:rFonts w:ascii="Calibri" w:hAnsi="Calibri" w:cs="Calibri"/>
          <w:noProof/>
          <w:szCs w:val="24"/>
        </w:rPr>
        <w:tab/>
        <w:t xml:space="preserve">Ministry of Health. </w:t>
      </w:r>
      <w:r w:rsidRPr="00657137">
        <w:rPr>
          <w:rFonts w:ascii="Calibri" w:hAnsi="Calibri" w:cs="Calibri"/>
          <w:i/>
          <w:iCs/>
          <w:noProof/>
          <w:szCs w:val="24"/>
        </w:rPr>
        <w:t>Improving the health of New Zealanders | Ministry of Health NZ</w:t>
      </w:r>
      <w:r w:rsidRPr="00657137">
        <w:rPr>
          <w:rFonts w:ascii="Calibri" w:hAnsi="Calibri" w:cs="Calibri"/>
          <w:noProof/>
          <w:szCs w:val="24"/>
        </w:rPr>
        <w:t xml:space="preserve"> [Internet]. 2019 [cited 2020 Jan 17]. Available from: https://www.health.govt.nz/nz-health-statistics/national-collections-and-surveys/surveys/new-zealand-health-survey/improving-health-new-zealanders</w:t>
      </w:r>
    </w:p>
    <w:p w14:paraId="51A87AD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259. </w:t>
      </w:r>
      <w:r w:rsidRPr="00657137">
        <w:rPr>
          <w:rFonts w:ascii="Calibri" w:hAnsi="Calibri" w:cs="Calibri"/>
          <w:noProof/>
          <w:szCs w:val="24"/>
        </w:rPr>
        <w:tab/>
        <w:t xml:space="preserve">Te Puni Kokiri. </w:t>
      </w:r>
      <w:r w:rsidRPr="00657137">
        <w:rPr>
          <w:rFonts w:ascii="Calibri" w:hAnsi="Calibri" w:cs="Calibri"/>
          <w:i/>
          <w:iCs/>
          <w:noProof/>
          <w:szCs w:val="24"/>
        </w:rPr>
        <w:t>Whānau Ora</w:t>
      </w:r>
      <w:r w:rsidRPr="00657137">
        <w:rPr>
          <w:rFonts w:ascii="Calibri" w:hAnsi="Calibri" w:cs="Calibri"/>
          <w:noProof/>
          <w:szCs w:val="24"/>
        </w:rPr>
        <w:t xml:space="preserve"> [Internet]. Available from: http://www.tpk.govt.nz/en/in-focus/whanau-ora/</w:t>
      </w:r>
    </w:p>
    <w:p w14:paraId="477E0EC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260. </w:t>
      </w:r>
      <w:r w:rsidRPr="00657137">
        <w:rPr>
          <w:rFonts w:ascii="Calibri" w:hAnsi="Calibri" w:cs="Calibri"/>
          <w:noProof/>
          <w:szCs w:val="24"/>
        </w:rPr>
        <w:tab/>
        <w:t xml:space="preserve">Food Industry Taskforce. </w:t>
      </w:r>
      <w:r w:rsidRPr="00657137">
        <w:rPr>
          <w:rFonts w:ascii="Calibri" w:hAnsi="Calibri" w:cs="Calibri"/>
          <w:i/>
          <w:iCs/>
          <w:noProof/>
          <w:szCs w:val="24"/>
        </w:rPr>
        <w:t>Food Industry Taskforce on Addressing Factors Contributing to Obesity Final Report to Ministers of Health and Food Safety</w:t>
      </w:r>
      <w:r w:rsidRPr="00657137">
        <w:rPr>
          <w:rFonts w:ascii="Calibri" w:hAnsi="Calibri" w:cs="Calibri"/>
          <w:noProof/>
          <w:szCs w:val="24"/>
        </w:rPr>
        <w:t xml:space="preserve">. 2018. </w:t>
      </w:r>
    </w:p>
    <w:p w14:paraId="4A09E5B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261. </w:t>
      </w:r>
      <w:r w:rsidRPr="00657137">
        <w:rPr>
          <w:rFonts w:ascii="Calibri" w:hAnsi="Calibri" w:cs="Calibri"/>
          <w:noProof/>
          <w:szCs w:val="24"/>
        </w:rPr>
        <w:tab/>
        <w:t xml:space="preserve">State Services Commission. </w:t>
      </w:r>
      <w:r w:rsidRPr="00657137">
        <w:rPr>
          <w:rFonts w:ascii="Calibri" w:hAnsi="Calibri" w:cs="Calibri"/>
          <w:i/>
          <w:iCs/>
          <w:noProof/>
          <w:szCs w:val="24"/>
        </w:rPr>
        <w:t>Code of conduct for the State Services</w:t>
      </w:r>
      <w:r w:rsidRPr="00657137">
        <w:rPr>
          <w:rFonts w:ascii="Calibri" w:hAnsi="Calibri" w:cs="Calibri"/>
          <w:noProof/>
          <w:szCs w:val="24"/>
        </w:rPr>
        <w:t xml:space="preserve"> [Internet]. 2007. Available from: http://www.ssc.govt.nz/code</w:t>
      </w:r>
    </w:p>
    <w:p w14:paraId="78BEC697"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262. </w:t>
      </w:r>
      <w:r w:rsidRPr="00657137">
        <w:rPr>
          <w:rFonts w:ascii="Calibri" w:hAnsi="Calibri" w:cs="Calibri"/>
          <w:noProof/>
          <w:szCs w:val="24"/>
        </w:rPr>
        <w:tab/>
        <w:t xml:space="preserve">Office of the Auditor-General. </w:t>
      </w:r>
      <w:r w:rsidRPr="00657137">
        <w:rPr>
          <w:rFonts w:ascii="Calibri" w:hAnsi="Calibri" w:cs="Calibri"/>
          <w:i/>
          <w:iCs/>
          <w:noProof/>
          <w:szCs w:val="24"/>
        </w:rPr>
        <w:t>Health promotion agency – Katherine Rich – possible conflicts of interest</w:t>
      </w:r>
      <w:r w:rsidRPr="00657137">
        <w:rPr>
          <w:rFonts w:ascii="Calibri" w:hAnsi="Calibri" w:cs="Calibri"/>
          <w:noProof/>
          <w:szCs w:val="24"/>
        </w:rPr>
        <w:t xml:space="preserve"> [Internet]. 2015. Available from: http://www.oag.govt.nz/media/2015/health-promotion-agency</w:t>
      </w:r>
    </w:p>
    <w:p w14:paraId="49D58DA2"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263. </w:t>
      </w:r>
      <w:r w:rsidRPr="00657137">
        <w:rPr>
          <w:rFonts w:ascii="Calibri" w:hAnsi="Calibri" w:cs="Calibri"/>
          <w:noProof/>
          <w:szCs w:val="24"/>
        </w:rPr>
        <w:tab/>
        <w:t xml:space="preserve">State Services Commission. </w:t>
      </w:r>
      <w:r w:rsidRPr="00657137">
        <w:rPr>
          <w:rFonts w:ascii="Calibri" w:hAnsi="Calibri" w:cs="Calibri"/>
          <w:i/>
          <w:iCs/>
          <w:noProof/>
          <w:szCs w:val="24"/>
        </w:rPr>
        <w:t xml:space="preserve">Integrity and Conduct Survey 2013 </w:t>
      </w:r>
      <w:r w:rsidRPr="00657137">
        <w:rPr>
          <w:rFonts w:ascii="Calibri" w:hAnsi="Calibri" w:cs="Calibri"/>
          <w:noProof/>
          <w:szCs w:val="24"/>
        </w:rPr>
        <w:t xml:space="preserve"> [Internet]. 2014. Available from: http://www.ssc.govt.nz/integrity-and-conduct-survey-2013-report</w:t>
      </w:r>
    </w:p>
    <w:p w14:paraId="20A76695"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264. </w:t>
      </w:r>
      <w:r w:rsidRPr="00657137">
        <w:rPr>
          <w:rFonts w:ascii="Calibri" w:hAnsi="Calibri" w:cs="Calibri"/>
          <w:noProof/>
          <w:szCs w:val="24"/>
        </w:rPr>
        <w:tab/>
        <w:t xml:space="preserve">Coca-Cola Amatil NZ. </w:t>
      </w:r>
      <w:r w:rsidRPr="00657137">
        <w:rPr>
          <w:rFonts w:ascii="Calibri" w:hAnsi="Calibri" w:cs="Calibri"/>
          <w:i/>
          <w:iCs/>
          <w:noProof/>
          <w:szCs w:val="24"/>
        </w:rPr>
        <w:t>Students across the country benefit from world-leading agreement between Government and beverage industry leaders</w:t>
      </w:r>
      <w:r w:rsidRPr="00657137">
        <w:rPr>
          <w:rFonts w:ascii="Calibri" w:hAnsi="Calibri" w:cs="Calibri"/>
          <w:noProof/>
          <w:szCs w:val="24"/>
        </w:rPr>
        <w:t xml:space="preserve"> [Internet]. 2014. Available from: https://ccamatil.co.nz/news/students-across-the-country-benefit-from-world-leading-agreement-between-government-and-beverage-industry-leaders/</w:t>
      </w:r>
    </w:p>
    <w:p w14:paraId="511716BA"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265. </w:t>
      </w:r>
      <w:r w:rsidRPr="00657137">
        <w:rPr>
          <w:rFonts w:ascii="Calibri" w:hAnsi="Calibri" w:cs="Calibri"/>
          <w:noProof/>
          <w:szCs w:val="24"/>
        </w:rPr>
        <w:tab/>
        <w:t xml:space="preserve">The Office of the Prime Minister’s Chief Science Advisor KMPM ki te P. </w:t>
      </w:r>
      <w:r w:rsidRPr="00657137">
        <w:rPr>
          <w:rFonts w:ascii="Calibri" w:hAnsi="Calibri" w:cs="Calibri"/>
          <w:i/>
          <w:iCs/>
          <w:noProof/>
          <w:szCs w:val="24"/>
        </w:rPr>
        <w:t>Annual Report 2019 Mahi Tahi 1</w:t>
      </w:r>
      <w:r w:rsidRPr="00657137">
        <w:rPr>
          <w:rFonts w:ascii="Calibri" w:hAnsi="Calibri" w:cs="Calibri"/>
          <w:noProof/>
          <w:szCs w:val="24"/>
        </w:rPr>
        <w:t xml:space="preserve">. 2019. </w:t>
      </w:r>
    </w:p>
    <w:p w14:paraId="7DCFCB0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266. </w:t>
      </w:r>
      <w:r w:rsidRPr="00657137">
        <w:rPr>
          <w:rFonts w:ascii="Calibri" w:hAnsi="Calibri" w:cs="Calibri"/>
          <w:noProof/>
          <w:szCs w:val="24"/>
        </w:rPr>
        <w:tab/>
        <w:t xml:space="preserve">Food Standard Australia New Zealand. </w:t>
      </w:r>
      <w:r w:rsidRPr="00657137">
        <w:rPr>
          <w:rFonts w:ascii="Calibri" w:hAnsi="Calibri" w:cs="Calibri"/>
          <w:i/>
          <w:iCs/>
          <w:noProof/>
          <w:szCs w:val="24"/>
        </w:rPr>
        <w:t xml:space="preserve">Consumer and Public Health Dialogue </w:t>
      </w:r>
      <w:r w:rsidRPr="00657137">
        <w:rPr>
          <w:rFonts w:ascii="Calibri" w:hAnsi="Calibri" w:cs="Calibri"/>
          <w:noProof/>
          <w:szCs w:val="24"/>
        </w:rPr>
        <w:t xml:space="preserve"> [Internet]. 2015. Available from: http://www.foodstandards.gov.au/about/committees/Pages/Consumer-and-Public-Health-Dialogue-.aspx</w:t>
      </w:r>
    </w:p>
    <w:p w14:paraId="27AD26E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267. </w:t>
      </w:r>
      <w:r w:rsidRPr="00657137">
        <w:rPr>
          <w:rFonts w:ascii="Calibri" w:hAnsi="Calibri" w:cs="Calibri"/>
          <w:noProof/>
          <w:szCs w:val="24"/>
        </w:rPr>
        <w:tab/>
        <w:t xml:space="preserve">Ministry of Business Innovation and Employment. </w:t>
      </w:r>
      <w:r w:rsidRPr="00657137">
        <w:rPr>
          <w:rFonts w:ascii="Calibri" w:hAnsi="Calibri" w:cs="Calibri"/>
          <w:i/>
          <w:iCs/>
          <w:noProof/>
          <w:szCs w:val="24"/>
        </w:rPr>
        <w:t>National Science Challenges</w:t>
      </w:r>
      <w:r w:rsidRPr="00657137">
        <w:rPr>
          <w:rFonts w:ascii="Calibri" w:hAnsi="Calibri" w:cs="Calibri"/>
          <w:noProof/>
          <w:szCs w:val="24"/>
        </w:rPr>
        <w:t xml:space="preserve"> [Internet]. 2016. Available from: http://www.mbie.govt.nz/info-services/science-innovation/national-science-challenges</w:t>
      </w:r>
    </w:p>
    <w:p w14:paraId="38BB72A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268. </w:t>
      </w:r>
      <w:r w:rsidRPr="00657137">
        <w:rPr>
          <w:rFonts w:ascii="Calibri" w:hAnsi="Calibri" w:cs="Calibri"/>
          <w:noProof/>
          <w:szCs w:val="24"/>
        </w:rPr>
        <w:tab/>
        <w:t xml:space="preserve">Food Standards Australia New Zealand. </w:t>
      </w:r>
      <w:r w:rsidRPr="00657137">
        <w:rPr>
          <w:rFonts w:ascii="Calibri" w:hAnsi="Calibri" w:cs="Calibri"/>
          <w:i/>
          <w:iCs/>
          <w:noProof/>
          <w:szCs w:val="24"/>
        </w:rPr>
        <w:t>Consumer and Public Health Dialogue</w:t>
      </w:r>
      <w:r w:rsidRPr="00657137">
        <w:rPr>
          <w:rFonts w:ascii="Calibri" w:hAnsi="Calibri" w:cs="Calibri"/>
          <w:noProof/>
          <w:szCs w:val="24"/>
        </w:rPr>
        <w:t xml:space="preserve"> [Internet]. 2019 [cited 2020 Jan 20]. Available from: https://www.foodstandards.govt.nz/about/committees/Pages/Consumer-and-Public-Health-Dialogue-.aspx</w:t>
      </w:r>
    </w:p>
    <w:p w14:paraId="0A2AEDC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269. </w:t>
      </w:r>
      <w:r w:rsidRPr="00657137">
        <w:rPr>
          <w:rFonts w:ascii="Calibri" w:hAnsi="Calibri" w:cs="Calibri"/>
          <w:noProof/>
          <w:szCs w:val="24"/>
        </w:rPr>
        <w:tab/>
        <w:t xml:space="preserve">CONSEA. </w:t>
      </w:r>
      <w:r w:rsidRPr="00657137">
        <w:rPr>
          <w:rFonts w:ascii="Calibri" w:hAnsi="Calibri" w:cs="Calibri"/>
          <w:i/>
          <w:iCs/>
          <w:noProof/>
          <w:szCs w:val="24"/>
        </w:rPr>
        <w:t>Building up the National Policy and System for Food and Nutrition Security: the Brazilian experience</w:t>
      </w:r>
      <w:r w:rsidRPr="00657137">
        <w:rPr>
          <w:rFonts w:ascii="Calibri" w:hAnsi="Calibri" w:cs="Calibri"/>
          <w:noProof/>
          <w:szCs w:val="24"/>
        </w:rPr>
        <w:t xml:space="preserve"> [Internet]. Available from: https://www.fao.org.br/download/Seguranca_Alimentar_Ingles.pdf</w:t>
      </w:r>
    </w:p>
    <w:p w14:paraId="2BF0B519"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lastRenderedPageBreak/>
        <w:t xml:space="preserve">270. </w:t>
      </w:r>
      <w:r w:rsidRPr="00657137">
        <w:rPr>
          <w:rFonts w:ascii="Calibri" w:hAnsi="Calibri" w:cs="Calibri"/>
          <w:noProof/>
          <w:szCs w:val="24"/>
        </w:rPr>
        <w:tab/>
        <w:t xml:space="preserve">Waikato District Health Board. </w:t>
      </w:r>
      <w:r w:rsidRPr="00657137">
        <w:rPr>
          <w:rFonts w:ascii="Calibri" w:hAnsi="Calibri" w:cs="Calibri"/>
          <w:i/>
          <w:iCs/>
          <w:noProof/>
          <w:szCs w:val="24"/>
        </w:rPr>
        <w:t>Project Energize</w:t>
      </w:r>
      <w:r w:rsidRPr="00657137">
        <w:rPr>
          <w:rFonts w:ascii="Calibri" w:hAnsi="Calibri" w:cs="Calibri"/>
          <w:noProof/>
          <w:szCs w:val="24"/>
        </w:rPr>
        <w:t xml:space="preserve"> [Internet]. Available from: http://www.waikatodhb.govt.nz/events/pageid/2145872029/Project_Energize.html</w:t>
      </w:r>
    </w:p>
    <w:p w14:paraId="4C6056B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271. </w:t>
      </w:r>
      <w:r w:rsidRPr="00657137">
        <w:rPr>
          <w:rFonts w:ascii="Calibri" w:hAnsi="Calibri" w:cs="Calibri"/>
          <w:noProof/>
          <w:szCs w:val="24"/>
        </w:rPr>
        <w:tab/>
        <w:t xml:space="preserve">Rush E, McLennan S, Obolonkin V, Vandal AC, Hamlin M, Simmons D, et al. </w:t>
      </w:r>
      <w:r w:rsidRPr="00657137">
        <w:rPr>
          <w:rFonts w:ascii="Calibri" w:hAnsi="Calibri" w:cs="Calibri"/>
          <w:i/>
          <w:iCs/>
          <w:noProof/>
          <w:szCs w:val="24"/>
        </w:rPr>
        <w:t>Project Energize: whole-region primary school nutrition and physical activity programme; evaluation of body size and fitness 5 years after the randomised controlled trial</w:t>
      </w:r>
      <w:r w:rsidRPr="00657137">
        <w:rPr>
          <w:rFonts w:ascii="Calibri" w:hAnsi="Calibri" w:cs="Calibri"/>
          <w:noProof/>
          <w:szCs w:val="24"/>
        </w:rPr>
        <w:t>. Br J Nutr [Internet]. 2014;111(2):363–71. Available from: http://www.ncbi.nlm.nih.gov/pubmed/23867069</w:t>
      </w:r>
    </w:p>
    <w:p w14:paraId="26EAE9F8"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272. </w:t>
      </w:r>
      <w:r w:rsidRPr="00657137">
        <w:rPr>
          <w:rFonts w:ascii="Calibri" w:hAnsi="Calibri" w:cs="Calibri"/>
          <w:noProof/>
          <w:szCs w:val="24"/>
        </w:rPr>
        <w:tab/>
        <w:t xml:space="preserve">Sport Waikato. </w:t>
      </w:r>
      <w:r w:rsidRPr="00657137">
        <w:rPr>
          <w:rFonts w:ascii="Calibri" w:hAnsi="Calibri" w:cs="Calibri"/>
          <w:i/>
          <w:iCs/>
          <w:noProof/>
          <w:szCs w:val="24"/>
        </w:rPr>
        <w:t>Under 5 Energize</w:t>
      </w:r>
      <w:r w:rsidRPr="00657137">
        <w:rPr>
          <w:rFonts w:ascii="Calibri" w:hAnsi="Calibri" w:cs="Calibri"/>
          <w:noProof/>
          <w:szCs w:val="24"/>
        </w:rPr>
        <w:t xml:space="preserve"> [Internet]. Available from: http://www.sportwaikato.org.nz/programmes/under-5-energize.aspx</w:t>
      </w:r>
    </w:p>
    <w:p w14:paraId="1D1E99E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273. </w:t>
      </w:r>
      <w:r w:rsidRPr="00657137">
        <w:rPr>
          <w:rFonts w:ascii="Calibri" w:hAnsi="Calibri" w:cs="Calibri"/>
          <w:noProof/>
          <w:szCs w:val="24"/>
        </w:rPr>
        <w:tab/>
        <w:t xml:space="preserve">Healthy Auckland Together. </w:t>
      </w:r>
      <w:r w:rsidRPr="00657137">
        <w:rPr>
          <w:rFonts w:ascii="Calibri" w:hAnsi="Calibri" w:cs="Calibri"/>
          <w:i/>
          <w:iCs/>
          <w:noProof/>
          <w:szCs w:val="24"/>
        </w:rPr>
        <w:t>Healthy Auckland Together</w:t>
      </w:r>
      <w:r w:rsidRPr="00657137">
        <w:rPr>
          <w:rFonts w:ascii="Calibri" w:hAnsi="Calibri" w:cs="Calibri"/>
          <w:noProof/>
          <w:szCs w:val="24"/>
        </w:rPr>
        <w:t xml:space="preserve"> [Internet]. 2017. Available from: http://www.healthyaucklandtogether.org.nz/</w:t>
      </w:r>
    </w:p>
    <w:p w14:paraId="3A01E47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274. </w:t>
      </w:r>
      <w:r w:rsidRPr="00657137">
        <w:rPr>
          <w:rFonts w:ascii="Calibri" w:hAnsi="Calibri" w:cs="Calibri"/>
          <w:noProof/>
          <w:szCs w:val="24"/>
        </w:rPr>
        <w:tab/>
        <w:t xml:space="preserve">Healthy Auckland Together. </w:t>
      </w:r>
      <w:r w:rsidRPr="00657137">
        <w:rPr>
          <w:rFonts w:ascii="Calibri" w:hAnsi="Calibri" w:cs="Calibri"/>
          <w:i/>
          <w:iCs/>
          <w:noProof/>
          <w:szCs w:val="24"/>
        </w:rPr>
        <w:t>Auckland’s Nutrition Snapshot; Monitoring Report Summary 2018</w:t>
      </w:r>
      <w:r w:rsidRPr="00657137">
        <w:rPr>
          <w:rFonts w:ascii="Calibri" w:hAnsi="Calibri" w:cs="Calibri"/>
          <w:noProof/>
          <w:szCs w:val="24"/>
        </w:rPr>
        <w:t xml:space="preserve"> [Internet]. 2018 [cited 2020 Jan 21]. Available from: www.healthyaucklandtogether.org.nz</w:t>
      </w:r>
    </w:p>
    <w:p w14:paraId="75A77F8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275. </w:t>
      </w:r>
      <w:r w:rsidRPr="00657137">
        <w:rPr>
          <w:rFonts w:ascii="Calibri" w:hAnsi="Calibri" w:cs="Calibri"/>
          <w:noProof/>
          <w:szCs w:val="24"/>
        </w:rPr>
        <w:tab/>
        <w:t xml:space="preserve">Healthy Auckland Together. </w:t>
      </w:r>
      <w:r w:rsidRPr="00657137">
        <w:rPr>
          <w:rFonts w:ascii="Calibri" w:hAnsi="Calibri" w:cs="Calibri"/>
          <w:i/>
          <w:iCs/>
          <w:noProof/>
          <w:szCs w:val="24"/>
        </w:rPr>
        <w:t>Monitoring Report 2018</w:t>
      </w:r>
      <w:r w:rsidRPr="00657137">
        <w:rPr>
          <w:rFonts w:ascii="Calibri" w:hAnsi="Calibri" w:cs="Calibri"/>
          <w:noProof/>
          <w:szCs w:val="24"/>
        </w:rPr>
        <w:t xml:space="preserve"> [Internet]. 2018 [cited 2020 Jan 21]. Available from: http://www.healthyaucklandtogether.org.nz/reports/monitoring-report-2018/</w:t>
      </w:r>
    </w:p>
    <w:p w14:paraId="35D34783"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276. </w:t>
      </w:r>
      <w:r w:rsidRPr="00657137">
        <w:rPr>
          <w:rFonts w:ascii="Calibri" w:hAnsi="Calibri" w:cs="Calibri"/>
          <w:noProof/>
          <w:szCs w:val="24"/>
        </w:rPr>
        <w:tab/>
        <w:t xml:space="preserve">Ministry of Health New Zealand, Ministry of Health. </w:t>
      </w:r>
      <w:r w:rsidRPr="00657137">
        <w:rPr>
          <w:rFonts w:ascii="Calibri" w:hAnsi="Calibri" w:cs="Calibri"/>
          <w:i/>
          <w:iCs/>
          <w:noProof/>
          <w:szCs w:val="24"/>
        </w:rPr>
        <w:t>Healthy Families NZ</w:t>
      </w:r>
      <w:r w:rsidRPr="00657137">
        <w:rPr>
          <w:rFonts w:ascii="Calibri" w:hAnsi="Calibri" w:cs="Calibri"/>
          <w:noProof/>
          <w:szCs w:val="24"/>
        </w:rPr>
        <w:t xml:space="preserve"> [Internet]. 2016. Available from: http://www.health.govt.nz/our-work/preventative-health-wellness/healthy-families-nz</w:t>
      </w:r>
    </w:p>
    <w:p w14:paraId="056B49BB"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277. </w:t>
      </w:r>
      <w:r w:rsidRPr="00657137">
        <w:rPr>
          <w:rFonts w:ascii="Calibri" w:hAnsi="Calibri" w:cs="Calibri"/>
          <w:noProof/>
          <w:szCs w:val="24"/>
        </w:rPr>
        <w:tab/>
        <w:t xml:space="preserve">Government VS. </w:t>
      </w:r>
      <w:r w:rsidRPr="00657137">
        <w:rPr>
          <w:rFonts w:ascii="Calibri" w:hAnsi="Calibri" w:cs="Calibri"/>
          <w:i/>
          <w:iCs/>
          <w:noProof/>
          <w:szCs w:val="24"/>
        </w:rPr>
        <w:t>What is Healthy Together Victoria</w:t>
      </w:r>
      <w:r w:rsidRPr="00657137">
        <w:rPr>
          <w:rFonts w:ascii="Calibri" w:hAnsi="Calibri" w:cs="Calibri"/>
          <w:noProof/>
          <w:szCs w:val="24"/>
        </w:rPr>
        <w:t xml:space="preserve"> [Internet]. 2017. Available from: https://www2.health.vic.gov.au/about/publications/policiesandguidelines/What is Healthy Together Victoria</w:t>
      </w:r>
    </w:p>
    <w:p w14:paraId="7FF835F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278. </w:t>
      </w:r>
      <w:r w:rsidRPr="00657137">
        <w:rPr>
          <w:rFonts w:ascii="Calibri" w:hAnsi="Calibri" w:cs="Calibri"/>
          <w:noProof/>
          <w:szCs w:val="24"/>
        </w:rPr>
        <w:tab/>
        <w:t xml:space="preserve">Strugnell C, Millar L, Churchill A, Jacka F, Bell C, Malakellis M, et al. </w:t>
      </w:r>
      <w:r w:rsidRPr="00657137">
        <w:rPr>
          <w:rFonts w:ascii="Calibri" w:hAnsi="Calibri" w:cs="Calibri"/>
          <w:i/>
          <w:iCs/>
          <w:noProof/>
          <w:szCs w:val="24"/>
        </w:rPr>
        <w:t>Healthy together Victoria and childhood obesity-a methodology for measuring changes in childhood obesity in response to a community-based, whole of system cluster randomized control trial</w:t>
      </w:r>
      <w:r w:rsidRPr="00657137">
        <w:rPr>
          <w:rFonts w:ascii="Calibri" w:hAnsi="Calibri" w:cs="Calibri"/>
          <w:noProof/>
          <w:szCs w:val="24"/>
        </w:rPr>
        <w:t xml:space="preserve">. Arch Public Health. 2016;74(Electronic-eCollection):16. </w:t>
      </w:r>
    </w:p>
    <w:p w14:paraId="703A426D"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279. </w:t>
      </w:r>
      <w:r w:rsidRPr="00657137">
        <w:rPr>
          <w:rFonts w:ascii="Calibri" w:hAnsi="Calibri" w:cs="Calibri"/>
          <w:noProof/>
          <w:szCs w:val="24"/>
        </w:rPr>
        <w:tab/>
        <w:t xml:space="preserve">Lock K, Gabrijelcic-Blenkus M, Martuzzi M, Otorepec P, Wallace P, Dora C, et al. </w:t>
      </w:r>
      <w:r w:rsidRPr="00657137">
        <w:rPr>
          <w:rFonts w:ascii="Calibri" w:hAnsi="Calibri" w:cs="Calibri"/>
          <w:i/>
          <w:iCs/>
          <w:noProof/>
          <w:szCs w:val="24"/>
        </w:rPr>
        <w:t>Health impact assessment of agriculture and food policies: lessons learnt from the Republic of Slovenia</w:t>
      </w:r>
      <w:r w:rsidRPr="00657137">
        <w:rPr>
          <w:rFonts w:ascii="Calibri" w:hAnsi="Calibri" w:cs="Calibri"/>
          <w:noProof/>
          <w:szCs w:val="24"/>
        </w:rPr>
        <w:t>. Bull World Heal Organ [Internet]. 2003;81(6):391–8. Available from: http://www.ncbi.nlm.nih.gov/pubmed/12894321</w:t>
      </w:r>
    </w:p>
    <w:p w14:paraId="061354C0"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280. </w:t>
      </w:r>
      <w:r w:rsidRPr="00657137">
        <w:rPr>
          <w:rFonts w:ascii="Calibri" w:hAnsi="Calibri" w:cs="Calibri"/>
          <w:noProof/>
          <w:szCs w:val="24"/>
        </w:rPr>
        <w:tab/>
        <w:t xml:space="preserve">Ministry of Health. </w:t>
      </w:r>
      <w:r w:rsidRPr="00657137">
        <w:rPr>
          <w:rFonts w:ascii="Calibri" w:hAnsi="Calibri" w:cs="Calibri"/>
          <w:i/>
          <w:iCs/>
          <w:noProof/>
          <w:szCs w:val="24"/>
        </w:rPr>
        <w:t>Whānau Ora Health Impact Assessment</w:t>
      </w:r>
      <w:r w:rsidRPr="00657137">
        <w:rPr>
          <w:rFonts w:ascii="Calibri" w:hAnsi="Calibri" w:cs="Calibri"/>
          <w:noProof/>
          <w:szCs w:val="24"/>
        </w:rPr>
        <w:t xml:space="preserve">. Wellington: Ministry of Health; 2007. </w:t>
      </w:r>
    </w:p>
    <w:p w14:paraId="2EA6F4AF"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281. </w:t>
      </w:r>
      <w:r w:rsidRPr="00657137">
        <w:rPr>
          <w:rFonts w:ascii="Calibri" w:hAnsi="Calibri" w:cs="Calibri"/>
          <w:noProof/>
          <w:szCs w:val="24"/>
        </w:rPr>
        <w:tab/>
        <w:t xml:space="preserve">Ministry of Health. </w:t>
      </w:r>
      <w:r w:rsidRPr="00657137">
        <w:rPr>
          <w:rFonts w:ascii="Calibri" w:hAnsi="Calibri" w:cs="Calibri"/>
          <w:i/>
          <w:iCs/>
          <w:noProof/>
          <w:szCs w:val="24"/>
        </w:rPr>
        <w:t>Whānau Ora Health Impact Assessment | Ministry of Health NZ</w:t>
      </w:r>
      <w:r w:rsidRPr="00657137">
        <w:rPr>
          <w:rFonts w:ascii="Calibri" w:hAnsi="Calibri" w:cs="Calibri"/>
          <w:noProof/>
          <w:szCs w:val="24"/>
        </w:rPr>
        <w:t xml:space="preserve"> [Internet]. 2014 [cited 2020 Feb 5]. Available from: https://www.health.govt.nz/our-work/health-impact-assessment/whanau-ora-health-impact-assessment</w:t>
      </w:r>
    </w:p>
    <w:p w14:paraId="5605BA7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282. </w:t>
      </w:r>
      <w:r w:rsidRPr="00657137">
        <w:rPr>
          <w:rFonts w:ascii="Calibri" w:hAnsi="Calibri" w:cs="Calibri"/>
          <w:noProof/>
          <w:szCs w:val="24"/>
        </w:rPr>
        <w:tab/>
        <w:t xml:space="preserve">Community and Public Health. </w:t>
      </w:r>
      <w:r w:rsidRPr="00657137">
        <w:rPr>
          <w:rFonts w:ascii="Calibri" w:hAnsi="Calibri" w:cs="Calibri"/>
          <w:i/>
          <w:iCs/>
          <w:noProof/>
          <w:szCs w:val="24"/>
        </w:rPr>
        <w:t>Health in All Policies | Community &amp; Public Health Te Mana Ora</w:t>
      </w:r>
      <w:r w:rsidRPr="00657137">
        <w:rPr>
          <w:rFonts w:ascii="Calibri" w:hAnsi="Calibri" w:cs="Calibri"/>
          <w:noProof/>
          <w:szCs w:val="24"/>
        </w:rPr>
        <w:t xml:space="preserve"> [Internet]. Canterbury District Health Board. 2020 [cited 2020 Feb 5]. Available from: https://www.cph.co.nz/your-health/health-in-all-policies/</w:t>
      </w:r>
    </w:p>
    <w:p w14:paraId="34D009E1"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283. </w:t>
      </w:r>
      <w:r w:rsidRPr="00657137">
        <w:rPr>
          <w:rFonts w:ascii="Calibri" w:hAnsi="Calibri" w:cs="Calibri"/>
          <w:noProof/>
          <w:szCs w:val="24"/>
        </w:rPr>
        <w:tab/>
        <w:t xml:space="preserve">Canterbury District Health Board. </w:t>
      </w:r>
      <w:r w:rsidRPr="00657137">
        <w:rPr>
          <w:rFonts w:ascii="Calibri" w:hAnsi="Calibri" w:cs="Calibri"/>
          <w:i/>
          <w:iCs/>
          <w:noProof/>
          <w:szCs w:val="24"/>
        </w:rPr>
        <w:t>Health in all policies</w:t>
      </w:r>
      <w:r w:rsidRPr="00657137">
        <w:rPr>
          <w:rFonts w:ascii="Calibri" w:hAnsi="Calibri" w:cs="Calibri"/>
          <w:noProof/>
          <w:szCs w:val="24"/>
        </w:rPr>
        <w:t xml:space="preserve"> [Internet]. Available from: http://www.cph.co.nz/About-Us/Health-in-all-Policies/</w:t>
      </w:r>
    </w:p>
    <w:p w14:paraId="2C17C69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284. </w:t>
      </w:r>
      <w:r w:rsidRPr="00657137">
        <w:rPr>
          <w:rFonts w:ascii="Calibri" w:hAnsi="Calibri" w:cs="Calibri"/>
          <w:noProof/>
          <w:szCs w:val="24"/>
        </w:rPr>
        <w:tab/>
        <w:t xml:space="preserve">Government of South Australia. </w:t>
      </w:r>
      <w:r w:rsidRPr="00657137">
        <w:rPr>
          <w:rFonts w:ascii="Calibri" w:hAnsi="Calibri" w:cs="Calibri"/>
          <w:i/>
          <w:iCs/>
          <w:noProof/>
          <w:szCs w:val="24"/>
        </w:rPr>
        <w:t>Health in All Policies: The South Australian Approach</w:t>
      </w:r>
      <w:r w:rsidRPr="00657137">
        <w:rPr>
          <w:rFonts w:ascii="Calibri" w:hAnsi="Calibri" w:cs="Calibri"/>
          <w:noProof/>
          <w:szCs w:val="24"/>
        </w:rPr>
        <w:t xml:space="preserve"> [Internet]. 2016. Available from: http://www.sahealth.sa.gov.au/wps/wcm/connect/public+content/sa+health+internet/health+reform/health+in+all+policies</w:t>
      </w:r>
    </w:p>
    <w:p w14:paraId="272B78FC"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szCs w:val="24"/>
        </w:rPr>
      </w:pPr>
      <w:r w:rsidRPr="00657137">
        <w:rPr>
          <w:rFonts w:ascii="Calibri" w:hAnsi="Calibri" w:cs="Calibri"/>
          <w:noProof/>
          <w:szCs w:val="24"/>
        </w:rPr>
        <w:t xml:space="preserve">285. </w:t>
      </w:r>
      <w:r w:rsidRPr="00657137">
        <w:rPr>
          <w:rFonts w:ascii="Calibri" w:hAnsi="Calibri" w:cs="Calibri"/>
          <w:noProof/>
          <w:szCs w:val="24"/>
        </w:rPr>
        <w:tab/>
      </w:r>
      <w:r w:rsidRPr="00657137">
        <w:rPr>
          <w:rFonts w:ascii="Calibri" w:hAnsi="Calibri" w:cs="Calibri"/>
          <w:i/>
          <w:iCs/>
          <w:noProof/>
          <w:szCs w:val="24"/>
        </w:rPr>
        <w:t>Health in all policies as a priority in Finnish health policy: a case study on national health policy development</w:t>
      </w:r>
      <w:r w:rsidRPr="00657137">
        <w:rPr>
          <w:rFonts w:ascii="Calibri" w:hAnsi="Calibri" w:cs="Calibri"/>
          <w:noProof/>
          <w:szCs w:val="24"/>
        </w:rPr>
        <w:t xml:space="preserve">. Scand J Public Health. 2013;41(11 Suppl):3–28. </w:t>
      </w:r>
    </w:p>
    <w:p w14:paraId="49CD305E" w14:textId="77777777" w:rsidR="00657137" w:rsidRPr="00657137" w:rsidRDefault="00657137" w:rsidP="00657137">
      <w:pPr>
        <w:widowControl w:val="0"/>
        <w:autoSpaceDE w:val="0"/>
        <w:autoSpaceDN w:val="0"/>
        <w:adjustRightInd w:val="0"/>
        <w:spacing w:after="100" w:line="240" w:lineRule="auto"/>
        <w:ind w:left="640" w:hanging="640"/>
        <w:rPr>
          <w:rFonts w:ascii="Calibri" w:hAnsi="Calibri" w:cs="Calibri"/>
          <w:noProof/>
        </w:rPr>
      </w:pPr>
      <w:r w:rsidRPr="00657137">
        <w:rPr>
          <w:rFonts w:ascii="Calibri" w:hAnsi="Calibri" w:cs="Calibri"/>
          <w:noProof/>
          <w:szCs w:val="24"/>
        </w:rPr>
        <w:t xml:space="preserve">286. </w:t>
      </w:r>
      <w:r w:rsidRPr="00657137">
        <w:rPr>
          <w:rFonts w:ascii="Calibri" w:hAnsi="Calibri" w:cs="Calibri"/>
          <w:noProof/>
          <w:szCs w:val="24"/>
        </w:rPr>
        <w:tab/>
        <w:t xml:space="preserve">Legislative and Governance Forum on Food Regulation. </w:t>
      </w:r>
      <w:r w:rsidRPr="00657137">
        <w:rPr>
          <w:rFonts w:ascii="Calibri" w:hAnsi="Calibri" w:cs="Calibri"/>
          <w:i/>
          <w:iCs/>
          <w:noProof/>
          <w:szCs w:val="24"/>
        </w:rPr>
        <w:t>Policy Statement: The interpretation of public health and safety in developing, reviewing and varying food regulatory measures.</w:t>
      </w:r>
      <w:r w:rsidRPr="00657137">
        <w:rPr>
          <w:rFonts w:ascii="Calibri" w:hAnsi="Calibri" w:cs="Calibri"/>
          <w:noProof/>
          <w:szCs w:val="24"/>
        </w:rPr>
        <w:t xml:space="preserve"> [Internet]. Food Standards Australia New Zealand; 2013. Available from: http://foodregulation.gov.au/internet/fr/publishing.nsf/Content/publication-Policy-Statement-on-the-Public-Health-Role-of-FSANZ</w:t>
      </w:r>
    </w:p>
    <w:p w14:paraId="2F375A7E" w14:textId="5E385D91" w:rsidR="006E41E5" w:rsidRDefault="0082690E" w:rsidP="006E41E5">
      <w:pPr>
        <w:shd w:val="clear" w:color="auto" w:fill="FFFFFF" w:themeFill="background1"/>
        <w:spacing w:afterLines="40" w:after="96" w:line="240" w:lineRule="auto"/>
        <w:rPr>
          <w:rFonts w:ascii="Cambria" w:hAnsi="Cambria" w:cs="Times New Roman"/>
          <w:sz w:val="28"/>
          <w:szCs w:val="20"/>
        </w:rPr>
      </w:pPr>
      <w:r w:rsidRPr="0091450A">
        <w:rPr>
          <w:rFonts w:ascii="Cambria" w:hAnsi="Cambria" w:cs="Times New Roman"/>
          <w:sz w:val="28"/>
          <w:szCs w:val="20"/>
        </w:rPr>
        <w:fldChar w:fldCharType="end"/>
      </w:r>
    </w:p>
    <w:p w14:paraId="336A59D8" w14:textId="3EDD3DE9" w:rsidR="006E41E5" w:rsidRDefault="006E41E5">
      <w:pPr>
        <w:rPr>
          <w:rFonts w:ascii="Cambria" w:hAnsi="Cambria" w:cs="Times New Roman"/>
          <w:sz w:val="28"/>
          <w:szCs w:val="20"/>
        </w:rPr>
      </w:pPr>
      <w:r>
        <w:rPr>
          <w:rFonts w:ascii="Cambria" w:hAnsi="Cambria" w:cs="Times New Roman"/>
          <w:sz w:val="28"/>
          <w:szCs w:val="20"/>
        </w:rPr>
        <w:br w:type="page"/>
      </w:r>
    </w:p>
    <w:p w14:paraId="489CDD99" w14:textId="75234D3F" w:rsidR="000F50C4" w:rsidRDefault="000F50C4" w:rsidP="00D021AA">
      <w:pPr>
        <w:pStyle w:val="Heading1"/>
      </w:pPr>
      <w:r>
        <w:lastRenderedPageBreak/>
        <w:t>Appendix:</w:t>
      </w:r>
    </w:p>
    <w:p w14:paraId="6A9E8CAD" w14:textId="23A6D10D" w:rsidR="00D96B05" w:rsidRPr="0033074A" w:rsidRDefault="00D96B05" w:rsidP="0033074A">
      <w:pPr>
        <w:pStyle w:val="Heading3"/>
        <w:spacing w:after="240"/>
        <w:rPr>
          <w:sz w:val="24"/>
        </w:rPr>
      </w:pPr>
      <w:r w:rsidRPr="0033074A">
        <w:rPr>
          <w:sz w:val="24"/>
        </w:rPr>
        <w:t xml:space="preserve">Table of Heart Foundation Reformulation Targets </w:t>
      </w:r>
      <w:r w:rsidR="00F371A9" w:rsidRPr="0033074A">
        <w:rPr>
          <w:sz w:val="24"/>
        </w:rPr>
        <w:t>201</w:t>
      </w:r>
      <w:r w:rsidR="00F371A9">
        <w:rPr>
          <w:sz w:val="24"/>
        </w:rPr>
        <w:t>9</w:t>
      </w:r>
      <w:r w:rsidR="00F371A9" w:rsidRPr="0033074A">
        <w:rPr>
          <w:sz w:val="24"/>
        </w:rPr>
        <w:t xml:space="preserve"> </w:t>
      </w:r>
      <w:r w:rsidRPr="0033074A">
        <w:rPr>
          <w:sz w:val="24"/>
        </w:rPr>
        <w:fldChar w:fldCharType="begin" w:fldLock="1"/>
      </w:r>
      <w:r w:rsidRPr="0033074A">
        <w:rPr>
          <w:sz w:val="24"/>
        </w:rPr>
        <w:instrText>ADDIN CSL_CITATION {"citationItems":[{"id":"ITEM-1","itemData":{"author":[{"dropping-particle":"","family":"Heart Foundation","given":"","non-dropping-particle":"","parse-names":false,"suffix":""}],"id":"ITEM-1","issued":{"date-parts":[["2018"]]},"title":"Heart Foundation Food Reformulation Targets","type":"report"},"uris":["http://www.mendeley.com/documents/?uuid=18847fbf-33df-4d5e-984f-e8e5c9051761","http://www.mendeley.com/documents/?uuid=99e82200-9609-3846-9d22-caba6143f03e"]}],"mendeley":{"formattedCitation":"(6)","plainTextFormattedCitation":"(6)","previouslyFormattedCitation":"(6)"},"properties":{"noteIndex":0},"schema":"https://github.com/citation-style-language/schema/raw/master/csl-citation.json"}</w:instrText>
      </w:r>
      <w:r w:rsidRPr="0033074A">
        <w:rPr>
          <w:sz w:val="24"/>
        </w:rPr>
        <w:fldChar w:fldCharType="separate"/>
      </w:r>
      <w:r w:rsidRPr="0033074A">
        <w:rPr>
          <w:noProof/>
          <w:sz w:val="24"/>
        </w:rPr>
        <w:t>(6)</w:t>
      </w:r>
      <w:r w:rsidRPr="0033074A">
        <w:rPr>
          <w:sz w:val="24"/>
        </w:rPr>
        <w:fldChar w:fldCharType="end"/>
      </w:r>
    </w:p>
    <w:tbl>
      <w:tblPr>
        <w:tblStyle w:val="TableGrid"/>
        <w:tblW w:w="0" w:type="auto"/>
        <w:tblLook w:val="04A0" w:firstRow="1" w:lastRow="0" w:firstColumn="1" w:lastColumn="0" w:noHBand="0" w:noVBand="1"/>
      </w:tblPr>
      <w:tblGrid>
        <w:gridCol w:w="1555"/>
        <w:gridCol w:w="1559"/>
        <w:gridCol w:w="1701"/>
        <w:gridCol w:w="4201"/>
      </w:tblGrid>
      <w:tr w:rsidR="006E41E5" w14:paraId="58ECE252" w14:textId="77777777" w:rsidTr="0033074A">
        <w:tc>
          <w:tcPr>
            <w:tcW w:w="1555" w:type="dxa"/>
          </w:tcPr>
          <w:p w14:paraId="4665BCD9" w14:textId="6BA79100" w:rsidR="006E41E5" w:rsidRDefault="006E41E5" w:rsidP="006E41E5">
            <w:pPr>
              <w:spacing w:afterLines="40" w:after="96"/>
              <w:rPr>
                <w:sz w:val="23"/>
              </w:rPr>
            </w:pPr>
            <w:r w:rsidRPr="0091450A">
              <w:rPr>
                <w:b/>
              </w:rPr>
              <w:t>Category</w:t>
            </w:r>
          </w:p>
        </w:tc>
        <w:tc>
          <w:tcPr>
            <w:tcW w:w="1559" w:type="dxa"/>
          </w:tcPr>
          <w:p w14:paraId="480A9970" w14:textId="1672942E" w:rsidR="006E41E5" w:rsidRDefault="006E41E5" w:rsidP="006E41E5">
            <w:pPr>
              <w:spacing w:afterLines="40" w:after="96"/>
              <w:rPr>
                <w:sz w:val="23"/>
              </w:rPr>
            </w:pPr>
            <w:r w:rsidRPr="0091450A">
              <w:rPr>
                <w:b/>
              </w:rPr>
              <w:t xml:space="preserve">Nutrient Target </w:t>
            </w:r>
          </w:p>
        </w:tc>
        <w:tc>
          <w:tcPr>
            <w:tcW w:w="1701" w:type="dxa"/>
          </w:tcPr>
          <w:p w14:paraId="59AD37E6" w14:textId="44AB60D5" w:rsidR="006E41E5" w:rsidRDefault="006E41E5" w:rsidP="006E41E5">
            <w:pPr>
              <w:spacing w:afterLines="40" w:after="96"/>
              <w:rPr>
                <w:sz w:val="23"/>
              </w:rPr>
            </w:pPr>
            <w:r w:rsidRPr="0091450A">
              <w:rPr>
                <w:b/>
              </w:rPr>
              <w:t>Timeframe</w:t>
            </w:r>
          </w:p>
        </w:tc>
        <w:tc>
          <w:tcPr>
            <w:tcW w:w="4201" w:type="dxa"/>
          </w:tcPr>
          <w:p w14:paraId="65466711" w14:textId="7DAEA716" w:rsidR="006E41E5" w:rsidRDefault="006E41E5" w:rsidP="006E41E5">
            <w:pPr>
              <w:spacing w:afterLines="40" w:after="96"/>
              <w:rPr>
                <w:sz w:val="23"/>
              </w:rPr>
            </w:pPr>
            <w:r w:rsidRPr="0091450A">
              <w:rPr>
                <w:b/>
              </w:rPr>
              <w:t>Progress</w:t>
            </w:r>
          </w:p>
        </w:tc>
      </w:tr>
      <w:tr w:rsidR="006E41E5" w14:paraId="54F002F2" w14:textId="77777777" w:rsidTr="0033074A">
        <w:tc>
          <w:tcPr>
            <w:tcW w:w="1555" w:type="dxa"/>
          </w:tcPr>
          <w:p w14:paraId="304D03C9" w14:textId="77777777" w:rsidR="006E41E5" w:rsidRPr="0091450A" w:rsidRDefault="006E41E5" w:rsidP="006E41E5">
            <w:pPr>
              <w:rPr>
                <w:b/>
                <w:sz w:val="16"/>
                <w:szCs w:val="16"/>
              </w:rPr>
            </w:pPr>
            <w:r w:rsidRPr="0091450A">
              <w:rPr>
                <w:b/>
                <w:sz w:val="16"/>
                <w:szCs w:val="16"/>
              </w:rPr>
              <w:t>Bread</w:t>
            </w:r>
          </w:p>
          <w:p w14:paraId="1596F530" w14:textId="77777777" w:rsidR="006E41E5" w:rsidRPr="0091450A" w:rsidRDefault="006E41E5" w:rsidP="006E41E5">
            <w:pPr>
              <w:rPr>
                <w:bCs/>
                <w:sz w:val="16"/>
                <w:szCs w:val="16"/>
              </w:rPr>
            </w:pPr>
            <w:r w:rsidRPr="0091450A">
              <w:rPr>
                <w:bCs/>
                <w:sz w:val="16"/>
                <w:szCs w:val="16"/>
              </w:rPr>
              <w:t>Leavened bread</w:t>
            </w:r>
          </w:p>
          <w:p w14:paraId="2E7148D5" w14:textId="5B48EAA2" w:rsidR="006E41E5" w:rsidRDefault="006E41E5" w:rsidP="006E41E5">
            <w:pPr>
              <w:spacing w:afterLines="40" w:after="96"/>
              <w:rPr>
                <w:sz w:val="23"/>
              </w:rPr>
            </w:pPr>
            <w:r w:rsidRPr="0091450A">
              <w:rPr>
                <w:bCs/>
                <w:sz w:val="16"/>
                <w:szCs w:val="16"/>
              </w:rPr>
              <w:t>Unleavened bread</w:t>
            </w:r>
            <w:r w:rsidRPr="0091450A" w:rsidDel="00F13A5D">
              <w:rPr>
                <w:sz w:val="16"/>
                <w:szCs w:val="16"/>
              </w:rPr>
              <w:t xml:space="preserve"> </w:t>
            </w:r>
          </w:p>
        </w:tc>
        <w:tc>
          <w:tcPr>
            <w:tcW w:w="1559" w:type="dxa"/>
          </w:tcPr>
          <w:p w14:paraId="175E2B89" w14:textId="77777777" w:rsidR="006E41E5" w:rsidRPr="008254B9" w:rsidRDefault="006E41E5" w:rsidP="006E41E5">
            <w:pPr>
              <w:rPr>
                <w:b/>
                <w:sz w:val="16"/>
                <w:szCs w:val="16"/>
                <w:lang w:val="de-DE"/>
              </w:rPr>
            </w:pPr>
            <w:r w:rsidRPr="008254B9">
              <w:rPr>
                <w:b/>
                <w:sz w:val="16"/>
                <w:szCs w:val="16"/>
                <w:lang w:val="de-DE"/>
              </w:rPr>
              <w:t xml:space="preserve">Sodium </w:t>
            </w:r>
          </w:p>
          <w:p w14:paraId="12B8E2B7" w14:textId="77777777" w:rsidR="006E41E5" w:rsidRPr="008254B9" w:rsidRDefault="006E41E5" w:rsidP="006E41E5">
            <w:pPr>
              <w:rPr>
                <w:sz w:val="16"/>
                <w:szCs w:val="16"/>
                <w:lang w:val="de-DE"/>
              </w:rPr>
            </w:pPr>
            <w:r w:rsidRPr="008254B9">
              <w:rPr>
                <w:sz w:val="16"/>
                <w:szCs w:val="16"/>
                <w:lang w:val="de-DE"/>
              </w:rPr>
              <w:t>380mg/100g</w:t>
            </w:r>
          </w:p>
          <w:p w14:paraId="4B03E93F" w14:textId="59DE45F2" w:rsidR="006E41E5" w:rsidRPr="008254B9" w:rsidRDefault="006E41E5" w:rsidP="006E41E5">
            <w:pPr>
              <w:spacing w:afterLines="40" w:after="96"/>
              <w:rPr>
                <w:sz w:val="23"/>
                <w:lang w:val="de-DE"/>
              </w:rPr>
            </w:pPr>
            <w:r w:rsidRPr="008254B9">
              <w:rPr>
                <w:sz w:val="16"/>
                <w:szCs w:val="16"/>
                <w:lang w:val="de-DE"/>
              </w:rPr>
              <w:t>Sodium 450mg/100g</w:t>
            </w:r>
          </w:p>
        </w:tc>
        <w:tc>
          <w:tcPr>
            <w:tcW w:w="1701" w:type="dxa"/>
          </w:tcPr>
          <w:p w14:paraId="3F2E28FC" w14:textId="77777777" w:rsidR="006E41E5" w:rsidRPr="008254B9" w:rsidRDefault="006E41E5" w:rsidP="006E41E5">
            <w:pPr>
              <w:rPr>
                <w:sz w:val="16"/>
                <w:szCs w:val="16"/>
                <w:lang w:val="de-DE"/>
              </w:rPr>
            </w:pPr>
          </w:p>
          <w:p w14:paraId="68E71DBE" w14:textId="77777777" w:rsidR="006E41E5" w:rsidRPr="0091450A" w:rsidRDefault="006E41E5" w:rsidP="006E41E5">
            <w:pPr>
              <w:rPr>
                <w:sz w:val="16"/>
                <w:szCs w:val="16"/>
              </w:rPr>
            </w:pPr>
            <w:r w:rsidRPr="0091450A">
              <w:rPr>
                <w:sz w:val="16"/>
                <w:szCs w:val="16"/>
              </w:rPr>
              <w:t>Target reset August 2018;</w:t>
            </w:r>
          </w:p>
          <w:p w14:paraId="7017F5DE" w14:textId="056CE5D5" w:rsidR="006E41E5" w:rsidRDefault="006E41E5" w:rsidP="006E41E5">
            <w:pPr>
              <w:spacing w:afterLines="40" w:after="96"/>
              <w:rPr>
                <w:sz w:val="23"/>
              </w:rPr>
            </w:pPr>
            <w:r w:rsidRPr="0091450A">
              <w:rPr>
                <w:sz w:val="16"/>
                <w:szCs w:val="16"/>
              </w:rPr>
              <w:t>target review December 2022</w:t>
            </w:r>
          </w:p>
        </w:tc>
        <w:tc>
          <w:tcPr>
            <w:tcW w:w="4201" w:type="dxa"/>
          </w:tcPr>
          <w:p w14:paraId="3DB9CDC2" w14:textId="77777777" w:rsidR="006E41E5" w:rsidRPr="0091450A" w:rsidRDefault="006E41E5" w:rsidP="006E41E5">
            <w:pPr>
              <w:rPr>
                <w:sz w:val="16"/>
              </w:rPr>
            </w:pPr>
            <w:r w:rsidRPr="0091450A">
              <w:rPr>
                <w:sz w:val="16"/>
              </w:rPr>
              <w:t xml:space="preserve">2007-2008: Many companies did large reductions of around 20% to meet the target 450mg. </w:t>
            </w:r>
          </w:p>
          <w:p w14:paraId="1C1759DB" w14:textId="77777777" w:rsidR="006E41E5" w:rsidRPr="0091450A" w:rsidRDefault="006E41E5" w:rsidP="006E41E5">
            <w:pPr>
              <w:rPr>
                <w:sz w:val="16"/>
              </w:rPr>
            </w:pPr>
          </w:p>
          <w:p w14:paraId="46DED9E2" w14:textId="77777777" w:rsidR="006E41E5" w:rsidRPr="0091450A" w:rsidRDefault="006E41E5" w:rsidP="006E41E5">
            <w:pPr>
              <w:rPr>
                <w:sz w:val="16"/>
              </w:rPr>
            </w:pPr>
            <w:r w:rsidRPr="0091450A">
              <w:rPr>
                <w:sz w:val="16"/>
              </w:rPr>
              <w:t>2014: over 80% market share (by sales volume) met the 450mg target. Target was rest to 400mg/100g.</w:t>
            </w:r>
          </w:p>
          <w:p w14:paraId="6E599D33" w14:textId="77777777" w:rsidR="006E41E5" w:rsidRPr="0091450A" w:rsidRDefault="006E41E5" w:rsidP="006E41E5">
            <w:pPr>
              <w:rPr>
                <w:sz w:val="16"/>
              </w:rPr>
            </w:pPr>
          </w:p>
          <w:p w14:paraId="7EF08F28" w14:textId="77777777" w:rsidR="006E41E5" w:rsidRPr="0091450A" w:rsidRDefault="006E41E5" w:rsidP="006E41E5">
            <w:pPr>
              <w:rPr>
                <w:sz w:val="16"/>
              </w:rPr>
            </w:pPr>
            <w:r w:rsidRPr="0091450A">
              <w:rPr>
                <w:sz w:val="16"/>
              </w:rPr>
              <w:t>2017: an additional 4.8% reduction had been achieved across the category. 73% market share (by sales volume) met the 400mg target. Over 176 tonnes of salt per annum removed from this category (2007-Dec 2017).</w:t>
            </w:r>
          </w:p>
          <w:p w14:paraId="624039A3" w14:textId="77777777" w:rsidR="006E41E5" w:rsidRDefault="006E41E5" w:rsidP="006E41E5">
            <w:pPr>
              <w:spacing w:afterLines="40" w:after="96"/>
              <w:rPr>
                <w:sz w:val="23"/>
              </w:rPr>
            </w:pPr>
          </w:p>
        </w:tc>
      </w:tr>
      <w:tr w:rsidR="006E41E5" w14:paraId="050C3341" w14:textId="77777777" w:rsidTr="0033074A">
        <w:tc>
          <w:tcPr>
            <w:tcW w:w="1555" w:type="dxa"/>
          </w:tcPr>
          <w:p w14:paraId="6DB0E571" w14:textId="77777777" w:rsidR="006E41E5" w:rsidRPr="0091450A" w:rsidRDefault="006E41E5" w:rsidP="006E41E5">
            <w:pPr>
              <w:rPr>
                <w:b/>
                <w:sz w:val="16"/>
                <w:szCs w:val="16"/>
              </w:rPr>
            </w:pPr>
            <w:r w:rsidRPr="0091450A">
              <w:rPr>
                <w:b/>
                <w:sz w:val="16"/>
                <w:szCs w:val="16"/>
              </w:rPr>
              <w:t>Breakfast Cereal</w:t>
            </w:r>
          </w:p>
          <w:p w14:paraId="365F2041" w14:textId="77777777" w:rsidR="006E41E5" w:rsidRPr="0091450A" w:rsidRDefault="006E41E5" w:rsidP="006E41E5">
            <w:pPr>
              <w:rPr>
                <w:sz w:val="16"/>
                <w:szCs w:val="16"/>
              </w:rPr>
            </w:pPr>
            <w:r w:rsidRPr="0091450A">
              <w:rPr>
                <w:sz w:val="16"/>
                <w:szCs w:val="16"/>
              </w:rPr>
              <w:t>Puffed rice and corn flakes</w:t>
            </w:r>
          </w:p>
          <w:p w14:paraId="7A652F5B" w14:textId="77777777" w:rsidR="006E41E5" w:rsidRPr="0091450A" w:rsidRDefault="006E41E5" w:rsidP="006E41E5">
            <w:pPr>
              <w:rPr>
                <w:sz w:val="16"/>
                <w:szCs w:val="16"/>
              </w:rPr>
            </w:pPr>
            <w:r w:rsidRPr="0091450A">
              <w:rPr>
                <w:sz w:val="16"/>
                <w:szCs w:val="16"/>
              </w:rPr>
              <w:t>Oat based muesli, porridge</w:t>
            </w:r>
          </w:p>
          <w:p w14:paraId="16D6BCC8" w14:textId="77777777" w:rsidR="006E41E5" w:rsidRPr="0091450A" w:rsidRDefault="006E41E5" w:rsidP="006E41E5">
            <w:pPr>
              <w:rPr>
                <w:sz w:val="16"/>
                <w:szCs w:val="16"/>
              </w:rPr>
            </w:pPr>
            <w:r w:rsidRPr="0091450A">
              <w:rPr>
                <w:sz w:val="16"/>
                <w:szCs w:val="16"/>
              </w:rPr>
              <w:t>Biscuits</w:t>
            </w:r>
          </w:p>
          <w:p w14:paraId="47150EE9" w14:textId="77777777" w:rsidR="006E41E5" w:rsidRPr="0091450A" w:rsidRDefault="006E41E5" w:rsidP="006E41E5">
            <w:pPr>
              <w:rPr>
                <w:sz w:val="16"/>
                <w:szCs w:val="16"/>
              </w:rPr>
            </w:pPr>
            <w:r w:rsidRPr="0091450A">
              <w:rPr>
                <w:sz w:val="16"/>
                <w:szCs w:val="16"/>
              </w:rPr>
              <w:t>Other Ready-to Eat cereals</w:t>
            </w:r>
          </w:p>
          <w:p w14:paraId="0DE9DAB6" w14:textId="77777777" w:rsidR="006E41E5" w:rsidRPr="0091450A" w:rsidRDefault="006E41E5" w:rsidP="006E41E5">
            <w:pPr>
              <w:rPr>
                <w:sz w:val="16"/>
                <w:szCs w:val="16"/>
              </w:rPr>
            </w:pPr>
          </w:p>
          <w:p w14:paraId="20E6A15C" w14:textId="5F783854" w:rsidR="006E41E5" w:rsidRDefault="006E41E5" w:rsidP="006E41E5">
            <w:pPr>
              <w:spacing w:afterLines="40" w:after="96"/>
              <w:rPr>
                <w:sz w:val="23"/>
              </w:rPr>
            </w:pPr>
            <w:r w:rsidRPr="0091450A">
              <w:rPr>
                <w:sz w:val="16"/>
                <w:szCs w:val="16"/>
              </w:rPr>
              <w:t>All breakfast cereals</w:t>
            </w:r>
          </w:p>
        </w:tc>
        <w:tc>
          <w:tcPr>
            <w:tcW w:w="1559" w:type="dxa"/>
          </w:tcPr>
          <w:p w14:paraId="2215E1E8" w14:textId="77777777" w:rsidR="006E41E5" w:rsidRPr="008254B9" w:rsidRDefault="006E41E5" w:rsidP="006E41E5">
            <w:pPr>
              <w:rPr>
                <w:b/>
                <w:sz w:val="16"/>
                <w:szCs w:val="16"/>
                <w:lang w:val="de-DE"/>
              </w:rPr>
            </w:pPr>
            <w:r w:rsidRPr="008254B9">
              <w:rPr>
                <w:b/>
                <w:sz w:val="16"/>
                <w:szCs w:val="16"/>
                <w:lang w:val="de-DE"/>
              </w:rPr>
              <w:t xml:space="preserve">Sodium </w:t>
            </w:r>
          </w:p>
          <w:p w14:paraId="3C8850A1" w14:textId="77777777" w:rsidR="006E41E5" w:rsidRPr="008254B9" w:rsidRDefault="006E41E5" w:rsidP="006E41E5">
            <w:pPr>
              <w:rPr>
                <w:sz w:val="16"/>
                <w:szCs w:val="16"/>
                <w:lang w:val="de-DE"/>
              </w:rPr>
            </w:pPr>
            <w:r w:rsidRPr="008254B9">
              <w:rPr>
                <w:sz w:val="16"/>
                <w:szCs w:val="16"/>
                <w:lang w:val="de-DE"/>
              </w:rPr>
              <w:t>500mg/100g</w:t>
            </w:r>
          </w:p>
          <w:p w14:paraId="548A180A" w14:textId="77777777" w:rsidR="006E41E5" w:rsidRPr="008254B9" w:rsidRDefault="006E41E5" w:rsidP="006E41E5">
            <w:pPr>
              <w:rPr>
                <w:sz w:val="16"/>
                <w:szCs w:val="16"/>
                <w:lang w:val="de-DE"/>
              </w:rPr>
            </w:pPr>
            <w:r w:rsidRPr="008254B9">
              <w:rPr>
                <w:sz w:val="16"/>
                <w:szCs w:val="16"/>
                <w:lang w:val="de-DE"/>
              </w:rPr>
              <w:t>200mg/100g</w:t>
            </w:r>
          </w:p>
          <w:p w14:paraId="50C91285" w14:textId="77777777" w:rsidR="006E41E5" w:rsidRPr="008254B9" w:rsidRDefault="006E41E5" w:rsidP="006E41E5">
            <w:pPr>
              <w:rPr>
                <w:sz w:val="16"/>
                <w:szCs w:val="16"/>
                <w:lang w:val="de-DE"/>
              </w:rPr>
            </w:pPr>
            <w:r w:rsidRPr="008254B9">
              <w:rPr>
                <w:sz w:val="16"/>
                <w:szCs w:val="16"/>
                <w:lang w:val="de-DE"/>
              </w:rPr>
              <w:t>300mg/100g</w:t>
            </w:r>
          </w:p>
          <w:p w14:paraId="4CD85ED1" w14:textId="77777777" w:rsidR="006E41E5" w:rsidRPr="0091450A" w:rsidRDefault="006E41E5" w:rsidP="006E41E5">
            <w:pPr>
              <w:rPr>
                <w:sz w:val="16"/>
                <w:szCs w:val="16"/>
              </w:rPr>
            </w:pPr>
            <w:r w:rsidRPr="0091450A">
              <w:rPr>
                <w:sz w:val="16"/>
                <w:szCs w:val="16"/>
              </w:rPr>
              <w:t>400mg/100g</w:t>
            </w:r>
          </w:p>
          <w:p w14:paraId="23BA6459" w14:textId="77777777" w:rsidR="006E41E5" w:rsidRPr="0091450A" w:rsidRDefault="006E41E5" w:rsidP="006E41E5">
            <w:pPr>
              <w:rPr>
                <w:sz w:val="16"/>
                <w:szCs w:val="16"/>
              </w:rPr>
            </w:pPr>
          </w:p>
          <w:p w14:paraId="40A87DCD" w14:textId="77777777" w:rsidR="006E41E5" w:rsidRPr="0091450A" w:rsidRDefault="006E41E5" w:rsidP="006E41E5">
            <w:pPr>
              <w:rPr>
                <w:b/>
                <w:sz w:val="16"/>
                <w:szCs w:val="16"/>
              </w:rPr>
            </w:pPr>
            <w:r w:rsidRPr="0091450A">
              <w:rPr>
                <w:b/>
                <w:sz w:val="16"/>
                <w:szCs w:val="16"/>
              </w:rPr>
              <w:t>Total Sugar</w:t>
            </w:r>
          </w:p>
          <w:p w14:paraId="4AC913D3" w14:textId="1AEF08A7" w:rsidR="006E41E5" w:rsidRDefault="006E41E5" w:rsidP="006E41E5">
            <w:pPr>
              <w:spacing w:afterLines="40" w:after="96"/>
              <w:rPr>
                <w:sz w:val="23"/>
              </w:rPr>
            </w:pPr>
            <w:r w:rsidRPr="0091450A">
              <w:rPr>
                <w:sz w:val="16"/>
                <w:szCs w:val="16"/>
              </w:rPr>
              <w:t>22.5g/100g OR 20% reduction for products significantly over 25g/100g</w:t>
            </w:r>
          </w:p>
        </w:tc>
        <w:tc>
          <w:tcPr>
            <w:tcW w:w="1701" w:type="dxa"/>
          </w:tcPr>
          <w:p w14:paraId="5F2BA6B6" w14:textId="77777777" w:rsidR="006E41E5" w:rsidRPr="0091450A" w:rsidRDefault="006E41E5" w:rsidP="006E41E5">
            <w:pPr>
              <w:rPr>
                <w:sz w:val="16"/>
                <w:szCs w:val="16"/>
              </w:rPr>
            </w:pPr>
          </w:p>
          <w:p w14:paraId="28A78F3A" w14:textId="77777777" w:rsidR="006E41E5" w:rsidRPr="0091450A" w:rsidRDefault="006E41E5" w:rsidP="006E41E5">
            <w:pPr>
              <w:rPr>
                <w:sz w:val="16"/>
                <w:szCs w:val="16"/>
              </w:rPr>
            </w:pPr>
            <w:r w:rsidRPr="0091450A">
              <w:rPr>
                <w:sz w:val="16"/>
                <w:szCs w:val="16"/>
              </w:rPr>
              <w:t>Targets reset August 2016; target review August 2021</w:t>
            </w:r>
          </w:p>
          <w:p w14:paraId="3F2E6841" w14:textId="77777777" w:rsidR="006E41E5" w:rsidRPr="0091450A" w:rsidRDefault="006E41E5" w:rsidP="006E41E5">
            <w:pPr>
              <w:rPr>
                <w:sz w:val="16"/>
                <w:szCs w:val="16"/>
              </w:rPr>
            </w:pPr>
          </w:p>
          <w:p w14:paraId="72626AB0" w14:textId="77777777" w:rsidR="006E41E5" w:rsidRPr="0091450A" w:rsidRDefault="006E41E5" w:rsidP="006E41E5">
            <w:pPr>
              <w:rPr>
                <w:sz w:val="16"/>
                <w:szCs w:val="16"/>
              </w:rPr>
            </w:pPr>
          </w:p>
          <w:p w14:paraId="44A3E36A" w14:textId="77777777" w:rsidR="006E41E5" w:rsidRPr="0091450A" w:rsidRDefault="006E41E5" w:rsidP="006E41E5">
            <w:pPr>
              <w:rPr>
                <w:sz w:val="16"/>
                <w:szCs w:val="16"/>
              </w:rPr>
            </w:pPr>
          </w:p>
          <w:p w14:paraId="5E582E8D" w14:textId="77777777" w:rsidR="006E41E5" w:rsidRPr="0091450A" w:rsidRDefault="006E41E5" w:rsidP="006E41E5">
            <w:pPr>
              <w:rPr>
                <w:sz w:val="16"/>
                <w:szCs w:val="16"/>
              </w:rPr>
            </w:pPr>
            <w:r w:rsidRPr="0091450A">
              <w:rPr>
                <w:sz w:val="16"/>
                <w:szCs w:val="16"/>
              </w:rPr>
              <w:t>Target set August 2016;</w:t>
            </w:r>
          </w:p>
          <w:p w14:paraId="1F0A517B" w14:textId="77FEB747" w:rsidR="006E41E5" w:rsidRDefault="006E41E5" w:rsidP="006E41E5">
            <w:pPr>
              <w:spacing w:afterLines="40" w:after="96"/>
              <w:rPr>
                <w:sz w:val="23"/>
              </w:rPr>
            </w:pPr>
            <w:r w:rsidRPr="0091450A">
              <w:rPr>
                <w:sz w:val="16"/>
                <w:szCs w:val="16"/>
              </w:rPr>
              <w:t>target review August 2021</w:t>
            </w:r>
          </w:p>
        </w:tc>
        <w:tc>
          <w:tcPr>
            <w:tcW w:w="4201" w:type="dxa"/>
          </w:tcPr>
          <w:p w14:paraId="01CA19C1" w14:textId="77777777" w:rsidR="006E41E5" w:rsidRPr="0091450A" w:rsidRDefault="006E41E5" w:rsidP="006E41E5">
            <w:pPr>
              <w:rPr>
                <w:sz w:val="16"/>
                <w:szCs w:val="16"/>
              </w:rPr>
            </w:pPr>
            <w:r w:rsidRPr="0091450A">
              <w:rPr>
                <w:sz w:val="16"/>
                <w:szCs w:val="16"/>
              </w:rPr>
              <w:t>2010: targets set</w:t>
            </w:r>
          </w:p>
          <w:p w14:paraId="414AB770" w14:textId="77777777" w:rsidR="006E41E5" w:rsidRPr="0091450A" w:rsidRDefault="006E41E5" w:rsidP="006E41E5">
            <w:pPr>
              <w:rPr>
                <w:sz w:val="16"/>
                <w:szCs w:val="16"/>
              </w:rPr>
            </w:pPr>
          </w:p>
          <w:p w14:paraId="6A6C119D" w14:textId="77777777" w:rsidR="006E41E5" w:rsidRPr="0091450A" w:rsidRDefault="006E41E5" w:rsidP="006E41E5">
            <w:pPr>
              <w:rPr>
                <w:sz w:val="16"/>
                <w:szCs w:val="16"/>
              </w:rPr>
            </w:pPr>
            <w:r w:rsidRPr="0091450A">
              <w:rPr>
                <w:sz w:val="16"/>
                <w:szCs w:val="16"/>
              </w:rPr>
              <w:t>2016 review: over 80% market share met the 2010 sodium targets. Over five years (2010-2016) there was</w:t>
            </w:r>
            <w:r>
              <w:rPr>
                <w:sz w:val="16"/>
                <w:szCs w:val="16"/>
              </w:rPr>
              <w:t xml:space="preserve"> </w:t>
            </w:r>
            <w:r w:rsidRPr="0091450A">
              <w:rPr>
                <w:sz w:val="16"/>
                <w:szCs w:val="16"/>
              </w:rPr>
              <w:t>around a 25% reduction in breakfast cereals largely due to large reductions being made in rice bubble, cornflake and other children’s styled cereals. Our research looking at changes in the sodium content of breakfast cereals over a 10-year period (2003 – 2013) indicated that some children’s cereals had on average a 33% reduction in sodium levels.</w:t>
            </w:r>
          </w:p>
          <w:p w14:paraId="4EECA148" w14:textId="77777777" w:rsidR="006E41E5" w:rsidRPr="0091450A" w:rsidRDefault="006E41E5" w:rsidP="006E41E5">
            <w:pPr>
              <w:rPr>
                <w:sz w:val="16"/>
                <w:szCs w:val="16"/>
              </w:rPr>
            </w:pPr>
          </w:p>
          <w:p w14:paraId="66F41A8D" w14:textId="77777777" w:rsidR="006E41E5" w:rsidRPr="0091450A" w:rsidRDefault="006E41E5" w:rsidP="006E41E5">
            <w:pPr>
              <w:rPr>
                <w:sz w:val="16"/>
                <w:szCs w:val="16"/>
              </w:rPr>
            </w:pPr>
            <w:r w:rsidRPr="0091450A">
              <w:rPr>
                <w:sz w:val="16"/>
                <w:szCs w:val="16"/>
              </w:rPr>
              <w:t>From 2010 – 2016 an estimated 27 tonnes of salt per annum removed across the category.</w:t>
            </w:r>
          </w:p>
          <w:p w14:paraId="3DAB736E" w14:textId="77777777" w:rsidR="006E41E5" w:rsidRPr="0091450A" w:rsidRDefault="006E41E5" w:rsidP="006E41E5">
            <w:pPr>
              <w:rPr>
                <w:sz w:val="16"/>
                <w:szCs w:val="16"/>
              </w:rPr>
            </w:pPr>
          </w:p>
          <w:p w14:paraId="7578257D" w14:textId="77777777" w:rsidR="006E41E5" w:rsidRPr="0091450A" w:rsidRDefault="006E41E5" w:rsidP="006E41E5">
            <w:pPr>
              <w:rPr>
                <w:sz w:val="16"/>
                <w:szCs w:val="16"/>
              </w:rPr>
            </w:pPr>
            <w:r w:rsidRPr="0091450A">
              <w:rPr>
                <w:sz w:val="16"/>
                <w:szCs w:val="16"/>
              </w:rPr>
              <w:t>Aug 2016: Sodium targets reset, and sugar target set</w:t>
            </w:r>
          </w:p>
          <w:p w14:paraId="69E4AEA1" w14:textId="77777777" w:rsidR="006E41E5" w:rsidRDefault="006E41E5" w:rsidP="006E41E5">
            <w:pPr>
              <w:spacing w:afterLines="40" w:after="96"/>
              <w:rPr>
                <w:sz w:val="23"/>
              </w:rPr>
            </w:pPr>
          </w:p>
        </w:tc>
      </w:tr>
      <w:tr w:rsidR="006E41E5" w14:paraId="5EDBF43B" w14:textId="77777777" w:rsidTr="0033074A">
        <w:tc>
          <w:tcPr>
            <w:tcW w:w="1555" w:type="dxa"/>
          </w:tcPr>
          <w:p w14:paraId="1D432725" w14:textId="77777777" w:rsidR="006E41E5" w:rsidRPr="0091450A" w:rsidRDefault="006E41E5" w:rsidP="006E41E5">
            <w:pPr>
              <w:rPr>
                <w:b/>
                <w:sz w:val="16"/>
                <w:szCs w:val="16"/>
              </w:rPr>
            </w:pPr>
            <w:r w:rsidRPr="0091450A">
              <w:rPr>
                <w:b/>
                <w:sz w:val="16"/>
                <w:szCs w:val="16"/>
              </w:rPr>
              <w:t>Processed Meats</w:t>
            </w:r>
          </w:p>
          <w:p w14:paraId="34417E4C" w14:textId="77777777" w:rsidR="006E41E5" w:rsidRPr="0091450A" w:rsidRDefault="006E41E5" w:rsidP="006E41E5">
            <w:pPr>
              <w:rPr>
                <w:sz w:val="16"/>
                <w:szCs w:val="16"/>
              </w:rPr>
            </w:pPr>
            <w:r w:rsidRPr="0091450A">
              <w:rPr>
                <w:sz w:val="16"/>
                <w:szCs w:val="16"/>
              </w:rPr>
              <w:t>Sausages</w:t>
            </w:r>
          </w:p>
          <w:p w14:paraId="4F970ADE" w14:textId="77777777" w:rsidR="006E41E5" w:rsidRPr="0091450A" w:rsidRDefault="006E41E5" w:rsidP="006E41E5">
            <w:pPr>
              <w:rPr>
                <w:sz w:val="16"/>
                <w:szCs w:val="16"/>
              </w:rPr>
            </w:pPr>
            <w:r w:rsidRPr="0091450A">
              <w:rPr>
                <w:sz w:val="16"/>
                <w:szCs w:val="16"/>
              </w:rPr>
              <w:t>Bacon</w:t>
            </w:r>
          </w:p>
          <w:p w14:paraId="31CE941F" w14:textId="7088B7A5" w:rsidR="006E41E5" w:rsidRDefault="006E41E5" w:rsidP="006E41E5">
            <w:pPr>
              <w:spacing w:afterLines="40" w:after="96"/>
              <w:rPr>
                <w:sz w:val="23"/>
              </w:rPr>
            </w:pPr>
            <w:r w:rsidRPr="0091450A">
              <w:rPr>
                <w:sz w:val="16"/>
                <w:szCs w:val="16"/>
              </w:rPr>
              <w:t>Ham</w:t>
            </w:r>
          </w:p>
        </w:tc>
        <w:tc>
          <w:tcPr>
            <w:tcW w:w="1559" w:type="dxa"/>
          </w:tcPr>
          <w:p w14:paraId="47FA1C58" w14:textId="77777777" w:rsidR="006E41E5" w:rsidRPr="008254B9" w:rsidRDefault="006E41E5" w:rsidP="006E41E5">
            <w:pPr>
              <w:rPr>
                <w:b/>
                <w:sz w:val="16"/>
                <w:szCs w:val="16"/>
                <w:lang w:val="de-DE"/>
              </w:rPr>
            </w:pPr>
            <w:r w:rsidRPr="008254B9">
              <w:rPr>
                <w:b/>
                <w:sz w:val="16"/>
                <w:szCs w:val="16"/>
                <w:lang w:val="de-DE"/>
              </w:rPr>
              <w:t xml:space="preserve">Sodium </w:t>
            </w:r>
          </w:p>
          <w:p w14:paraId="611E28EB" w14:textId="77777777" w:rsidR="006E41E5" w:rsidRPr="008254B9" w:rsidRDefault="006E41E5" w:rsidP="006E41E5">
            <w:pPr>
              <w:rPr>
                <w:sz w:val="16"/>
                <w:szCs w:val="16"/>
                <w:lang w:val="de-DE"/>
              </w:rPr>
            </w:pPr>
            <w:r w:rsidRPr="008254B9">
              <w:rPr>
                <w:sz w:val="16"/>
                <w:szCs w:val="16"/>
                <w:lang w:val="de-DE"/>
              </w:rPr>
              <w:t>650mg/100g</w:t>
            </w:r>
          </w:p>
          <w:p w14:paraId="5D14AE1D" w14:textId="77777777" w:rsidR="006E41E5" w:rsidRPr="008254B9" w:rsidRDefault="006E41E5" w:rsidP="006E41E5">
            <w:pPr>
              <w:rPr>
                <w:sz w:val="16"/>
                <w:szCs w:val="16"/>
                <w:lang w:val="de-DE"/>
              </w:rPr>
            </w:pPr>
            <w:r w:rsidRPr="008254B9">
              <w:rPr>
                <w:sz w:val="16"/>
                <w:szCs w:val="16"/>
                <w:lang w:val="de-DE"/>
              </w:rPr>
              <w:t>1090mg/100g</w:t>
            </w:r>
          </w:p>
          <w:p w14:paraId="5D154679" w14:textId="7D687A34" w:rsidR="006E41E5" w:rsidRPr="008254B9" w:rsidRDefault="006E41E5" w:rsidP="006E41E5">
            <w:pPr>
              <w:spacing w:afterLines="40" w:after="96"/>
              <w:rPr>
                <w:sz w:val="23"/>
                <w:lang w:val="de-DE"/>
              </w:rPr>
            </w:pPr>
            <w:r w:rsidRPr="008254B9">
              <w:rPr>
                <w:sz w:val="16"/>
                <w:szCs w:val="16"/>
                <w:lang w:val="de-DE"/>
              </w:rPr>
              <w:t>1090mg/100g</w:t>
            </w:r>
          </w:p>
        </w:tc>
        <w:tc>
          <w:tcPr>
            <w:tcW w:w="1701" w:type="dxa"/>
          </w:tcPr>
          <w:p w14:paraId="2C251DC5" w14:textId="77777777" w:rsidR="006E41E5" w:rsidRPr="008254B9" w:rsidRDefault="006E41E5" w:rsidP="006E41E5">
            <w:pPr>
              <w:rPr>
                <w:sz w:val="16"/>
                <w:szCs w:val="16"/>
                <w:lang w:val="de-DE"/>
              </w:rPr>
            </w:pPr>
          </w:p>
          <w:p w14:paraId="26F3D23A" w14:textId="77777777" w:rsidR="006E41E5" w:rsidRPr="0091450A" w:rsidRDefault="006E41E5" w:rsidP="006E41E5">
            <w:pPr>
              <w:rPr>
                <w:sz w:val="16"/>
                <w:szCs w:val="16"/>
              </w:rPr>
            </w:pPr>
            <w:r w:rsidRPr="0091450A">
              <w:rPr>
                <w:sz w:val="16"/>
                <w:szCs w:val="16"/>
              </w:rPr>
              <w:t>Targets reset December 2015;</w:t>
            </w:r>
          </w:p>
          <w:p w14:paraId="143D684D" w14:textId="72D4D5BB" w:rsidR="006E41E5" w:rsidRDefault="006E41E5" w:rsidP="006E41E5">
            <w:pPr>
              <w:spacing w:afterLines="40" w:after="96"/>
              <w:rPr>
                <w:sz w:val="23"/>
              </w:rPr>
            </w:pPr>
            <w:r w:rsidRPr="0091450A">
              <w:rPr>
                <w:sz w:val="16"/>
                <w:szCs w:val="16"/>
              </w:rPr>
              <w:t>target review December 2020</w:t>
            </w:r>
          </w:p>
        </w:tc>
        <w:tc>
          <w:tcPr>
            <w:tcW w:w="4201" w:type="dxa"/>
          </w:tcPr>
          <w:p w14:paraId="6A185EE4" w14:textId="77777777" w:rsidR="006E41E5" w:rsidRPr="0091450A" w:rsidRDefault="006E41E5" w:rsidP="006E41E5">
            <w:pPr>
              <w:rPr>
                <w:sz w:val="16"/>
                <w:szCs w:val="16"/>
              </w:rPr>
            </w:pPr>
            <w:r w:rsidRPr="0091450A">
              <w:rPr>
                <w:sz w:val="16"/>
                <w:szCs w:val="16"/>
              </w:rPr>
              <w:t>2011: Targets set</w:t>
            </w:r>
          </w:p>
          <w:p w14:paraId="43FD49B0" w14:textId="77777777" w:rsidR="006E41E5" w:rsidRPr="0091450A" w:rsidRDefault="006E41E5" w:rsidP="006E41E5">
            <w:pPr>
              <w:rPr>
                <w:sz w:val="16"/>
                <w:szCs w:val="16"/>
              </w:rPr>
            </w:pPr>
          </w:p>
          <w:p w14:paraId="6700BE40" w14:textId="77777777" w:rsidR="006E41E5" w:rsidRPr="0091450A" w:rsidRDefault="006E41E5" w:rsidP="006E41E5">
            <w:pPr>
              <w:rPr>
                <w:sz w:val="16"/>
                <w:szCs w:val="16"/>
              </w:rPr>
            </w:pPr>
            <w:r w:rsidRPr="0091450A">
              <w:rPr>
                <w:sz w:val="16"/>
                <w:szCs w:val="16"/>
              </w:rPr>
              <w:t>2015 review: over 80% market share of sausages met 800mg/100g (2011 target).</w:t>
            </w:r>
          </w:p>
          <w:p w14:paraId="228F8ADF" w14:textId="77777777" w:rsidR="006E41E5" w:rsidRPr="0091450A" w:rsidRDefault="006E41E5" w:rsidP="006E41E5">
            <w:pPr>
              <w:rPr>
                <w:sz w:val="16"/>
                <w:szCs w:val="16"/>
              </w:rPr>
            </w:pPr>
          </w:p>
          <w:p w14:paraId="77CF5CE2" w14:textId="77777777" w:rsidR="006E41E5" w:rsidRPr="0091450A" w:rsidRDefault="006E41E5" w:rsidP="006E41E5">
            <w:pPr>
              <w:rPr>
                <w:sz w:val="16"/>
                <w:szCs w:val="16"/>
              </w:rPr>
            </w:pPr>
            <w:r w:rsidRPr="0091450A">
              <w:rPr>
                <w:sz w:val="16"/>
                <w:szCs w:val="16"/>
              </w:rPr>
              <w:t xml:space="preserve">Over 1 year (2015-2016) two manufacturers, reduced the average sodium levels by 12% across 30 products. This is equivalent to over 13 tonnes of salt per annum removed. </w:t>
            </w:r>
          </w:p>
          <w:p w14:paraId="692B3C11" w14:textId="77777777" w:rsidR="006E41E5" w:rsidRPr="0091450A" w:rsidRDefault="006E41E5" w:rsidP="006E41E5">
            <w:pPr>
              <w:rPr>
                <w:sz w:val="16"/>
                <w:szCs w:val="16"/>
              </w:rPr>
            </w:pPr>
          </w:p>
          <w:p w14:paraId="3AAC3CA8" w14:textId="77777777" w:rsidR="006E41E5" w:rsidRPr="0091450A" w:rsidRDefault="006E41E5" w:rsidP="006E41E5">
            <w:pPr>
              <w:rPr>
                <w:sz w:val="16"/>
                <w:szCs w:val="16"/>
              </w:rPr>
            </w:pPr>
            <w:r w:rsidRPr="0091450A">
              <w:rPr>
                <w:sz w:val="16"/>
                <w:szCs w:val="16"/>
              </w:rPr>
              <w:t>Over 50 tonnes of salt per annum</w:t>
            </w:r>
            <w:r>
              <w:rPr>
                <w:sz w:val="16"/>
                <w:szCs w:val="16"/>
              </w:rPr>
              <w:t xml:space="preserve"> </w:t>
            </w:r>
            <w:r w:rsidRPr="0091450A">
              <w:rPr>
                <w:sz w:val="16"/>
                <w:szCs w:val="16"/>
              </w:rPr>
              <w:t>removed from this category (2011-2016)</w:t>
            </w:r>
          </w:p>
          <w:p w14:paraId="12D70B5F" w14:textId="77777777" w:rsidR="006E41E5" w:rsidRDefault="006E41E5" w:rsidP="006E41E5">
            <w:pPr>
              <w:spacing w:afterLines="40" w:after="96"/>
              <w:rPr>
                <w:sz w:val="23"/>
              </w:rPr>
            </w:pPr>
          </w:p>
        </w:tc>
      </w:tr>
      <w:tr w:rsidR="006E41E5" w14:paraId="3B21277E" w14:textId="77777777" w:rsidTr="0033074A">
        <w:tc>
          <w:tcPr>
            <w:tcW w:w="1555" w:type="dxa"/>
          </w:tcPr>
          <w:p w14:paraId="7C9FC2C2" w14:textId="77777777" w:rsidR="006E41E5" w:rsidRPr="0091450A" w:rsidRDefault="006E41E5" w:rsidP="006E41E5">
            <w:pPr>
              <w:rPr>
                <w:b/>
                <w:sz w:val="16"/>
                <w:szCs w:val="16"/>
              </w:rPr>
            </w:pPr>
            <w:r w:rsidRPr="0091450A">
              <w:rPr>
                <w:b/>
                <w:sz w:val="16"/>
                <w:szCs w:val="16"/>
              </w:rPr>
              <w:t>Savoury Pies</w:t>
            </w:r>
          </w:p>
          <w:p w14:paraId="17FF827E" w14:textId="77777777" w:rsidR="006E41E5" w:rsidRPr="0091450A" w:rsidRDefault="006E41E5" w:rsidP="006E41E5">
            <w:pPr>
              <w:rPr>
                <w:sz w:val="16"/>
                <w:szCs w:val="16"/>
              </w:rPr>
            </w:pPr>
            <w:r w:rsidRPr="0091450A">
              <w:rPr>
                <w:sz w:val="16"/>
                <w:szCs w:val="16"/>
              </w:rPr>
              <w:t>Mince/Steak</w:t>
            </w:r>
          </w:p>
          <w:p w14:paraId="403DD28C" w14:textId="77777777" w:rsidR="006E41E5" w:rsidRPr="0091450A" w:rsidRDefault="006E41E5" w:rsidP="006E41E5">
            <w:pPr>
              <w:rPr>
                <w:sz w:val="16"/>
                <w:szCs w:val="16"/>
              </w:rPr>
            </w:pPr>
          </w:p>
          <w:p w14:paraId="1EC3163C" w14:textId="77777777" w:rsidR="006E41E5" w:rsidRPr="0091450A" w:rsidRDefault="006E41E5" w:rsidP="006E41E5">
            <w:pPr>
              <w:rPr>
                <w:sz w:val="16"/>
                <w:szCs w:val="16"/>
              </w:rPr>
            </w:pPr>
          </w:p>
          <w:p w14:paraId="3D38B950" w14:textId="77777777" w:rsidR="006E41E5" w:rsidRPr="0091450A" w:rsidRDefault="006E41E5" w:rsidP="006E41E5">
            <w:pPr>
              <w:rPr>
                <w:sz w:val="16"/>
                <w:szCs w:val="16"/>
              </w:rPr>
            </w:pPr>
          </w:p>
          <w:p w14:paraId="2B664CAE" w14:textId="442A10C6" w:rsidR="006E41E5" w:rsidRDefault="006E41E5" w:rsidP="006E41E5">
            <w:pPr>
              <w:spacing w:afterLines="40" w:after="96"/>
              <w:rPr>
                <w:sz w:val="23"/>
              </w:rPr>
            </w:pPr>
            <w:r w:rsidRPr="0091450A">
              <w:rPr>
                <w:sz w:val="16"/>
                <w:szCs w:val="16"/>
              </w:rPr>
              <w:t>Mince &amp; cheese/steak &amp; cheese</w:t>
            </w:r>
          </w:p>
        </w:tc>
        <w:tc>
          <w:tcPr>
            <w:tcW w:w="1559" w:type="dxa"/>
          </w:tcPr>
          <w:p w14:paraId="1CD24630" w14:textId="77777777" w:rsidR="006E41E5" w:rsidRPr="0091450A" w:rsidRDefault="006E41E5" w:rsidP="006E41E5">
            <w:pPr>
              <w:rPr>
                <w:b/>
                <w:sz w:val="16"/>
                <w:szCs w:val="16"/>
              </w:rPr>
            </w:pPr>
            <w:r w:rsidRPr="0091450A">
              <w:rPr>
                <w:b/>
                <w:sz w:val="16"/>
                <w:szCs w:val="16"/>
              </w:rPr>
              <w:t xml:space="preserve">Sodium </w:t>
            </w:r>
          </w:p>
          <w:p w14:paraId="49DB5323" w14:textId="77777777" w:rsidR="006E41E5" w:rsidRPr="0091450A" w:rsidRDefault="006E41E5" w:rsidP="006E41E5">
            <w:pPr>
              <w:rPr>
                <w:sz w:val="16"/>
                <w:szCs w:val="16"/>
              </w:rPr>
            </w:pPr>
            <w:r w:rsidRPr="0091450A">
              <w:rPr>
                <w:sz w:val="16"/>
                <w:szCs w:val="16"/>
              </w:rPr>
              <w:t>400mg/100g</w:t>
            </w:r>
          </w:p>
          <w:p w14:paraId="7E114C4A" w14:textId="77777777" w:rsidR="006E41E5" w:rsidRPr="0091450A" w:rsidRDefault="006E41E5" w:rsidP="006E41E5">
            <w:pPr>
              <w:rPr>
                <w:b/>
                <w:sz w:val="16"/>
                <w:szCs w:val="16"/>
              </w:rPr>
            </w:pPr>
            <w:r w:rsidRPr="0091450A">
              <w:rPr>
                <w:b/>
                <w:sz w:val="16"/>
                <w:szCs w:val="16"/>
              </w:rPr>
              <w:t xml:space="preserve">Saturated fat </w:t>
            </w:r>
          </w:p>
          <w:p w14:paraId="78A8A645" w14:textId="77777777" w:rsidR="006E41E5" w:rsidRPr="0091450A" w:rsidRDefault="006E41E5" w:rsidP="006E41E5">
            <w:pPr>
              <w:rPr>
                <w:sz w:val="16"/>
                <w:szCs w:val="16"/>
              </w:rPr>
            </w:pPr>
            <w:r w:rsidRPr="0091450A">
              <w:rPr>
                <w:sz w:val="16"/>
                <w:szCs w:val="16"/>
              </w:rPr>
              <w:t>5g/100g</w:t>
            </w:r>
          </w:p>
          <w:p w14:paraId="78FF9AC7" w14:textId="77777777" w:rsidR="006E41E5" w:rsidRPr="0091450A" w:rsidRDefault="006E41E5" w:rsidP="006E41E5">
            <w:pPr>
              <w:rPr>
                <w:b/>
                <w:sz w:val="16"/>
                <w:szCs w:val="16"/>
              </w:rPr>
            </w:pPr>
          </w:p>
          <w:p w14:paraId="00E1ABEC" w14:textId="77777777" w:rsidR="006E41E5" w:rsidRPr="0091450A" w:rsidRDefault="006E41E5" w:rsidP="006E41E5">
            <w:pPr>
              <w:rPr>
                <w:b/>
                <w:sz w:val="16"/>
                <w:szCs w:val="16"/>
              </w:rPr>
            </w:pPr>
            <w:r w:rsidRPr="0091450A">
              <w:rPr>
                <w:b/>
                <w:sz w:val="16"/>
                <w:szCs w:val="16"/>
              </w:rPr>
              <w:t xml:space="preserve">Sodium </w:t>
            </w:r>
          </w:p>
          <w:p w14:paraId="6C8D384D" w14:textId="77777777" w:rsidR="006E41E5" w:rsidRPr="0091450A" w:rsidRDefault="006E41E5" w:rsidP="006E41E5">
            <w:pPr>
              <w:rPr>
                <w:sz w:val="16"/>
                <w:szCs w:val="16"/>
              </w:rPr>
            </w:pPr>
            <w:r w:rsidRPr="0091450A">
              <w:rPr>
                <w:sz w:val="16"/>
                <w:szCs w:val="16"/>
              </w:rPr>
              <w:t>400mg/100g</w:t>
            </w:r>
          </w:p>
          <w:p w14:paraId="00B5CB54" w14:textId="77777777" w:rsidR="006E41E5" w:rsidRPr="0091450A" w:rsidRDefault="006E41E5" w:rsidP="006E41E5">
            <w:pPr>
              <w:rPr>
                <w:b/>
                <w:sz w:val="16"/>
                <w:szCs w:val="16"/>
              </w:rPr>
            </w:pPr>
            <w:r w:rsidRPr="0091450A">
              <w:rPr>
                <w:b/>
                <w:sz w:val="16"/>
                <w:szCs w:val="16"/>
              </w:rPr>
              <w:t xml:space="preserve">Saturated fat </w:t>
            </w:r>
          </w:p>
          <w:p w14:paraId="0E9879C5" w14:textId="5945FD00" w:rsidR="006E41E5" w:rsidRDefault="006E41E5" w:rsidP="006E41E5">
            <w:pPr>
              <w:spacing w:afterLines="40" w:after="96"/>
              <w:rPr>
                <w:sz w:val="23"/>
              </w:rPr>
            </w:pPr>
            <w:r w:rsidRPr="0091450A">
              <w:rPr>
                <w:sz w:val="16"/>
                <w:szCs w:val="16"/>
              </w:rPr>
              <w:t>7g/100g</w:t>
            </w:r>
          </w:p>
        </w:tc>
        <w:tc>
          <w:tcPr>
            <w:tcW w:w="1701" w:type="dxa"/>
          </w:tcPr>
          <w:p w14:paraId="6D07DEA3" w14:textId="77777777" w:rsidR="006E41E5" w:rsidRPr="0091450A" w:rsidRDefault="006E41E5" w:rsidP="006E41E5">
            <w:pPr>
              <w:rPr>
                <w:sz w:val="16"/>
                <w:szCs w:val="16"/>
              </w:rPr>
            </w:pPr>
          </w:p>
          <w:p w14:paraId="61F4FF42" w14:textId="77777777" w:rsidR="006E41E5" w:rsidRPr="0091450A" w:rsidRDefault="006E41E5" w:rsidP="006E41E5">
            <w:pPr>
              <w:rPr>
                <w:sz w:val="16"/>
                <w:szCs w:val="16"/>
                <w:highlight w:val="yellow"/>
              </w:rPr>
            </w:pPr>
            <w:r w:rsidRPr="0091450A">
              <w:rPr>
                <w:sz w:val="16"/>
                <w:szCs w:val="16"/>
              </w:rPr>
              <w:t>Targets set 2012</w:t>
            </w:r>
          </w:p>
          <w:p w14:paraId="0EF1847C" w14:textId="77777777" w:rsidR="006E41E5" w:rsidRPr="0091450A" w:rsidRDefault="006E41E5" w:rsidP="006E41E5">
            <w:pPr>
              <w:rPr>
                <w:sz w:val="16"/>
                <w:szCs w:val="16"/>
              </w:rPr>
            </w:pPr>
          </w:p>
          <w:p w14:paraId="62744609" w14:textId="77777777" w:rsidR="006E41E5" w:rsidRPr="0091450A" w:rsidRDefault="006E41E5" w:rsidP="006E41E5">
            <w:pPr>
              <w:rPr>
                <w:sz w:val="16"/>
                <w:szCs w:val="16"/>
              </w:rPr>
            </w:pPr>
          </w:p>
          <w:p w14:paraId="21AFC1EE" w14:textId="77777777" w:rsidR="006E41E5" w:rsidRPr="0091450A" w:rsidRDefault="006E41E5" w:rsidP="006E41E5">
            <w:pPr>
              <w:rPr>
                <w:sz w:val="16"/>
                <w:szCs w:val="16"/>
              </w:rPr>
            </w:pPr>
          </w:p>
          <w:p w14:paraId="6EAF8832" w14:textId="77777777" w:rsidR="006E41E5" w:rsidRPr="0091450A" w:rsidRDefault="006E41E5" w:rsidP="006E41E5">
            <w:pPr>
              <w:rPr>
                <w:sz w:val="16"/>
                <w:szCs w:val="16"/>
              </w:rPr>
            </w:pPr>
            <w:r w:rsidRPr="0091450A">
              <w:rPr>
                <w:sz w:val="16"/>
                <w:szCs w:val="16"/>
              </w:rPr>
              <w:t>Targets set 2012</w:t>
            </w:r>
          </w:p>
          <w:p w14:paraId="0A8423C8" w14:textId="77777777" w:rsidR="006E41E5" w:rsidRDefault="006E41E5" w:rsidP="006E41E5">
            <w:pPr>
              <w:spacing w:afterLines="40" w:after="96"/>
              <w:rPr>
                <w:sz w:val="23"/>
              </w:rPr>
            </w:pPr>
          </w:p>
        </w:tc>
        <w:tc>
          <w:tcPr>
            <w:tcW w:w="4201" w:type="dxa"/>
          </w:tcPr>
          <w:p w14:paraId="5F08E3F8" w14:textId="77777777" w:rsidR="006E41E5" w:rsidRPr="0091450A" w:rsidRDefault="006E41E5" w:rsidP="006E41E5">
            <w:pPr>
              <w:rPr>
                <w:sz w:val="16"/>
                <w:szCs w:val="16"/>
              </w:rPr>
            </w:pPr>
            <w:r w:rsidRPr="0091450A">
              <w:rPr>
                <w:sz w:val="16"/>
                <w:szCs w:val="16"/>
              </w:rPr>
              <w:t xml:space="preserve">Over 10 tonnes of salt per annum removed from this category since target set 2012.  </w:t>
            </w:r>
          </w:p>
          <w:p w14:paraId="0A5D5F64" w14:textId="77777777" w:rsidR="006E41E5" w:rsidRDefault="006E41E5" w:rsidP="006E41E5">
            <w:pPr>
              <w:spacing w:afterLines="40" w:after="96"/>
              <w:rPr>
                <w:sz w:val="23"/>
              </w:rPr>
            </w:pPr>
          </w:p>
        </w:tc>
      </w:tr>
      <w:tr w:rsidR="006E41E5" w14:paraId="0B594201" w14:textId="77777777" w:rsidTr="0033074A">
        <w:tc>
          <w:tcPr>
            <w:tcW w:w="1555" w:type="dxa"/>
          </w:tcPr>
          <w:p w14:paraId="731E7A08" w14:textId="77777777" w:rsidR="006E41E5" w:rsidRPr="0091450A" w:rsidRDefault="006E41E5" w:rsidP="006E41E5">
            <w:pPr>
              <w:rPr>
                <w:b/>
                <w:sz w:val="16"/>
                <w:szCs w:val="16"/>
              </w:rPr>
            </w:pPr>
            <w:r w:rsidRPr="0091450A">
              <w:rPr>
                <w:b/>
                <w:sz w:val="16"/>
                <w:szCs w:val="16"/>
              </w:rPr>
              <w:t>Soups</w:t>
            </w:r>
          </w:p>
          <w:p w14:paraId="218C4725" w14:textId="733C760C" w:rsidR="006E41E5" w:rsidRDefault="006E41E5" w:rsidP="006E41E5">
            <w:pPr>
              <w:spacing w:afterLines="40" w:after="96"/>
              <w:rPr>
                <w:sz w:val="23"/>
              </w:rPr>
            </w:pPr>
            <w:r w:rsidRPr="0091450A">
              <w:rPr>
                <w:sz w:val="16"/>
                <w:szCs w:val="16"/>
              </w:rPr>
              <w:t>All soups</w:t>
            </w:r>
          </w:p>
        </w:tc>
        <w:tc>
          <w:tcPr>
            <w:tcW w:w="1559" w:type="dxa"/>
          </w:tcPr>
          <w:p w14:paraId="71898EFC" w14:textId="77777777" w:rsidR="006E41E5" w:rsidRPr="0091450A" w:rsidRDefault="006E41E5" w:rsidP="006E41E5">
            <w:pPr>
              <w:rPr>
                <w:b/>
                <w:sz w:val="16"/>
                <w:szCs w:val="16"/>
              </w:rPr>
            </w:pPr>
            <w:r w:rsidRPr="0091450A">
              <w:rPr>
                <w:b/>
                <w:sz w:val="16"/>
                <w:szCs w:val="16"/>
              </w:rPr>
              <w:t xml:space="preserve">Sodium </w:t>
            </w:r>
          </w:p>
          <w:p w14:paraId="453F57A7" w14:textId="77777777" w:rsidR="006E41E5" w:rsidRPr="0091450A" w:rsidRDefault="006E41E5" w:rsidP="006E41E5">
            <w:pPr>
              <w:rPr>
                <w:sz w:val="16"/>
                <w:szCs w:val="16"/>
              </w:rPr>
            </w:pPr>
            <w:r w:rsidRPr="0091450A">
              <w:rPr>
                <w:sz w:val="16"/>
                <w:szCs w:val="16"/>
              </w:rPr>
              <w:t xml:space="preserve">280mg/100g (maximum) or 20% reduction for products significantly over </w:t>
            </w:r>
          </w:p>
          <w:p w14:paraId="1D921A7B" w14:textId="2A12701F" w:rsidR="006E41E5" w:rsidRDefault="006E41E5" w:rsidP="006E41E5">
            <w:pPr>
              <w:spacing w:afterLines="40" w:after="96"/>
              <w:rPr>
                <w:sz w:val="23"/>
              </w:rPr>
            </w:pPr>
            <w:r w:rsidRPr="0091450A">
              <w:rPr>
                <w:sz w:val="16"/>
                <w:szCs w:val="16"/>
              </w:rPr>
              <w:t xml:space="preserve">280mg/100g </w:t>
            </w:r>
          </w:p>
        </w:tc>
        <w:tc>
          <w:tcPr>
            <w:tcW w:w="1701" w:type="dxa"/>
          </w:tcPr>
          <w:p w14:paraId="20640F8F" w14:textId="77777777" w:rsidR="006E41E5" w:rsidRPr="0091450A" w:rsidRDefault="006E41E5" w:rsidP="006E41E5">
            <w:pPr>
              <w:rPr>
                <w:sz w:val="16"/>
                <w:szCs w:val="16"/>
              </w:rPr>
            </w:pPr>
          </w:p>
          <w:p w14:paraId="39B5A090" w14:textId="77777777" w:rsidR="006E41E5" w:rsidRPr="0091450A" w:rsidRDefault="006E41E5" w:rsidP="006E41E5">
            <w:pPr>
              <w:rPr>
                <w:sz w:val="16"/>
                <w:szCs w:val="16"/>
              </w:rPr>
            </w:pPr>
            <w:r w:rsidRPr="0091450A">
              <w:rPr>
                <w:sz w:val="16"/>
                <w:szCs w:val="16"/>
              </w:rPr>
              <w:t xml:space="preserve">Targets reset 2017; </w:t>
            </w:r>
          </w:p>
          <w:p w14:paraId="090E9177" w14:textId="07DD9653" w:rsidR="006E41E5" w:rsidRDefault="006E41E5" w:rsidP="006E41E5">
            <w:pPr>
              <w:spacing w:afterLines="40" w:after="96"/>
              <w:rPr>
                <w:sz w:val="23"/>
              </w:rPr>
            </w:pPr>
            <w:r w:rsidRPr="0091450A">
              <w:rPr>
                <w:sz w:val="16"/>
                <w:szCs w:val="16"/>
              </w:rPr>
              <w:t>Target review August 2022.</w:t>
            </w:r>
          </w:p>
        </w:tc>
        <w:tc>
          <w:tcPr>
            <w:tcW w:w="4201" w:type="dxa"/>
          </w:tcPr>
          <w:p w14:paraId="0EEF3F3A" w14:textId="5ADC91BE" w:rsidR="006E41E5" w:rsidRDefault="006E41E5" w:rsidP="006E41E5">
            <w:pPr>
              <w:spacing w:afterLines="40" w:after="96"/>
              <w:rPr>
                <w:sz w:val="23"/>
              </w:rPr>
            </w:pPr>
            <w:r w:rsidRPr="0091450A">
              <w:rPr>
                <w:iCs/>
                <w:sz w:val="16"/>
                <w:szCs w:val="16"/>
              </w:rPr>
              <w:t>2016 review: 11% sodium reduction in</w:t>
            </w:r>
            <w:r>
              <w:rPr>
                <w:iCs/>
                <w:sz w:val="16"/>
                <w:szCs w:val="16"/>
              </w:rPr>
              <w:t xml:space="preserve"> </w:t>
            </w:r>
            <w:r w:rsidRPr="0091450A">
              <w:rPr>
                <w:iCs/>
                <w:sz w:val="16"/>
                <w:szCs w:val="16"/>
              </w:rPr>
              <w:t>matched reformulated pairs. 2.4 tonnes</w:t>
            </w:r>
            <w:r>
              <w:rPr>
                <w:iCs/>
                <w:sz w:val="16"/>
                <w:szCs w:val="16"/>
              </w:rPr>
              <w:t xml:space="preserve"> </w:t>
            </w:r>
            <w:r w:rsidRPr="0091450A">
              <w:rPr>
                <w:iCs/>
                <w:sz w:val="16"/>
                <w:szCs w:val="16"/>
              </w:rPr>
              <w:t>salt removed (2014-2016).</w:t>
            </w:r>
          </w:p>
        </w:tc>
      </w:tr>
      <w:tr w:rsidR="006E41E5" w14:paraId="40C3E8E1" w14:textId="77777777" w:rsidTr="0033074A">
        <w:tc>
          <w:tcPr>
            <w:tcW w:w="1555" w:type="dxa"/>
          </w:tcPr>
          <w:p w14:paraId="5AD00A93" w14:textId="77777777" w:rsidR="006E41E5" w:rsidRPr="008254B9" w:rsidRDefault="006E41E5" w:rsidP="006E41E5">
            <w:pPr>
              <w:rPr>
                <w:b/>
                <w:sz w:val="16"/>
                <w:szCs w:val="16"/>
                <w:lang w:val="it-IT"/>
              </w:rPr>
            </w:pPr>
            <w:r w:rsidRPr="008254B9">
              <w:rPr>
                <w:b/>
                <w:sz w:val="16"/>
                <w:szCs w:val="16"/>
                <w:lang w:val="it-IT"/>
              </w:rPr>
              <w:t>Cheese</w:t>
            </w:r>
          </w:p>
          <w:p w14:paraId="7A32A076" w14:textId="77777777" w:rsidR="006E41E5" w:rsidRPr="008254B9" w:rsidRDefault="006E41E5" w:rsidP="006E41E5">
            <w:pPr>
              <w:rPr>
                <w:sz w:val="16"/>
                <w:szCs w:val="16"/>
                <w:lang w:val="it-IT"/>
              </w:rPr>
            </w:pPr>
            <w:r w:rsidRPr="008254B9">
              <w:rPr>
                <w:sz w:val="16"/>
                <w:szCs w:val="16"/>
                <w:lang w:val="it-IT"/>
              </w:rPr>
              <w:t xml:space="preserve">Cheddar and Cheddar-style </w:t>
            </w:r>
          </w:p>
          <w:p w14:paraId="0342C0C3" w14:textId="77777777" w:rsidR="006E41E5" w:rsidRPr="008254B9" w:rsidRDefault="006E41E5" w:rsidP="006E41E5">
            <w:pPr>
              <w:rPr>
                <w:sz w:val="16"/>
                <w:szCs w:val="16"/>
                <w:lang w:val="it-IT"/>
              </w:rPr>
            </w:pPr>
            <w:r w:rsidRPr="008254B9">
              <w:rPr>
                <w:sz w:val="16"/>
                <w:szCs w:val="16"/>
                <w:lang w:val="it-IT"/>
              </w:rPr>
              <w:lastRenderedPageBreak/>
              <w:t>Mozzarella cheese</w:t>
            </w:r>
          </w:p>
          <w:p w14:paraId="1D6D146E" w14:textId="32E9AFEA" w:rsidR="006E41E5" w:rsidRDefault="006E41E5" w:rsidP="006E41E5">
            <w:pPr>
              <w:spacing w:afterLines="40" w:after="96"/>
              <w:rPr>
                <w:sz w:val="23"/>
              </w:rPr>
            </w:pPr>
            <w:r w:rsidRPr="0091450A">
              <w:rPr>
                <w:sz w:val="16"/>
                <w:szCs w:val="16"/>
              </w:rPr>
              <w:t>Processed cheese</w:t>
            </w:r>
          </w:p>
        </w:tc>
        <w:tc>
          <w:tcPr>
            <w:tcW w:w="1559" w:type="dxa"/>
          </w:tcPr>
          <w:p w14:paraId="4A0E6AE4" w14:textId="77777777" w:rsidR="006E41E5" w:rsidRPr="0091450A" w:rsidRDefault="006E41E5" w:rsidP="006E41E5">
            <w:pPr>
              <w:rPr>
                <w:sz w:val="16"/>
                <w:szCs w:val="16"/>
              </w:rPr>
            </w:pPr>
            <w:r w:rsidRPr="0091450A">
              <w:rPr>
                <w:b/>
                <w:sz w:val="16"/>
                <w:szCs w:val="16"/>
              </w:rPr>
              <w:lastRenderedPageBreak/>
              <w:t xml:space="preserve">Sodium </w:t>
            </w:r>
          </w:p>
          <w:p w14:paraId="2627973A" w14:textId="77777777" w:rsidR="006E41E5" w:rsidRPr="0091450A" w:rsidRDefault="006E41E5" w:rsidP="006E41E5">
            <w:pPr>
              <w:rPr>
                <w:sz w:val="16"/>
                <w:szCs w:val="16"/>
              </w:rPr>
            </w:pPr>
            <w:r w:rsidRPr="0091450A">
              <w:rPr>
                <w:sz w:val="16"/>
                <w:szCs w:val="16"/>
              </w:rPr>
              <w:t>710mg/100g</w:t>
            </w:r>
          </w:p>
          <w:p w14:paraId="57E16336" w14:textId="77777777" w:rsidR="006E41E5" w:rsidRPr="0091450A" w:rsidRDefault="006E41E5" w:rsidP="006E41E5">
            <w:pPr>
              <w:rPr>
                <w:sz w:val="16"/>
                <w:szCs w:val="16"/>
              </w:rPr>
            </w:pPr>
            <w:r w:rsidRPr="0091450A">
              <w:rPr>
                <w:sz w:val="16"/>
                <w:szCs w:val="16"/>
              </w:rPr>
              <w:t>550mg/100g</w:t>
            </w:r>
          </w:p>
          <w:p w14:paraId="7CB589B0" w14:textId="7CA7F1F8" w:rsidR="006E41E5" w:rsidRDefault="006E41E5" w:rsidP="006E41E5">
            <w:pPr>
              <w:spacing w:afterLines="40" w:after="96"/>
              <w:rPr>
                <w:sz w:val="23"/>
              </w:rPr>
            </w:pPr>
            <w:r w:rsidRPr="0091450A">
              <w:rPr>
                <w:sz w:val="16"/>
                <w:szCs w:val="16"/>
              </w:rPr>
              <w:lastRenderedPageBreak/>
              <w:t>1270mg/100g OR 10-15% ↓ in products significantly above 1270mg/100g</w:t>
            </w:r>
          </w:p>
        </w:tc>
        <w:tc>
          <w:tcPr>
            <w:tcW w:w="1701" w:type="dxa"/>
          </w:tcPr>
          <w:p w14:paraId="51FAB1C0" w14:textId="77777777" w:rsidR="006E41E5" w:rsidRPr="0091450A" w:rsidRDefault="006E41E5" w:rsidP="006E41E5">
            <w:pPr>
              <w:rPr>
                <w:sz w:val="16"/>
                <w:szCs w:val="16"/>
              </w:rPr>
            </w:pPr>
          </w:p>
          <w:p w14:paraId="5B701AF3" w14:textId="1981F9EE" w:rsidR="006E41E5" w:rsidRDefault="006E41E5" w:rsidP="006E41E5">
            <w:pPr>
              <w:spacing w:afterLines="40" w:after="96"/>
              <w:rPr>
                <w:sz w:val="23"/>
              </w:rPr>
            </w:pPr>
            <w:r w:rsidRPr="0091450A">
              <w:rPr>
                <w:sz w:val="16"/>
                <w:szCs w:val="16"/>
              </w:rPr>
              <w:t>Targets set 2014</w:t>
            </w:r>
          </w:p>
        </w:tc>
        <w:tc>
          <w:tcPr>
            <w:tcW w:w="4201" w:type="dxa"/>
          </w:tcPr>
          <w:p w14:paraId="76C6B969" w14:textId="2A5DD782" w:rsidR="006E41E5" w:rsidRDefault="006E41E5" w:rsidP="006E41E5">
            <w:pPr>
              <w:spacing w:afterLines="40" w:after="96"/>
              <w:rPr>
                <w:sz w:val="23"/>
              </w:rPr>
            </w:pPr>
            <w:r w:rsidRPr="0091450A">
              <w:rPr>
                <w:sz w:val="16"/>
                <w:szCs w:val="16"/>
              </w:rPr>
              <w:t>In progress</w:t>
            </w:r>
          </w:p>
        </w:tc>
      </w:tr>
      <w:tr w:rsidR="006E41E5" w14:paraId="6B0C3BCD" w14:textId="77777777" w:rsidTr="0033074A">
        <w:tc>
          <w:tcPr>
            <w:tcW w:w="1555" w:type="dxa"/>
          </w:tcPr>
          <w:p w14:paraId="6D216AF8" w14:textId="77777777" w:rsidR="006E41E5" w:rsidRPr="0091450A" w:rsidRDefault="006E41E5" w:rsidP="006E41E5">
            <w:pPr>
              <w:rPr>
                <w:b/>
                <w:sz w:val="16"/>
                <w:szCs w:val="16"/>
              </w:rPr>
            </w:pPr>
            <w:r w:rsidRPr="0091450A">
              <w:rPr>
                <w:b/>
                <w:sz w:val="16"/>
                <w:szCs w:val="16"/>
              </w:rPr>
              <w:t>Savoury snacks</w:t>
            </w:r>
          </w:p>
          <w:p w14:paraId="361196A5" w14:textId="77777777" w:rsidR="006E41E5" w:rsidRPr="0091450A" w:rsidRDefault="006E41E5" w:rsidP="006E41E5">
            <w:pPr>
              <w:rPr>
                <w:sz w:val="16"/>
                <w:szCs w:val="16"/>
              </w:rPr>
            </w:pPr>
            <w:r w:rsidRPr="0091450A">
              <w:rPr>
                <w:sz w:val="16"/>
                <w:szCs w:val="16"/>
              </w:rPr>
              <w:t>Potato chips</w:t>
            </w:r>
          </w:p>
          <w:p w14:paraId="5BCCF6CE" w14:textId="77777777" w:rsidR="006E41E5" w:rsidRPr="0091450A" w:rsidRDefault="006E41E5" w:rsidP="006E41E5">
            <w:pPr>
              <w:rPr>
                <w:sz w:val="16"/>
                <w:szCs w:val="16"/>
              </w:rPr>
            </w:pPr>
          </w:p>
          <w:p w14:paraId="612525E2" w14:textId="77777777" w:rsidR="006E41E5" w:rsidRPr="0091450A" w:rsidRDefault="006E41E5" w:rsidP="006E41E5">
            <w:pPr>
              <w:rPr>
                <w:sz w:val="16"/>
                <w:szCs w:val="16"/>
              </w:rPr>
            </w:pPr>
            <w:r w:rsidRPr="0091450A">
              <w:rPr>
                <w:sz w:val="16"/>
                <w:szCs w:val="16"/>
              </w:rPr>
              <w:t>Salt and vinegar snacks</w:t>
            </w:r>
          </w:p>
          <w:p w14:paraId="692B4244" w14:textId="77777777" w:rsidR="006E41E5" w:rsidRPr="0091450A" w:rsidRDefault="006E41E5" w:rsidP="006E41E5">
            <w:pPr>
              <w:rPr>
                <w:sz w:val="16"/>
                <w:szCs w:val="16"/>
              </w:rPr>
            </w:pPr>
          </w:p>
          <w:p w14:paraId="3B9A0B83" w14:textId="77777777" w:rsidR="006E41E5" w:rsidRPr="0091450A" w:rsidRDefault="006E41E5" w:rsidP="006E41E5">
            <w:pPr>
              <w:rPr>
                <w:sz w:val="16"/>
                <w:szCs w:val="16"/>
              </w:rPr>
            </w:pPr>
            <w:r w:rsidRPr="0091450A">
              <w:rPr>
                <w:sz w:val="16"/>
                <w:szCs w:val="16"/>
              </w:rPr>
              <w:t>Extruded snacks</w:t>
            </w:r>
          </w:p>
          <w:p w14:paraId="1FB86E25" w14:textId="77777777" w:rsidR="006E41E5" w:rsidRPr="0091450A" w:rsidRDefault="006E41E5" w:rsidP="006E41E5">
            <w:pPr>
              <w:rPr>
                <w:sz w:val="16"/>
                <w:szCs w:val="16"/>
              </w:rPr>
            </w:pPr>
          </w:p>
          <w:p w14:paraId="016634D9" w14:textId="77777777" w:rsidR="006E41E5" w:rsidRPr="0091450A" w:rsidRDefault="006E41E5" w:rsidP="006E41E5">
            <w:pPr>
              <w:rPr>
                <w:sz w:val="16"/>
                <w:szCs w:val="16"/>
              </w:rPr>
            </w:pPr>
            <w:r w:rsidRPr="0091450A">
              <w:rPr>
                <w:sz w:val="16"/>
                <w:szCs w:val="16"/>
              </w:rPr>
              <w:t>Corn (cereal based) snacks</w:t>
            </w:r>
          </w:p>
          <w:p w14:paraId="739EC694" w14:textId="77777777" w:rsidR="006E41E5" w:rsidRDefault="006E41E5" w:rsidP="006E41E5">
            <w:pPr>
              <w:spacing w:afterLines="40" w:after="96"/>
              <w:rPr>
                <w:sz w:val="23"/>
              </w:rPr>
            </w:pPr>
          </w:p>
        </w:tc>
        <w:tc>
          <w:tcPr>
            <w:tcW w:w="1559" w:type="dxa"/>
          </w:tcPr>
          <w:p w14:paraId="49060D2C" w14:textId="77777777" w:rsidR="006E41E5" w:rsidRPr="0091450A" w:rsidRDefault="006E41E5" w:rsidP="006E41E5">
            <w:pPr>
              <w:rPr>
                <w:b/>
                <w:sz w:val="16"/>
                <w:szCs w:val="16"/>
              </w:rPr>
            </w:pPr>
          </w:p>
          <w:p w14:paraId="08342E80" w14:textId="77777777" w:rsidR="006E41E5" w:rsidRPr="0091450A" w:rsidRDefault="006E41E5" w:rsidP="006E41E5">
            <w:pPr>
              <w:rPr>
                <w:b/>
                <w:sz w:val="16"/>
                <w:szCs w:val="16"/>
              </w:rPr>
            </w:pPr>
            <w:r w:rsidRPr="0091450A">
              <w:rPr>
                <w:b/>
                <w:sz w:val="16"/>
                <w:szCs w:val="16"/>
              </w:rPr>
              <w:t xml:space="preserve">Sodium </w:t>
            </w:r>
          </w:p>
          <w:p w14:paraId="54E89773" w14:textId="77777777" w:rsidR="006E41E5" w:rsidRPr="0091450A" w:rsidRDefault="006E41E5" w:rsidP="006E41E5">
            <w:pPr>
              <w:rPr>
                <w:sz w:val="16"/>
                <w:szCs w:val="16"/>
              </w:rPr>
            </w:pPr>
            <w:r w:rsidRPr="0091450A">
              <w:rPr>
                <w:sz w:val="16"/>
                <w:szCs w:val="16"/>
              </w:rPr>
              <w:t>550mg/100g (average)</w:t>
            </w:r>
          </w:p>
          <w:p w14:paraId="7A070465" w14:textId="77777777" w:rsidR="006E41E5" w:rsidRPr="0091450A" w:rsidRDefault="006E41E5" w:rsidP="006E41E5">
            <w:pPr>
              <w:rPr>
                <w:sz w:val="16"/>
                <w:szCs w:val="16"/>
              </w:rPr>
            </w:pPr>
            <w:r w:rsidRPr="0091450A">
              <w:rPr>
                <w:sz w:val="16"/>
                <w:szCs w:val="16"/>
              </w:rPr>
              <w:t>800mg/100g (maximum)</w:t>
            </w:r>
          </w:p>
          <w:p w14:paraId="7A408CED" w14:textId="77777777" w:rsidR="006E41E5" w:rsidRPr="0091450A" w:rsidRDefault="006E41E5" w:rsidP="006E41E5">
            <w:pPr>
              <w:rPr>
                <w:sz w:val="16"/>
                <w:szCs w:val="16"/>
              </w:rPr>
            </w:pPr>
            <w:r w:rsidRPr="0091450A">
              <w:rPr>
                <w:sz w:val="16"/>
                <w:szCs w:val="16"/>
              </w:rPr>
              <w:t>850mg/100g (average)</w:t>
            </w:r>
          </w:p>
          <w:p w14:paraId="196B5237" w14:textId="77777777" w:rsidR="006E41E5" w:rsidRPr="0091450A" w:rsidRDefault="006E41E5" w:rsidP="006E41E5">
            <w:pPr>
              <w:rPr>
                <w:sz w:val="16"/>
                <w:szCs w:val="16"/>
              </w:rPr>
            </w:pPr>
            <w:r w:rsidRPr="0091450A">
              <w:rPr>
                <w:sz w:val="16"/>
                <w:szCs w:val="16"/>
              </w:rPr>
              <w:t>1100mg/100g (maximum)</w:t>
            </w:r>
          </w:p>
          <w:p w14:paraId="453DD408" w14:textId="77777777" w:rsidR="006E41E5" w:rsidRPr="0091450A" w:rsidRDefault="006E41E5" w:rsidP="006E41E5">
            <w:pPr>
              <w:rPr>
                <w:sz w:val="16"/>
                <w:szCs w:val="16"/>
              </w:rPr>
            </w:pPr>
            <w:r w:rsidRPr="0091450A">
              <w:rPr>
                <w:sz w:val="16"/>
                <w:szCs w:val="16"/>
              </w:rPr>
              <w:t>950mg/100g (average)</w:t>
            </w:r>
          </w:p>
          <w:p w14:paraId="6FFC1EC1" w14:textId="77777777" w:rsidR="006E41E5" w:rsidRPr="0091450A" w:rsidRDefault="006E41E5" w:rsidP="006E41E5">
            <w:pPr>
              <w:rPr>
                <w:sz w:val="16"/>
                <w:szCs w:val="16"/>
              </w:rPr>
            </w:pPr>
            <w:r w:rsidRPr="0091450A">
              <w:rPr>
                <w:sz w:val="16"/>
                <w:szCs w:val="16"/>
              </w:rPr>
              <w:t>1250mg/100g (maximum)</w:t>
            </w:r>
          </w:p>
          <w:p w14:paraId="3634C8E0" w14:textId="77777777" w:rsidR="006E41E5" w:rsidRPr="0091450A" w:rsidRDefault="006E41E5" w:rsidP="006E41E5">
            <w:pPr>
              <w:rPr>
                <w:sz w:val="16"/>
                <w:szCs w:val="16"/>
              </w:rPr>
            </w:pPr>
            <w:r w:rsidRPr="0091450A">
              <w:rPr>
                <w:sz w:val="16"/>
                <w:szCs w:val="16"/>
              </w:rPr>
              <w:t>550mg/100g (average)</w:t>
            </w:r>
          </w:p>
          <w:p w14:paraId="2D350830" w14:textId="220B0F78" w:rsidR="006E41E5" w:rsidRDefault="006E41E5" w:rsidP="006E41E5">
            <w:pPr>
              <w:spacing w:afterLines="40" w:after="96"/>
              <w:rPr>
                <w:sz w:val="23"/>
              </w:rPr>
            </w:pPr>
            <w:r w:rsidRPr="0091450A">
              <w:rPr>
                <w:sz w:val="16"/>
                <w:szCs w:val="16"/>
              </w:rPr>
              <w:t xml:space="preserve">700mg/100g (maximum) </w:t>
            </w:r>
          </w:p>
        </w:tc>
        <w:tc>
          <w:tcPr>
            <w:tcW w:w="1701" w:type="dxa"/>
          </w:tcPr>
          <w:p w14:paraId="1D5D3D1F" w14:textId="77777777" w:rsidR="006E41E5" w:rsidRPr="0091450A" w:rsidRDefault="006E41E5" w:rsidP="006E41E5">
            <w:pPr>
              <w:rPr>
                <w:sz w:val="16"/>
                <w:szCs w:val="16"/>
              </w:rPr>
            </w:pPr>
          </w:p>
          <w:p w14:paraId="1CFE8F87" w14:textId="77777777" w:rsidR="006E41E5" w:rsidRPr="0091450A" w:rsidRDefault="006E41E5" w:rsidP="006E41E5">
            <w:pPr>
              <w:rPr>
                <w:sz w:val="16"/>
                <w:szCs w:val="16"/>
              </w:rPr>
            </w:pPr>
            <w:r w:rsidRPr="0091450A">
              <w:rPr>
                <w:sz w:val="16"/>
                <w:szCs w:val="16"/>
              </w:rPr>
              <w:t>Targets set 2014;</w:t>
            </w:r>
          </w:p>
          <w:p w14:paraId="6687ECFB" w14:textId="6CD4E989" w:rsidR="006E41E5" w:rsidRDefault="006E41E5" w:rsidP="006E41E5">
            <w:pPr>
              <w:spacing w:afterLines="40" w:after="96"/>
              <w:rPr>
                <w:sz w:val="23"/>
              </w:rPr>
            </w:pPr>
            <w:r w:rsidRPr="0091450A">
              <w:rPr>
                <w:sz w:val="16"/>
                <w:szCs w:val="16"/>
              </w:rPr>
              <w:t>target review in process</w:t>
            </w:r>
          </w:p>
        </w:tc>
        <w:tc>
          <w:tcPr>
            <w:tcW w:w="4201" w:type="dxa"/>
          </w:tcPr>
          <w:p w14:paraId="3F100F27" w14:textId="77777777" w:rsidR="006E41E5" w:rsidRPr="0091450A" w:rsidRDefault="006E41E5" w:rsidP="006E41E5">
            <w:pPr>
              <w:rPr>
                <w:sz w:val="16"/>
                <w:szCs w:val="16"/>
              </w:rPr>
            </w:pPr>
            <w:r w:rsidRPr="0091450A">
              <w:rPr>
                <w:sz w:val="16"/>
                <w:szCs w:val="16"/>
              </w:rPr>
              <w:t>2014: Average and maximum targets set.</w:t>
            </w:r>
          </w:p>
          <w:p w14:paraId="662211AC" w14:textId="77777777" w:rsidR="006E41E5" w:rsidRPr="0091450A" w:rsidRDefault="006E41E5" w:rsidP="006E41E5">
            <w:pPr>
              <w:rPr>
                <w:sz w:val="16"/>
                <w:szCs w:val="16"/>
              </w:rPr>
            </w:pPr>
          </w:p>
          <w:p w14:paraId="440CF0C4" w14:textId="77777777" w:rsidR="006E41E5" w:rsidRPr="0091450A" w:rsidRDefault="006E41E5" w:rsidP="006E41E5">
            <w:pPr>
              <w:rPr>
                <w:sz w:val="16"/>
                <w:szCs w:val="16"/>
              </w:rPr>
            </w:pPr>
            <w:r w:rsidRPr="0091450A">
              <w:rPr>
                <w:sz w:val="16"/>
                <w:szCs w:val="16"/>
              </w:rPr>
              <w:t xml:space="preserve">2018 review: Three categories had over 90% of their SKUs below the maximum sodium targets; the exception being extruded snacks </w:t>
            </w:r>
            <w:r>
              <w:rPr>
                <w:sz w:val="16"/>
                <w:szCs w:val="16"/>
              </w:rPr>
              <w:t>(</w:t>
            </w:r>
            <w:r w:rsidRPr="0091450A">
              <w:rPr>
                <w:sz w:val="16"/>
                <w:szCs w:val="16"/>
              </w:rPr>
              <w:t>81%). Based on the top selling SKUs (80% sales volume), the average sodium for each of the 4 categories met the average target. There has been between 10% and 32% reduction in the median sodium content for each of the four categories of snacks</w:t>
            </w:r>
            <w:r>
              <w:rPr>
                <w:sz w:val="16"/>
                <w:szCs w:val="16"/>
              </w:rPr>
              <w:t xml:space="preserve"> </w:t>
            </w:r>
            <w:r w:rsidRPr="0091450A">
              <w:rPr>
                <w:sz w:val="16"/>
                <w:szCs w:val="16"/>
              </w:rPr>
              <w:t>(April 2014 - April 2018). This considers product reformulation, product deletion and new product development. Based on sodium reduction in matched</w:t>
            </w:r>
            <w:r>
              <w:rPr>
                <w:sz w:val="16"/>
                <w:szCs w:val="16"/>
              </w:rPr>
              <w:t xml:space="preserve"> </w:t>
            </w:r>
            <w:r w:rsidRPr="0091450A">
              <w:rPr>
                <w:sz w:val="16"/>
                <w:szCs w:val="16"/>
              </w:rPr>
              <w:t xml:space="preserve">pairs of products, almost 11 tonnes of salt have been removed from </w:t>
            </w:r>
            <w:r>
              <w:rPr>
                <w:sz w:val="16"/>
                <w:szCs w:val="16"/>
              </w:rPr>
              <w:t>r</w:t>
            </w:r>
            <w:r w:rsidRPr="0091450A">
              <w:rPr>
                <w:sz w:val="16"/>
                <w:szCs w:val="16"/>
              </w:rPr>
              <w:t>eformulated snacks since 2014.</w:t>
            </w:r>
          </w:p>
          <w:p w14:paraId="3F7D5DA7" w14:textId="77777777" w:rsidR="006E41E5" w:rsidRPr="0091450A" w:rsidRDefault="006E41E5" w:rsidP="006E41E5">
            <w:pPr>
              <w:rPr>
                <w:sz w:val="16"/>
                <w:szCs w:val="16"/>
              </w:rPr>
            </w:pPr>
          </w:p>
          <w:p w14:paraId="477EB053" w14:textId="77777777" w:rsidR="006E41E5" w:rsidRPr="0091450A" w:rsidRDefault="006E41E5" w:rsidP="006E41E5">
            <w:pPr>
              <w:rPr>
                <w:sz w:val="16"/>
                <w:szCs w:val="16"/>
              </w:rPr>
            </w:pPr>
            <w:r w:rsidRPr="0091450A">
              <w:rPr>
                <w:sz w:val="16"/>
                <w:szCs w:val="16"/>
              </w:rPr>
              <w:t>2019: The reset sodium targets represent 26-38% reductions from the previous targets set in 2014.</w:t>
            </w:r>
          </w:p>
          <w:p w14:paraId="079B4755" w14:textId="77777777" w:rsidR="006E41E5" w:rsidRDefault="006E41E5" w:rsidP="006E41E5">
            <w:pPr>
              <w:spacing w:afterLines="40" w:after="96"/>
              <w:rPr>
                <w:sz w:val="23"/>
              </w:rPr>
            </w:pPr>
          </w:p>
        </w:tc>
      </w:tr>
      <w:tr w:rsidR="006E41E5" w14:paraId="61A52309" w14:textId="77777777" w:rsidTr="0033074A">
        <w:tc>
          <w:tcPr>
            <w:tcW w:w="1555" w:type="dxa"/>
          </w:tcPr>
          <w:p w14:paraId="623F4621" w14:textId="77777777" w:rsidR="006E41E5" w:rsidRPr="0091450A" w:rsidRDefault="006E41E5" w:rsidP="006E41E5">
            <w:pPr>
              <w:rPr>
                <w:b/>
                <w:sz w:val="16"/>
                <w:szCs w:val="16"/>
              </w:rPr>
            </w:pPr>
            <w:r w:rsidRPr="0091450A">
              <w:rPr>
                <w:b/>
                <w:sz w:val="16"/>
                <w:szCs w:val="16"/>
              </w:rPr>
              <w:t>Cooking Sauces</w:t>
            </w:r>
          </w:p>
          <w:p w14:paraId="307241FF" w14:textId="77777777" w:rsidR="006E41E5" w:rsidRPr="0091450A" w:rsidRDefault="006E41E5" w:rsidP="006E41E5">
            <w:pPr>
              <w:rPr>
                <w:sz w:val="16"/>
                <w:szCs w:val="16"/>
              </w:rPr>
            </w:pPr>
            <w:r w:rsidRPr="0091450A">
              <w:rPr>
                <w:sz w:val="16"/>
                <w:szCs w:val="16"/>
              </w:rPr>
              <w:t>Pasta, Indian-style and other sauces which are a major characterising component of a meal</w:t>
            </w:r>
          </w:p>
          <w:p w14:paraId="2A5A9D98" w14:textId="77777777" w:rsidR="006E41E5" w:rsidRPr="0091450A" w:rsidRDefault="006E41E5" w:rsidP="006E41E5">
            <w:pPr>
              <w:pStyle w:val="TableParagraph"/>
              <w:ind w:left="0" w:right="509"/>
              <w:rPr>
                <w:rFonts w:asciiTheme="minorHAnsi" w:hAnsiTheme="minorHAnsi"/>
                <w:sz w:val="16"/>
                <w:lang w:val="en-NZ"/>
              </w:rPr>
            </w:pPr>
          </w:p>
          <w:p w14:paraId="18854DB1" w14:textId="715C8E68" w:rsidR="006E41E5" w:rsidRDefault="006E41E5" w:rsidP="006E41E5">
            <w:pPr>
              <w:spacing w:afterLines="40" w:after="96"/>
              <w:rPr>
                <w:sz w:val="23"/>
              </w:rPr>
            </w:pPr>
            <w:r w:rsidRPr="0091450A">
              <w:rPr>
                <w:sz w:val="16"/>
              </w:rPr>
              <w:t>Asian sauces</w:t>
            </w:r>
          </w:p>
        </w:tc>
        <w:tc>
          <w:tcPr>
            <w:tcW w:w="1559" w:type="dxa"/>
          </w:tcPr>
          <w:p w14:paraId="06D022D9" w14:textId="77777777" w:rsidR="006E41E5" w:rsidRPr="0091450A" w:rsidRDefault="006E41E5" w:rsidP="006E41E5">
            <w:pPr>
              <w:rPr>
                <w:b/>
                <w:sz w:val="16"/>
                <w:szCs w:val="16"/>
              </w:rPr>
            </w:pPr>
            <w:r w:rsidRPr="0091450A">
              <w:rPr>
                <w:b/>
                <w:sz w:val="16"/>
                <w:szCs w:val="16"/>
              </w:rPr>
              <w:t xml:space="preserve">Sodium </w:t>
            </w:r>
          </w:p>
          <w:p w14:paraId="79D58411" w14:textId="77777777" w:rsidR="006E41E5" w:rsidRPr="0091450A" w:rsidRDefault="006E41E5" w:rsidP="006E41E5">
            <w:pPr>
              <w:rPr>
                <w:sz w:val="16"/>
                <w:szCs w:val="16"/>
              </w:rPr>
            </w:pPr>
            <w:r w:rsidRPr="0091450A">
              <w:rPr>
                <w:sz w:val="16"/>
                <w:szCs w:val="16"/>
              </w:rPr>
              <w:t>380mg/100g OR 15% reduction for products significantly above 380mg/100g100g</w:t>
            </w:r>
          </w:p>
          <w:p w14:paraId="0F388AF2" w14:textId="77777777" w:rsidR="006E41E5" w:rsidRPr="0091450A" w:rsidRDefault="006E41E5" w:rsidP="006E41E5">
            <w:pPr>
              <w:rPr>
                <w:sz w:val="16"/>
                <w:szCs w:val="16"/>
              </w:rPr>
            </w:pPr>
          </w:p>
          <w:p w14:paraId="073728AE" w14:textId="77777777" w:rsidR="006E41E5" w:rsidRPr="0091450A" w:rsidRDefault="006E41E5" w:rsidP="006E41E5">
            <w:pPr>
              <w:rPr>
                <w:b/>
                <w:sz w:val="16"/>
              </w:rPr>
            </w:pPr>
            <w:r w:rsidRPr="0091450A">
              <w:rPr>
                <w:b/>
                <w:sz w:val="16"/>
              </w:rPr>
              <w:t>Total Sugar</w:t>
            </w:r>
          </w:p>
          <w:p w14:paraId="6A20489E" w14:textId="77777777" w:rsidR="006E41E5" w:rsidRPr="0091450A" w:rsidRDefault="006E41E5" w:rsidP="006E41E5">
            <w:pPr>
              <w:rPr>
                <w:sz w:val="16"/>
                <w:szCs w:val="16"/>
              </w:rPr>
            </w:pPr>
            <w:r w:rsidRPr="0091450A">
              <w:rPr>
                <w:sz w:val="16"/>
                <w:szCs w:val="16"/>
              </w:rPr>
              <w:t>5g/100g OR 15% reduction for products significantly above 5g/100g</w:t>
            </w:r>
          </w:p>
          <w:p w14:paraId="738EB215" w14:textId="77777777" w:rsidR="006E41E5" w:rsidRPr="0091450A" w:rsidRDefault="006E41E5" w:rsidP="006E41E5">
            <w:pPr>
              <w:rPr>
                <w:sz w:val="16"/>
                <w:szCs w:val="16"/>
              </w:rPr>
            </w:pPr>
          </w:p>
          <w:p w14:paraId="4452C3EB" w14:textId="77777777" w:rsidR="006E41E5" w:rsidRPr="0091450A" w:rsidRDefault="006E41E5" w:rsidP="006E41E5">
            <w:pPr>
              <w:rPr>
                <w:b/>
                <w:sz w:val="16"/>
                <w:szCs w:val="16"/>
              </w:rPr>
            </w:pPr>
            <w:r w:rsidRPr="0091450A">
              <w:rPr>
                <w:b/>
                <w:sz w:val="16"/>
                <w:szCs w:val="16"/>
              </w:rPr>
              <w:t xml:space="preserve">Sodium </w:t>
            </w:r>
          </w:p>
          <w:p w14:paraId="3632E49D" w14:textId="77777777" w:rsidR="006E41E5" w:rsidRPr="0091450A" w:rsidRDefault="006E41E5" w:rsidP="006E41E5">
            <w:pPr>
              <w:rPr>
                <w:sz w:val="16"/>
                <w:szCs w:val="16"/>
              </w:rPr>
            </w:pPr>
            <w:r w:rsidRPr="0091450A">
              <w:rPr>
                <w:sz w:val="16"/>
                <w:szCs w:val="16"/>
              </w:rPr>
              <w:t>680mg/100g OR 15% reduction for products significantly above 680mg/100g</w:t>
            </w:r>
          </w:p>
          <w:p w14:paraId="5979377F" w14:textId="77777777" w:rsidR="006E41E5" w:rsidRPr="0091450A" w:rsidRDefault="006E41E5" w:rsidP="006E41E5">
            <w:pPr>
              <w:rPr>
                <w:sz w:val="16"/>
                <w:szCs w:val="16"/>
              </w:rPr>
            </w:pPr>
          </w:p>
          <w:p w14:paraId="1A52E286" w14:textId="77777777" w:rsidR="006E41E5" w:rsidRPr="0091450A" w:rsidRDefault="006E41E5" w:rsidP="006E41E5">
            <w:pPr>
              <w:rPr>
                <w:b/>
                <w:bCs/>
                <w:sz w:val="16"/>
                <w:szCs w:val="16"/>
              </w:rPr>
            </w:pPr>
            <w:r w:rsidRPr="0091450A">
              <w:rPr>
                <w:b/>
                <w:bCs/>
                <w:sz w:val="16"/>
                <w:szCs w:val="16"/>
              </w:rPr>
              <w:t>Total Sugar</w:t>
            </w:r>
          </w:p>
          <w:p w14:paraId="78C8EAEB" w14:textId="77777777" w:rsidR="006E41E5" w:rsidRPr="0091450A" w:rsidRDefault="006E41E5" w:rsidP="006E41E5">
            <w:pPr>
              <w:rPr>
                <w:sz w:val="16"/>
                <w:szCs w:val="16"/>
              </w:rPr>
            </w:pPr>
            <w:r w:rsidRPr="0091450A">
              <w:rPr>
                <w:sz w:val="16"/>
                <w:szCs w:val="16"/>
              </w:rPr>
              <w:t>20g/100g OR 15% reduction for products significantly above 20g/100g</w:t>
            </w:r>
          </w:p>
          <w:p w14:paraId="4D02450F" w14:textId="77777777" w:rsidR="006E41E5" w:rsidRDefault="006E41E5" w:rsidP="006E41E5">
            <w:pPr>
              <w:spacing w:afterLines="40" w:after="96"/>
              <w:rPr>
                <w:sz w:val="23"/>
              </w:rPr>
            </w:pPr>
          </w:p>
        </w:tc>
        <w:tc>
          <w:tcPr>
            <w:tcW w:w="1701" w:type="dxa"/>
          </w:tcPr>
          <w:p w14:paraId="4EE93B12" w14:textId="77777777" w:rsidR="006E41E5" w:rsidRPr="0091450A" w:rsidRDefault="006E41E5" w:rsidP="006E41E5">
            <w:pPr>
              <w:rPr>
                <w:sz w:val="16"/>
                <w:szCs w:val="16"/>
              </w:rPr>
            </w:pPr>
          </w:p>
          <w:p w14:paraId="648C0B90" w14:textId="77777777" w:rsidR="006E41E5" w:rsidRPr="0091450A" w:rsidRDefault="006E41E5" w:rsidP="006E41E5">
            <w:pPr>
              <w:rPr>
                <w:sz w:val="16"/>
                <w:szCs w:val="16"/>
              </w:rPr>
            </w:pPr>
            <w:r w:rsidRPr="0091450A">
              <w:rPr>
                <w:sz w:val="16"/>
                <w:szCs w:val="16"/>
              </w:rPr>
              <w:t>Targets reset 2018;</w:t>
            </w:r>
          </w:p>
          <w:p w14:paraId="6B202E68" w14:textId="6BA46DF9" w:rsidR="006E41E5" w:rsidRDefault="006E41E5" w:rsidP="006E41E5">
            <w:pPr>
              <w:spacing w:afterLines="40" w:after="96"/>
              <w:rPr>
                <w:sz w:val="23"/>
              </w:rPr>
            </w:pPr>
            <w:r w:rsidRPr="0091450A">
              <w:rPr>
                <w:sz w:val="16"/>
              </w:rPr>
              <w:t xml:space="preserve">target review June </w:t>
            </w:r>
            <w:r w:rsidRPr="0091450A">
              <w:rPr>
                <w:sz w:val="16"/>
                <w:szCs w:val="16"/>
              </w:rPr>
              <w:t>2023</w:t>
            </w:r>
          </w:p>
        </w:tc>
        <w:tc>
          <w:tcPr>
            <w:tcW w:w="4201" w:type="dxa"/>
          </w:tcPr>
          <w:p w14:paraId="1E1BE16B" w14:textId="77777777" w:rsidR="006E41E5" w:rsidRPr="0091450A" w:rsidRDefault="006E41E5" w:rsidP="006E41E5">
            <w:pPr>
              <w:rPr>
                <w:sz w:val="16"/>
                <w:szCs w:val="16"/>
              </w:rPr>
            </w:pPr>
            <w:r w:rsidRPr="0091450A">
              <w:rPr>
                <w:sz w:val="16"/>
                <w:szCs w:val="16"/>
              </w:rPr>
              <w:t>2014: Targets set</w:t>
            </w:r>
          </w:p>
          <w:p w14:paraId="2EA3985E" w14:textId="77777777" w:rsidR="006E41E5" w:rsidRPr="0091450A" w:rsidRDefault="006E41E5" w:rsidP="006E41E5">
            <w:pPr>
              <w:rPr>
                <w:sz w:val="16"/>
                <w:szCs w:val="16"/>
              </w:rPr>
            </w:pPr>
          </w:p>
          <w:p w14:paraId="4CA14371" w14:textId="55192776" w:rsidR="006E41E5" w:rsidRDefault="006E41E5" w:rsidP="006E41E5">
            <w:pPr>
              <w:spacing w:afterLines="40" w:after="96"/>
              <w:rPr>
                <w:sz w:val="23"/>
              </w:rPr>
            </w:pPr>
            <w:r w:rsidRPr="0091450A">
              <w:rPr>
                <w:sz w:val="16"/>
                <w:szCs w:val="16"/>
              </w:rPr>
              <w:t>2017 review: Pasta/Indian sauces:77% (by sales volume) met 420mg target; 11%-13% reduction in mean sodium</w:t>
            </w:r>
            <w:r>
              <w:rPr>
                <w:sz w:val="16"/>
                <w:szCs w:val="16"/>
              </w:rPr>
              <w:t xml:space="preserve"> </w:t>
            </w:r>
            <w:r w:rsidRPr="0091450A">
              <w:rPr>
                <w:sz w:val="16"/>
                <w:szCs w:val="16"/>
              </w:rPr>
              <w:t>across categories. But of the companies that make up 70%. Asian sauces: 50% (by sales volume) met the 680mg target. Total 6.3 tonnes salt removed per annum</w:t>
            </w:r>
            <w:r>
              <w:rPr>
                <w:sz w:val="16"/>
                <w:szCs w:val="16"/>
              </w:rPr>
              <w:t xml:space="preserve"> </w:t>
            </w:r>
            <w:r w:rsidRPr="0091450A">
              <w:rPr>
                <w:sz w:val="16"/>
                <w:szCs w:val="16"/>
              </w:rPr>
              <w:t>from matched pairs (also includes</w:t>
            </w:r>
            <w:r w:rsidRPr="0091450A">
              <w:t xml:space="preserve"> </w:t>
            </w:r>
            <w:r w:rsidRPr="0091450A">
              <w:rPr>
                <w:sz w:val="16"/>
                <w:szCs w:val="16"/>
              </w:rPr>
              <w:t>reformulation of Asian sauces) 2014-2017.</w:t>
            </w:r>
          </w:p>
        </w:tc>
      </w:tr>
      <w:tr w:rsidR="006E41E5" w14:paraId="44D03CDD" w14:textId="77777777" w:rsidTr="0033074A">
        <w:tc>
          <w:tcPr>
            <w:tcW w:w="1555" w:type="dxa"/>
          </w:tcPr>
          <w:p w14:paraId="410BC77D" w14:textId="77777777" w:rsidR="006E41E5" w:rsidRPr="0091450A" w:rsidRDefault="006E41E5" w:rsidP="006E41E5">
            <w:pPr>
              <w:rPr>
                <w:b/>
                <w:sz w:val="16"/>
                <w:szCs w:val="16"/>
              </w:rPr>
            </w:pPr>
            <w:r w:rsidRPr="0091450A">
              <w:rPr>
                <w:b/>
                <w:sz w:val="16"/>
                <w:szCs w:val="16"/>
              </w:rPr>
              <w:t>Powdered Meal Bases</w:t>
            </w:r>
          </w:p>
          <w:p w14:paraId="7BF0D648" w14:textId="77777777" w:rsidR="006E41E5" w:rsidRPr="0091450A" w:rsidRDefault="006E41E5" w:rsidP="006E41E5">
            <w:pPr>
              <w:rPr>
                <w:b/>
                <w:sz w:val="16"/>
                <w:szCs w:val="16"/>
              </w:rPr>
            </w:pPr>
          </w:p>
          <w:p w14:paraId="7864E526" w14:textId="77777777" w:rsidR="006E41E5" w:rsidRDefault="006E41E5" w:rsidP="006E41E5">
            <w:pPr>
              <w:spacing w:afterLines="40" w:after="96"/>
              <w:rPr>
                <w:sz w:val="23"/>
              </w:rPr>
            </w:pPr>
          </w:p>
        </w:tc>
        <w:tc>
          <w:tcPr>
            <w:tcW w:w="1559" w:type="dxa"/>
          </w:tcPr>
          <w:p w14:paraId="61597A1F" w14:textId="77777777" w:rsidR="006E41E5" w:rsidRPr="0091450A" w:rsidRDefault="006E41E5" w:rsidP="006E41E5">
            <w:pPr>
              <w:rPr>
                <w:b/>
                <w:sz w:val="16"/>
                <w:szCs w:val="16"/>
              </w:rPr>
            </w:pPr>
            <w:r w:rsidRPr="0091450A">
              <w:rPr>
                <w:b/>
                <w:sz w:val="16"/>
                <w:szCs w:val="16"/>
              </w:rPr>
              <w:t>Sodium</w:t>
            </w:r>
          </w:p>
          <w:p w14:paraId="51B7EBFF" w14:textId="40AEDBBE" w:rsidR="006E41E5" w:rsidRDefault="006E41E5" w:rsidP="006E41E5">
            <w:pPr>
              <w:spacing w:afterLines="40" w:after="96"/>
              <w:rPr>
                <w:sz w:val="23"/>
              </w:rPr>
            </w:pPr>
            <w:r w:rsidRPr="0091450A">
              <w:rPr>
                <w:sz w:val="16"/>
              </w:rPr>
              <w:t>5000mg/100g OR 15% reduction for products significantly above 5000mg/100g</w:t>
            </w:r>
          </w:p>
        </w:tc>
        <w:tc>
          <w:tcPr>
            <w:tcW w:w="1701" w:type="dxa"/>
          </w:tcPr>
          <w:p w14:paraId="0F30D1C2" w14:textId="77777777" w:rsidR="006E41E5" w:rsidRPr="0091450A" w:rsidRDefault="006E41E5" w:rsidP="006E41E5">
            <w:pPr>
              <w:rPr>
                <w:sz w:val="16"/>
                <w:szCs w:val="16"/>
              </w:rPr>
            </w:pPr>
          </w:p>
          <w:p w14:paraId="17E585F5" w14:textId="5EEBA8C3" w:rsidR="006E41E5" w:rsidRDefault="006E41E5" w:rsidP="006E41E5">
            <w:pPr>
              <w:spacing w:afterLines="40" w:after="96"/>
              <w:rPr>
                <w:sz w:val="23"/>
              </w:rPr>
            </w:pPr>
            <w:r w:rsidRPr="0091450A">
              <w:rPr>
                <w:sz w:val="16"/>
                <w:szCs w:val="16"/>
              </w:rPr>
              <w:t>Targets set December 2017; Target review 2023</w:t>
            </w:r>
          </w:p>
        </w:tc>
        <w:tc>
          <w:tcPr>
            <w:tcW w:w="4201" w:type="dxa"/>
          </w:tcPr>
          <w:p w14:paraId="5B50C631" w14:textId="11B61DE7" w:rsidR="006E41E5" w:rsidRDefault="006E41E5" w:rsidP="006E41E5">
            <w:pPr>
              <w:spacing w:afterLines="40" w:after="96"/>
              <w:rPr>
                <w:sz w:val="23"/>
              </w:rPr>
            </w:pPr>
            <w:r w:rsidRPr="0091450A">
              <w:rPr>
                <w:sz w:val="16"/>
                <w:szCs w:val="16"/>
              </w:rPr>
              <w:t>In progress</w:t>
            </w:r>
          </w:p>
        </w:tc>
      </w:tr>
      <w:tr w:rsidR="006E41E5" w14:paraId="166CA92B" w14:textId="77777777" w:rsidTr="0033074A">
        <w:tc>
          <w:tcPr>
            <w:tcW w:w="1555" w:type="dxa"/>
          </w:tcPr>
          <w:p w14:paraId="12A5F153" w14:textId="77777777" w:rsidR="006E41E5" w:rsidRPr="0091450A" w:rsidRDefault="006E41E5" w:rsidP="006E41E5">
            <w:pPr>
              <w:rPr>
                <w:b/>
                <w:sz w:val="16"/>
                <w:szCs w:val="16"/>
              </w:rPr>
            </w:pPr>
            <w:r w:rsidRPr="0091450A">
              <w:rPr>
                <w:b/>
                <w:sz w:val="16"/>
                <w:szCs w:val="16"/>
              </w:rPr>
              <w:t>Edible Oil Spreads</w:t>
            </w:r>
          </w:p>
          <w:p w14:paraId="5A879D58" w14:textId="0327BECB" w:rsidR="006E41E5" w:rsidRDefault="006E41E5" w:rsidP="006E41E5">
            <w:pPr>
              <w:spacing w:afterLines="40" w:after="96"/>
              <w:rPr>
                <w:sz w:val="23"/>
              </w:rPr>
            </w:pPr>
            <w:r w:rsidRPr="0091450A">
              <w:rPr>
                <w:sz w:val="16"/>
                <w:szCs w:val="16"/>
              </w:rPr>
              <w:t>Margarine/oil-based spreads</w:t>
            </w:r>
          </w:p>
        </w:tc>
        <w:tc>
          <w:tcPr>
            <w:tcW w:w="1559" w:type="dxa"/>
          </w:tcPr>
          <w:p w14:paraId="26CF29B8" w14:textId="77777777" w:rsidR="006E41E5" w:rsidRPr="0091450A" w:rsidRDefault="006E41E5" w:rsidP="006E41E5">
            <w:pPr>
              <w:rPr>
                <w:b/>
                <w:sz w:val="16"/>
                <w:szCs w:val="16"/>
              </w:rPr>
            </w:pPr>
            <w:r w:rsidRPr="0091450A">
              <w:rPr>
                <w:b/>
                <w:sz w:val="16"/>
                <w:szCs w:val="16"/>
              </w:rPr>
              <w:t xml:space="preserve">Sodium </w:t>
            </w:r>
          </w:p>
          <w:p w14:paraId="1FAC1B80" w14:textId="7480459E" w:rsidR="006E41E5" w:rsidRDefault="006E41E5" w:rsidP="006E41E5">
            <w:pPr>
              <w:spacing w:afterLines="40" w:after="96"/>
              <w:rPr>
                <w:sz w:val="23"/>
              </w:rPr>
            </w:pPr>
            <w:r w:rsidRPr="0091450A">
              <w:rPr>
                <w:sz w:val="16"/>
                <w:szCs w:val="16"/>
              </w:rPr>
              <w:t>400mg/100g</w:t>
            </w:r>
          </w:p>
        </w:tc>
        <w:tc>
          <w:tcPr>
            <w:tcW w:w="1701" w:type="dxa"/>
          </w:tcPr>
          <w:p w14:paraId="77FBC411" w14:textId="77777777" w:rsidR="006E41E5" w:rsidRPr="0091450A" w:rsidRDefault="006E41E5" w:rsidP="006E41E5">
            <w:pPr>
              <w:rPr>
                <w:sz w:val="16"/>
                <w:szCs w:val="16"/>
              </w:rPr>
            </w:pPr>
          </w:p>
          <w:p w14:paraId="109DC22E" w14:textId="77777777" w:rsidR="006E41E5" w:rsidRPr="0091450A" w:rsidRDefault="006E41E5" w:rsidP="006E41E5">
            <w:pPr>
              <w:rPr>
                <w:sz w:val="16"/>
                <w:szCs w:val="16"/>
              </w:rPr>
            </w:pPr>
            <w:r w:rsidRPr="0091450A">
              <w:rPr>
                <w:sz w:val="16"/>
                <w:szCs w:val="16"/>
              </w:rPr>
              <w:t>Target set 2014;</w:t>
            </w:r>
          </w:p>
          <w:p w14:paraId="28A7D1DF" w14:textId="0F2F17E2" w:rsidR="006E41E5" w:rsidRDefault="006E41E5" w:rsidP="006E41E5">
            <w:pPr>
              <w:spacing w:afterLines="40" w:after="96"/>
              <w:rPr>
                <w:sz w:val="23"/>
              </w:rPr>
            </w:pPr>
            <w:r w:rsidRPr="0091450A">
              <w:rPr>
                <w:sz w:val="16"/>
                <w:szCs w:val="16"/>
              </w:rPr>
              <w:t>Review to be confirmed</w:t>
            </w:r>
          </w:p>
        </w:tc>
        <w:tc>
          <w:tcPr>
            <w:tcW w:w="4201" w:type="dxa"/>
          </w:tcPr>
          <w:p w14:paraId="492B1FB8" w14:textId="77777777" w:rsidR="006E41E5" w:rsidRDefault="006E41E5" w:rsidP="006E41E5">
            <w:pPr>
              <w:spacing w:afterLines="40" w:after="96"/>
              <w:rPr>
                <w:sz w:val="23"/>
              </w:rPr>
            </w:pPr>
          </w:p>
        </w:tc>
      </w:tr>
      <w:tr w:rsidR="006E41E5" w14:paraId="409287C4" w14:textId="77777777" w:rsidTr="0033074A">
        <w:tc>
          <w:tcPr>
            <w:tcW w:w="1555" w:type="dxa"/>
          </w:tcPr>
          <w:p w14:paraId="1CB40348" w14:textId="77777777" w:rsidR="006E41E5" w:rsidRPr="0091450A" w:rsidRDefault="006E41E5" w:rsidP="006E41E5">
            <w:pPr>
              <w:rPr>
                <w:b/>
                <w:sz w:val="16"/>
                <w:szCs w:val="16"/>
              </w:rPr>
            </w:pPr>
            <w:r w:rsidRPr="0091450A">
              <w:rPr>
                <w:b/>
                <w:sz w:val="16"/>
                <w:szCs w:val="16"/>
              </w:rPr>
              <w:t>Savoury Crackers</w:t>
            </w:r>
          </w:p>
          <w:p w14:paraId="40EEB441" w14:textId="77777777" w:rsidR="006E41E5" w:rsidRPr="0091450A" w:rsidRDefault="006E41E5" w:rsidP="006E41E5">
            <w:pPr>
              <w:rPr>
                <w:sz w:val="16"/>
                <w:szCs w:val="16"/>
              </w:rPr>
            </w:pPr>
            <w:r w:rsidRPr="0091450A">
              <w:rPr>
                <w:sz w:val="16"/>
                <w:szCs w:val="16"/>
              </w:rPr>
              <w:t>Plain crackers</w:t>
            </w:r>
          </w:p>
          <w:p w14:paraId="2085E5F3" w14:textId="77777777" w:rsidR="006E41E5" w:rsidRPr="0091450A" w:rsidRDefault="006E41E5" w:rsidP="006E41E5">
            <w:pPr>
              <w:rPr>
                <w:sz w:val="16"/>
                <w:szCs w:val="16"/>
              </w:rPr>
            </w:pPr>
            <w:r w:rsidRPr="0091450A">
              <w:rPr>
                <w:sz w:val="16"/>
                <w:szCs w:val="16"/>
              </w:rPr>
              <w:t>Flavoured crackers</w:t>
            </w:r>
          </w:p>
          <w:p w14:paraId="2E306128" w14:textId="4BD367EE" w:rsidR="006E41E5" w:rsidRDefault="006E41E5" w:rsidP="006E41E5">
            <w:pPr>
              <w:spacing w:afterLines="40" w:after="96"/>
              <w:rPr>
                <w:sz w:val="23"/>
              </w:rPr>
            </w:pPr>
            <w:r w:rsidRPr="0091450A">
              <w:rPr>
                <w:sz w:val="16"/>
                <w:szCs w:val="16"/>
              </w:rPr>
              <w:t>Rice crackers and corn crackers</w:t>
            </w:r>
          </w:p>
        </w:tc>
        <w:tc>
          <w:tcPr>
            <w:tcW w:w="1559" w:type="dxa"/>
          </w:tcPr>
          <w:p w14:paraId="0846E856" w14:textId="77777777" w:rsidR="006E41E5" w:rsidRPr="008254B9" w:rsidRDefault="006E41E5" w:rsidP="006E41E5">
            <w:pPr>
              <w:rPr>
                <w:b/>
                <w:sz w:val="16"/>
                <w:szCs w:val="16"/>
                <w:lang w:val="de-DE"/>
              </w:rPr>
            </w:pPr>
            <w:r w:rsidRPr="008254B9">
              <w:rPr>
                <w:b/>
                <w:sz w:val="16"/>
                <w:szCs w:val="16"/>
                <w:lang w:val="de-DE"/>
              </w:rPr>
              <w:t xml:space="preserve">Sodium </w:t>
            </w:r>
          </w:p>
          <w:p w14:paraId="234BDAAD" w14:textId="77777777" w:rsidR="006E41E5" w:rsidRPr="008254B9" w:rsidRDefault="006E41E5" w:rsidP="006E41E5">
            <w:pPr>
              <w:rPr>
                <w:sz w:val="16"/>
                <w:szCs w:val="16"/>
                <w:lang w:val="de-DE"/>
              </w:rPr>
            </w:pPr>
            <w:r w:rsidRPr="008254B9">
              <w:rPr>
                <w:sz w:val="16"/>
                <w:szCs w:val="16"/>
                <w:lang w:val="de-DE"/>
              </w:rPr>
              <w:t>610mg/100g</w:t>
            </w:r>
          </w:p>
          <w:p w14:paraId="3010D180" w14:textId="77777777" w:rsidR="006E41E5" w:rsidRPr="008254B9" w:rsidRDefault="006E41E5" w:rsidP="006E41E5">
            <w:pPr>
              <w:rPr>
                <w:sz w:val="16"/>
                <w:szCs w:val="16"/>
                <w:lang w:val="de-DE"/>
              </w:rPr>
            </w:pPr>
            <w:r w:rsidRPr="008254B9">
              <w:rPr>
                <w:sz w:val="16"/>
                <w:szCs w:val="16"/>
                <w:lang w:val="de-DE"/>
              </w:rPr>
              <w:t>800mg/100g</w:t>
            </w:r>
          </w:p>
          <w:p w14:paraId="1041ED40" w14:textId="77777777" w:rsidR="006E41E5" w:rsidRPr="008254B9" w:rsidRDefault="006E41E5" w:rsidP="006E41E5">
            <w:pPr>
              <w:rPr>
                <w:sz w:val="16"/>
                <w:szCs w:val="16"/>
                <w:lang w:val="de-DE"/>
              </w:rPr>
            </w:pPr>
            <w:r w:rsidRPr="008254B9">
              <w:rPr>
                <w:sz w:val="16"/>
                <w:szCs w:val="16"/>
                <w:lang w:val="de-DE"/>
              </w:rPr>
              <w:t>610mg/100g</w:t>
            </w:r>
          </w:p>
          <w:p w14:paraId="4C376A3E" w14:textId="77777777" w:rsidR="006E41E5" w:rsidRPr="0091450A" w:rsidRDefault="006E41E5" w:rsidP="006E41E5">
            <w:pPr>
              <w:rPr>
                <w:sz w:val="16"/>
                <w:szCs w:val="16"/>
              </w:rPr>
            </w:pPr>
            <w:r w:rsidRPr="0091450A">
              <w:rPr>
                <w:sz w:val="16"/>
                <w:szCs w:val="16"/>
              </w:rPr>
              <w:t>OR</w:t>
            </w:r>
          </w:p>
          <w:p w14:paraId="110C12E7" w14:textId="04F3BCFF" w:rsidR="006E41E5" w:rsidRDefault="006E41E5" w:rsidP="006E41E5">
            <w:pPr>
              <w:spacing w:afterLines="40" w:after="96"/>
              <w:rPr>
                <w:sz w:val="23"/>
              </w:rPr>
            </w:pPr>
            <w:r w:rsidRPr="0091450A">
              <w:rPr>
                <w:sz w:val="16"/>
                <w:szCs w:val="16"/>
              </w:rPr>
              <w:lastRenderedPageBreak/>
              <w:t>2020% reduction for those significantly above targets</w:t>
            </w:r>
          </w:p>
        </w:tc>
        <w:tc>
          <w:tcPr>
            <w:tcW w:w="1701" w:type="dxa"/>
          </w:tcPr>
          <w:p w14:paraId="15A62867" w14:textId="77777777" w:rsidR="006E41E5" w:rsidRPr="0091450A" w:rsidRDefault="006E41E5" w:rsidP="006E41E5">
            <w:pPr>
              <w:rPr>
                <w:sz w:val="16"/>
                <w:szCs w:val="16"/>
              </w:rPr>
            </w:pPr>
          </w:p>
          <w:p w14:paraId="2268BFE0" w14:textId="77777777" w:rsidR="006E41E5" w:rsidRPr="0091450A" w:rsidRDefault="006E41E5" w:rsidP="006E41E5">
            <w:pPr>
              <w:rPr>
                <w:sz w:val="16"/>
                <w:szCs w:val="16"/>
              </w:rPr>
            </w:pPr>
            <w:r w:rsidRPr="0091450A">
              <w:rPr>
                <w:sz w:val="16"/>
                <w:szCs w:val="16"/>
              </w:rPr>
              <w:t xml:space="preserve">Targets reset 2017; </w:t>
            </w:r>
          </w:p>
          <w:p w14:paraId="2795C0A7" w14:textId="77777777" w:rsidR="006E41E5" w:rsidRPr="0091450A" w:rsidRDefault="006E41E5" w:rsidP="006E41E5">
            <w:pPr>
              <w:rPr>
                <w:sz w:val="16"/>
                <w:szCs w:val="16"/>
              </w:rPr>
            </w:pPr>
            <w:r w:rsidRPr="0091450A">
              <w:rPr>
                <w:sz w:val="16"/>
                <w:szCs w:val="16"/>
              </w:rPr>
              <w:t>target review June 2022</w:t>
            </w:r>
          </w:p>
          <w:p w14:paraId="173DD374" w14:textId="77777777" w:rsidR="006E41E5" w:rsidRDefault="006E41E5" w:rsidP="006E41E5">
            <w:pPr>
              <w:spacing w:afterLines="40" w:after="96"/>
              <w:rPr>
                <w:sz w:val="23"/>
              </w:rPr>
            </w:pPr>
          </w:p>
        </w:tc>
        <w:tc>
          <w:tcPr>
            <w:tcW w:w="4201" w:type="dxa"/>
          </w:tcPr>
          <w:p w14:paraId="370C9D10" w14:textId="77777777" w:rsidR="006E41E5" w:rsidRPr="0091450A" w:rsidRDefault="006E41E5" w:rsidP="006E41E5">
            <w:pPr>
              <w:rPr>
                <w:sz w:val="16"/>
                <w:szCs w:val="16"/>
              </w:rPr>
            </w:pPr>
            <w:r w:rsidRPr="0091450A">
              <w:rPr>
                <w:sz w:val="16"/>
                <w:szCs w:val="16"/>
              </w:rPr>
              <w:t>2014: Targets set</w:t>
            </w:r>
          </w:p>
          <w:p w14:paraId="79F232D8" w14:textId="77777777" w:rsidR="006E41E5" w:rsidRPr="0091450A" w:rsidRDefault="006E41E5" w:rsidP="006E41E5">
            <w:pPr>
              <w:rPr>
                <w:sz w:val="16"/>
                <w:szCs w:val="16"/>
              </w:rPr>
            </w:pPr>
          </w:p>
          <w:p w14:paraId="39E5D113" w14:textId="5B9585F9" w:rsidR="006E41E5" w:rsidRDefault="006E41E5" w:rsidP="006E41E5">
            <w:pPr>
              <w:spacing w:afterLines="40" w:after="96"/>
              <w:rPr>
                <w:sz w:val="23"/>
              </w:rPr>
            </w:pPr>
            <w:r w:rsidRPr="0091450A">
              <w:rPr>
                <w:sz w:val="16"/>
                <w:szCs w:val="16"/>
              </w:rPr>
              <w:t>2016 review: 10.5% reduction in category median sodium. 7.2 tonnes salt removed from reformulation of matched pairs. 77% (by sales volume) of the top-selling 40 products) met the 2014 targets.</w:t>
            </w:r>
          </w:p>
        </w:tc>
      </w:tr>
      <w:tr w:rsidR="006E41E5" w14:paraId="6B798C51" w14:textId="77777777" w:rsidTr="0033074A">
        <w:tc>
          <w:tcPr>
            <w:tcW w:w="1555" w:type="dxa"/>
          </w:tcPr>
          <w:p w14:paraId="124184E4" w14:textId="77777777" w:rsidR="006E41E5" w:rsidRPr="0091450A" w:rsidRDefault="006E41E5" w:rsidP="006E41E5">
            <w:pPr>
              <w:rPr>
                <w:b/>
                <w:sz w:val="16"/>
                <w:szCs w:val="16"/>
              </w:rPr>
            </w:pPr>
            <w:r w:rsidRPr="0091450A">
              <w:rPr>
                <w:b/>
                <w:sz w:val="16"/>
                <w:szCs w:val="16"/>
              </w:rPr>
              <w:t xml:space="preserve">Table Sauce </w:t>
            </w:r>
          </w:p>
          <w:p w14:paraId="7693D3B9" w14:textId="77777777" w:rsidR="006E41E5" w:rsidRPr="0091450A" w:rsidRDefault="006E41E5" w:rsidP="006E41E5">
            <w:pPr>
              <w:rPr>
                <w:b/>
                <w:bCs/>
                <w:sz w:val="16"/>
                <w:szCs w:val="16"/>
              </w:rPr>
            </w:pPr>
          </w:p>
          <w:p w14:paraId="23B9BDD8" w14:textId="202E698E" w:rsidR="006E41E5" w:rsidRDefault="006E41E5" w:rsidP="006E41E5">
            <w:pPr>
              <w:spacing w:afterLines="40" w:after="96"/>
              <w:rPr>
                <w:sz w:val="23"/>
              </w:rPr>
            </w:pPr>
            <w:r w:rsidRPr="0091450A">
              <w:rPr>
                <w:sz w:val="16"/>
              </w:rPr>
              <w:t>Tomato Sauce</w:t>
            </w:r>
          </w:p>
        </w:tc>
        <w:tc>
          <w:tcPr>
            <w:tcW w:w="1559" w:type="dxa"/>
          </w:tcPr>
          <w:p w14:paraId="2F941E1D" w14:textId="77777777" w:rsidR="006E41E5" w:rsidRPr="0091450A" w:rsidRDefault="006E41E5" w:rsidP="006E41E5">
            <w:pPr>
              <w:rPr>
                <w:sz w:val="16"/>
                <w:szCs w:val="16"/>
              </w:rPr>
            </w:pPr>
            <w:r w:rsidRPr="0091450A">
              <w:rPr>
                <w:b/>
                <w:sz w:val="16"/>
                <w:szCs w:val="16"/>
              </w:rPr>
              <w:t xml:space="preserve">Sodium </w:t>
            </w:r>
          </w:p>
          <w:p w14:paraId="60541AD8" w14:textId="77777777" w:rsidR="006E41E5" w:rsidRPr="0091450A" w:rsidRDefault="006E41E5" w:rsidP="006E41E5">
            <w:pPr>
              <w:rPr>
                <w:sz w:val="16"/>
                <w:szCs w:val="16"/>
              </w:rPr>
            </w:pPr>
            <w:r w:rsidRPr="0091450A">
              <w:rPr>
                <w:sz w:val="16"/>
                <w:szCs w:val="16"/>
              </w:rPr>
              <w:t>680mg/100g OR 15% reduction for those significantly above target</w:t>
            </w:r>
          </w:p>
          <w:p w14:paraId="1596C848" w14:textId="77777777" w:rsidR="006E41E5" w:rsidRPr="0091450A" w:rsidRDefault="006E41E5" w:rsidP="006E41E5">
            <w:pPr>
              <w:rPr>
                <w:sz w:val="16"/>
                <w:szCs w:val="16"/>
              </w:rPr>
            </w:pPr>
          </w:p>
          <w:p w14:paraId="548E36A4" w14:textId="77777777" w:rsidR="006E41E5" w:rsidRPr="0091450A" w:rsidRDefault="006E41E5" w:rsidP="006E41E5">
            <w:pPr>
              <w:rPr>
                <w:sz w:val="16"/>
                <w:szCs w:val="16"/>
              </w:rPr>
            </w:pPr>
            <w:r w:rsidRPr="0091450A">
              <w:rPr>
                <w:b/>
                <w:sz w:val="16"/>
                <w:szCs w:val="16"/>
              </w:rPr>
              <w:t>Total Sugar</w:t>
            </w:r>
            <w:r w:rsidRPr="0091450A">
              <w:rPr>
                <w:sz w:val="16"/>
                <w:szCs w:val="16"/>
              </w:rPr>
              <w:t xml:space="preserve"> </w:t>
            </w:r>
          </w:p>
          <w:p w14:paraId="27B4D060" w14:textId="6ED30C2A" w:rsidR="006E41E5" w:rsidRDefault="006E41E5" w:rsidP="006E41E5">
            <w:pPr>
              <w:spacing w:afterLines="40" w:after="96"/>
              <w:rPr>
                <w:sz w:val="23"/>
              </w:rPr>
            </w:pPr>
            <w:r w:rsidRPr="0091450A">
              <w:rPr>
                <w:sz w:val="16"/>
                <w:szCs w:val="16"/>
              </w:rPr>
              <w:t>23g/100g OR 15% reduction for those significantly above target</w:t>
            </w:r>
          </w:p>
        </w:tc>
        <w:tc>
          <w:tcPr>
            <w:tcW w:w="1701" w:type="dxa"/>
          </w:tcPr>
          <w:p w14:paraId="31869840" w14:textId="77777777" w:rsidR="006E41E5" w:rsidRPr="0091450A" w:rsidRDefault="006E41E5" w:rsidP="006E41E5">
            <w:pPr>
              <w:rPr>
                <w:sz w:val="16"/>
                <w:szCs w:val="16"/>
              </w:rPr>
            </w:pPr>
          </w:p>
          <w:p w14:paraId="5EAAC299" w14:textId="138BA5CC" w:rsidR="006E41E5" w:rsidRDefault="006E41E5" w:rsidP="006E41E5">
            <w:pPr>
              <w:spacing w:afterLines="40" w:after="96"/>
              <w:rPr>
                <w:sz w:val="23"/>
              </w:rPr>
            </w:pPr>
            <w:r w:rsidRPr="0091450A">
              <w:rPr>
                <w:sz w:val="16"/>
                <w:szCs w:val="16"/>
              </w:rPr>
              <w:t>Targets set May 2016; target review May 2021</w:t>
            </w:r>
          </w:p>
        </w:tc>
        <w:tc>
          <w:tcPr>
            <w:tcW w:w="4201" w:type="dxa"/>
          </w:tcPr>
          <w:p w14:paraId="57F84B9C" w14:textId="6F642EB7" w:rsidR="006E41E5" w:rsidRDefault="006E41E5" w:rsidP="006E41E5">
            <w:pPr>
              <w:spacing w:afterLines="40" w:after="96"/>
              <w:rPr>
                <w:sz w:val="23"/>
              </w:rPr>
            </w:pPr>
            <w:r w:rsidRPr="0091450A">
              <w:rPr>
                <w:sz w:val="16"/>
                <w:szCs w:val="16"/>
              </w:rPr>
              <w:t>In progress</w:t>
            </w:r>
          </w:p>
        </w:tc>
      </w:tr>
      <w:tr w:rsidR="006E41E5" w14:paraId="0316C51A" w14:textId="77777777" w:rsidTr="0033074A">
        <w:tc>
          <w:tcPr>
            <w:tcW w:w="1555" w:type="dxa"/>
          </w:tcPr>
          <w:p w14:paraId="12B35A41" w14:textId="716117BE" w:rsidR="006E41E5" w:rsidRDefault="006E41E5" w:rsidP="006E41E5">
            <w:pPr>
              <w:spacing w:afterLines="40" w:after="96"/>
              <w:rPr>
                <w:sz w:val="23"/>
              </w:rPr>
            </w:pPr>
            <w:r w:rsidRPr="0091450A">
              <w:rPr>
                <w:b/>
                <w:sz w:val="16"/>
                <w:szCs w:val="16"/>
              </w:rPr>
              <w:t xml:space="preserve">Canned Baked Beans </w:t>
            </w:r>
          </w:p>
        </w:tc>
        <w:tc>
          <w:tcPr>
            <w:tcW w:w="1559" w:type="dxa"/>
          </w:tcPr>
          <w:p w14:paraId="34D8B834" w14:textId="77777777" w:rsidR="006E41E5" w:rsidRPr="0091450A" w:rsidRDefault="006E41E5" w:rsidP="006E41E5">
            <w:pPr>
              <w:rPr>
                <w:b/>
                <w:sz w:val="16"/>
                <w:szCs w:val="16"/>
              </w:rPr>
            </w:pPr>
            <w:r w:rsidRPr="0091450A">
              <w:rPr>
                <w:b/>
                <w:sz w:val="16"/>
                <w:szCs w:val="16"/>
              </w:rPr>
              <w:t xml:space="preserve">Sodium </w:t>
            </w:r>
          </w:p>
          <w:p w14:paraId="791F772F" w14:textId="77777777" w:rsidR="006E41E5" w:rsidRPr="0091450A" w:rsidRDefault="006E41E5" w:rsidP="006E41E5">
            <w:pPr>
              <w:rPr>
                <w:sz w:val="16"/>
                <w:szCs w:val="16"/>
              </w:rPr>
            </w:pPr>
            <w:r w:rsidRPr="0091450A">
              <w:rPr>
                <w:sz w:val="16"/>
                <w:szCs w:val="16"/>
              </w:rPr>
              <w:t xml:space="preserve">350mg sodium/100g </w:t>
            </w:r>
          </w:p>
          <w:p w14:paraId="472C2D2D" w14:textId="77777777" w:rsidR="006E41E5" w:rsidRPr="0091450A" w:rsidRDefault="006E41E5" w:rsidP="006E41E5">
            <w:pPr>
              <w:rPr>
                <w:sz w:val="16"/>
                <w:szCs w:val="16"/>
              </w:rPr>
            </w:pPr>
          </w:p>
          <w:p w14:paraId="04CDEECB" w14:textId="77777777" w:rsidR="006E41E5" w:rsidRPr="0091450A" w:rsidRDefault="006E41E5" w:rsidP="006E41E5">
            <w:pPr>
              <w:rPr>
                <w:b/>
                <w:sz w:val="16"/>
                <w:szCs w:val="16"/>
              </w:rPr>
            </w:pPr>
            <w:r w:rsidRPr="0091450A">
              <w:rPr>
                <w:b/>
                <w:sz w:val="16"/>
                <w:szCs w:val="16"/>
              </w:rPr>
              <w:t xml:space="preserve">Total Sugar </w:t>
            </w:r>
          </w:p>
          <w:p w14:paraId="059A29C3" w14:textId="6B4E943F" w:rsidR="006E41E5" w:rsidRDefault="006E41E5" w:rsidP="006E41E5">
            <w:pPr>
              <w:spacing w:afterLines="40" w:after="96"/>
              <w:rPr>
                <w:sz w:val="23"/>
              </w:rPr>
            </w:pPr>
            <w:r w:rsidRPr="0091450A">
              <w:rPr>
                <w:sz w:val="16"/>
                <w:szCs w:val="16"/>
              </w:rPr>
              <w:t>5g sugar/100g</w:t>
            </w:r>
          </w:p>
        </w:tc>
        <w:tc>
          <w:tcPr>
            <w:tcW w:w="1701" w:type="dxa"/>
          </w:tcPr>
          <w:p w14:paraId="409A1F0F" w14:textId="77777777" w:rsidR="006E41E5" w:rsidRPr="0091450A" w:rsidRDefault="006E41E5" w:rsidP="006E41E5">
            <w:pPr>
              <w:rPr>
                <w:sz w:val="16"/>
                <w:szCs w:val="16"/>
              </w:rPr>
            </w:pPr>
          </w:p>
          <w:p w14:paraId="0640CF85" w14:textId="73A66B1F" w:rsidR="006E41E5" w:rsidRDefault="006E41E5" w:rsidP="006E41E5">
            <w:pPr>
              <w:spacing w:afterLines="40" w:after="96"/>
              <w:rPr>
                <w:sz w:val="23"/>
              </w:rPr>
            </w:pPr>
            <w:r w:rsidRPr="0091450A">
              <w:rPr>
                <w:sz w:val="16"/>
                <w:szCs w:val="16"/>
              </w:rPr>
              <w:t>Targets set May 2016; target review May 2021</w:t>
            </w:r>
          </w:p>
        </w:tc>
        <w:tc>
          <w:tcPr>
            <w:tcW w:w="4201" w:type="dxa"/>
          </w:tcPr>
          <w:p w14:paraId="7F65E533" w14:textId="52687AF3" w:rsidR="006E41E5" w:rsidRDefault="006E41E5" w:rsidP="006E41E5">
            <w:pPr>
              <w:spacing w:afterLines="40" w:after="96"/>
              <w:rPr>
                <w:sz w:val="23"/>
              </w:rPr>
            </w:pPr>
            <w:r w:rsidRPr="0091450A">
              <w:rPr>
                <w:sz w:val="16"/>
                <w:szCs w:val="16"/>
              </w:rPr>
              <w:t>In progress</w:t>
            </w:r>
          </w:p>
        </w:tc>
      </w:tr>
      <w:tr w:rsidR="006E41E5" w14:paraId="3AF2F5B3" w14:textId="77777777" w:rsidTr="0033074A">
        <w:tc>
          <w:tcPr>
            <w:tcW w:w="1555" w:type="dxa"/>
          </w:tcPr>
          <w:p w14:paraId="1B941565" w14:textId="0D418B55" w:rsidR="006E41E5" w:rsidRDefault="006E41E5" w:rsidP="006E41E5">
            <w:pPr>
              <w:spacing w:afterLines="40" w:after="96"/>
              <w:rPr>
                <w:sz w:val="23"/>
              </w:rPr>
            </w:pPr>
            <w:r w:rsidRPr="0091450A">
              <w:rPr>
                <w:b/>
                <w:sz w:val="16"/>
                <w:szCs w:val="16"/>
              </w:rPr>
              <w:t xml:space="preserve">Canned Spaghetti </w:t>
            </w:r>
          </w:p>
        </w:tc>
        <w:tc>
          <w:tcPr>
            <w:tcW w:w="1559" w:type="dxa"/>
          </w:tcPr>
          <w:p w14:paraId="268AE132" w14:textId="77777777" w:rsidR="006E41E5" w:rsidRPr="0091450A" w:rsidRDefault="006E41E5" w:rsidP="006E41E5">
            <w:pPr>
              <w:rPr>
                <w:b/>
                <w:sz w:val="16"/>
                <w:szCs w:val="16"/>
              </w:rPr>
            </w:pPr>
            <w:r w:rsidRPr="0091450A">
              <w:rPr>
                <w:b/>
                <w:sz w:val="16"/>
                <w:szCs w:val="16"/>
              </w:rPr>
              <w:t xml:space="preserve">Sodium </w:t>
            </w:r>
          </w:p>
          <w:p w14:paraId="38EE002C" w14:textId="77777777" w:rsidR="006E41E5" w:rsidRPr="0091450A" w:rsidRDefault="006E41E5" w:rsidP="006E41E5">
            <w:pPr>
              <w:rPr>
                <w:sz w:val="16"/>
                <w:szCs w:val="16"/>
              </w:rPr>
            </w:pPr>
            <w:r w:rsidRPr="0091450A">
              <w:rPr>
                <w:sz w:val="16"/>
                <w:szCs w:val="16"/>
              </w:rPr>
              <w:t xml:space="preserve">350mg/100g </w:t>
            </w:r>
          </w:p>
          <w:p w14:paraId="1D897CFD" w14:textId="77777777" w:rsidR="006E41E5" w:rsidRPr="0091450A" w:rsidRDefault="006E41E5" w:rsidP="006E41E5">
            <w:pPr>
              <w:rPr>
                <w:sz w:val="16"/>
                <w:szCs w:val="16"/>
              </w:rPr>
            </w:pPr>
          </w:p>
          <w:p w14:paraId="3E8CCA0E" w14:textId="77777777" w:rsidR="006E41E5" w:rsidRPr="0091450A" w:rsidRDefault="006E41E5" w:rsidP="006E41E5">
            <w:pPr>
              <w:rPr>
                <w:b/>
                <w:sz w:val="16"/>
                <w:szCs w:val="16"/>
              </w:rPr>
            </w:pPr>
            <w:r w:rsidRPr="0091450A">
              <w:rPr>
                <w:b/>
                <w:sz w:val="16"/>
                <w:szCs w:val="16"/>
              </w:rPr>
              <w:t>Total Sugar</w:t>
            </w:r>
          </w:p>
          <w:p w14:paraId="1B0577D9" w14:textId="3A305440" w:rsidR="006E41E5" w:rsidRDefault="006E41E5" w:rsidP="006E41E5">
            <w:pPr>
              <w:spacing w:afterLines="40" w:after="96"/>
              <w:rPr>
                <w:sz w:val="23"/>
              </w:rPr>
            </w:pPr>
            <w:r w:rsidRPr="0091450A">
              <w:rPr>
                <w:sz w:val="16"/>
                <w:szCs w:val="16"/>
              </w:rPr>
              <w:t>4.5g/100g</w:t>
            </w:r>
          </w:p>
        </w:tc>
        <w:tc>
          <w:tcPr>
            <w:tcW w:w="1701" w:type="dxa"/>
          </w:tcPr>
          <w:p w14:paraId="6B1CFAEE" w14:textId="77777777" w:rsidR="006E41E5" w:rsidRPr="0091450A" w:rsidRDefault="006E41E5" w:rsidP="006E41E5">
            <w:pPr>
              <w:rPr>
                <w:sz w:val="16"/>
                <w:szCs w:val="16"/>
              </w:rPr>
            </w:pPr>
          </w:p>
          <w:p w14:paraId="3BD37422" w14:textId="51D37AF0" w:rsidR="006E41E5" w:rsidRDefault="006E41E5" w:rsidP="006E41E5">
            <w:pPr>
              <w:spacing w:afterLines="40" w:after="96"/>
              <w:rPr>
                <w:sz w:val="23"/>
              </w:rPr>
            </w:pPr>
            <w:r w:rsidRPr="0091450A">
              <w:rPr>
                <w:sz w:val="16"/>
                <w:szCs w:val="16"/>
              </w:rPr>
              <w:t>Targets set May 2016; target review May 2021</w:t>
            </w:r>
          </w:p>
        </w:tc>
        <w:tc>
          <w:tcPr>
            <w:tcW w:w="4201" w:type="dxa"/>
          </w:tcPr>
          <w:p w14:paraId="3A1B0DF3" w14:textId="39203A68" w:rsidR="006E41E5" w:rsidRDefault="006E41E5" w:rsidP="006E41E5">
            <w:pPr>
              <w:spacing w:afterLines="40" w:after="96"/>
              <w:rPr>
                <w:sz w:val="23"/>
              </w:rPr>
            </w:pPr>
            <w:r w:rsidRPr="0091450A">
              <w:rPr>
                <w:sz w:val="16"/>
                <w:szCs w:val="16"/>
              </w:rPr>
              <w:t>In progress</w:t>
            </w:r>
          </w:p>
        </w:tc>
      </w:tr>
      <w:tr w:rsidR="006E41E5" w14:paraId="0B0A720B" w14:textId="77777777" w:rsidTr="0033074A">
        <w:tc>
          <w:tcPr>
            <w:tcW w:w="1555" w:type="dxa"/>
          </w:tcPr>
          <w:p w14:paraId="15C8A660" w14:textId="246D6CDE" w:rsidR="006E41E5" w:rsidRDefault="006E41E5" w:rsidP="006E41E5">
            <w:pPr>
              <w:spacing w:afterLines="40" w:after="96"/>
              <w:rPr>
                <w:sz w:val="23"/>
              </w:rPr>
            </w:pPr>
            <w:r w:rsidRPr="0091450A">
              <w:rPr>
                <w:b/>
                <w:sz w:val="16"/>
                <w:szCs w:val="16"/>
              </w:rPr>
              <w:t>Cereal and Nut/Seed Bars</w:t>
            </w:r>
          </w:p>
        </w:tc>
        <w:tc>
          <w:tcPr>
            <w:tcW w:w="1559" w:type="dxa"/>
          </w:tcPr>
          <w:p w14:paraId="14F64643" w14:textId="77777777" w:rsidR="006E41E5" w:rsidRPr="0091450A" w:rsidRDefault="006E41E5" w:rsidP="006E41E5">
            <w:pPr>
              <w:rPr>
                <w:b/>
                <w:sz w:val="16"/>
                <w:szCs w:val="16"/>
              </w:rPr>
            </w:pPr>
            <w:r w:rsidRPr="0091450A">
              <w:rPr>
                <w:b/>
                <w:sz w:val="16"/>
                <w:szCs w:val="16"/>
              </w:rPr>
              <w:t>Total sugar</w:t>
            </w:r>
          </w:p>
          <w:p w14:paraId="4DA37C41" w14:textId="46F22200" w:rsidR="006E41E5" w:rsidRDefault="006E41E5" w:rsidP="006E41E5">
            <w:pPr>
              <w:spacing w:afterLines="40" w:after="96"/>
              <w:rPr>
                <w:sz w:val="23"/>
              </w:rPr>
            </w:pPr>
            <w:r w:rsidRPr="0091450A">
              <w:rPr>
                <w:sz w:val="16"/>
              </w:rPr>
              <w:t>25g /100g OR 15% reduction for products significantly above target</w:t>
            </w:r>
          </w:p>
        </w:tc>
        <w:tc>
          <w:tcPr>
            <w:tcW w:w="1701" w:type="dxa"/>
          </w:tcPr>
          <w:p w14:paraId="520F338A" w14:textId="77777777" w:rsidR="006E41E5" w:rsidRPr="0091450A" w:rsidRDefault="006E41E5" w:rsidP="006E41E5">
            <w:pPr>
              <w:rPr>
                <w:sz w:val="16"/>
                <w:szCs w:val="16"/>
              </w:rPr>
            </w:pPr>
          </w:p>
          <w:p w14:paraId="13E2991D" w14:textId="2C39114C" w:rsidR="006E41E5" w:rsidRDefault="006E41E5" w:rsidP="006E41E5">
            <w:pPr>
              <w:spacing w:afterLines="40" w:after="96"/>
              <w:rPr>
                <w:sz w:val="23"/>
              </w:rPr>
            </w:pPr>
            <w:r w:rsidRPr="0091450A">
              <w:rPr>
                <w:sz w:val="16"/>
                <w:szCs w:val="16"/>
              </w:rPr>
              <w:t>Target set May 2017; target review May 2021</w:t>
            </w:r>
          </w:p>
        </w:tc>
        <w:tc>
          <w:tcPr>
            <w:tcW w:w="4201" w:type="dxa"/>
          </w:tcPr>
          <w:p w14:paraId="7718BCA8" w14:textId="2459541F" w:rsidR="006E41E5" w:rsidRDefault="006E41E5" w:rsidP="006E41E5">
            <w:pPr>
              <w:spacing w:afterLines="40" w:after="96"/>
              <w:rPr>
                <w:sz w:val="23"/>
              </w:rPr>
            </w:pPr>
            <w:r w:rsidRPr="0091450A">
              <w:rPr>
                <w:sz w:val="16"/>
                <w:szCs w:val="16"/>
              </w:rPr>
              <w:t>In progress</w:t>
            </w:r>
          </w:p>
        </w:tc>
      </w:tr>
      <w:tr w:rsidR="006E41E5" w14:paraId="4A2618E8" w14:textId="77777777" w:rsidTr="0033074A">
        <w:tc>
          <w:tcPr>
            <w:tcW w:w="1555" w:type="dxa"/>
          </w:tcPr>
          <w:p w14:paraId="2AC5D0F6" w14:textId="11FCF5FE" w:rsidR="006E41E5" w:rsidRDefault="006E41E5" w:rsidP="006E41E5">
            <w:pPr>
              <w:spacing w:afterLines="40" w:after="96"/>
              <w:rPr>
                <w:sz w:val="23"/>
              </w:rPr>
            </w:pPr>
            <w:r w:rsidRPr="0091450A">
              <w:rPr>
                <w:b/>
                <w:sz w:val="16"/>
                <w:szCs w:val="16"/>
              </w:rPr>
              <w:t>Dairy yoghurt &amp; Dairy foods</w:t>
            </w:r>
          </w:p>
        </w:tc>
        <w:tc>
          <w:tcPr>
            <w:tcW w:w="1559" w:type="dxa"/>
          </w:tcPr>
          <w:p w14:paraId="3075C4C0" w14:textId="77777777" w:rsidR="006E41E5" w:rsidRPr="0091450A" w:rsidRDefault="006E41E5" w:rsidP="006E41E5">
            <w:pPr>
              <w:rPr>
                <w:b/>
                <w:sz w:val="16"/>
                <w:szCs w:val="16"/>
              </w:rPr>
            </w:pPr>
            <w:r w:rsidRPr="0091450A">
              <w:rPr>
                <w:b/>
                <w:sz w:val="16"/>
                <w:szCs w:val="16"/>
              </w:rPr>
              <w:t>Total Sugar</w:t>
            </w:r>
          </w:p>
          <w:p w14:paraId="01EE335B" w14:textId="3109CB6C" w:rsidR="006E41E5" w:rsidRDefault="006E41E5" w:rsidP="006E41E5">
            <w:pPr>
              <w:spacing w:afterLines="40" w:after="96"/>
              <w:rPr>
                <w:sz w:val="23"/>
              </w:rPr>
            </w:pPr>
            <w:r w:rsidRPr="0091450A">
              <w:rPr>
                <w:sz w:val="16"/>
              </w:rPr>
              <w:t>8.5g/100g OR</w:t>
            </w:r>
            <w:r w:rsidRPr="0091450A">
              <w:rPr>
                <w:b/>
                <w:sz w:val="16"/>
                <w:szCs w:val="16"/>
              </w:rPr>
              <w:t xml:space="preserve"> </w:t>
            </w:r>
            <w:r w:rsidRPr="0091450A">
              <w:rPr>
                <w:bCs/>
                <w:sz w:val="16"/>
                <w:szCs w:val="16"/>
              </w:rPr>
              <w:t>15% reduction for products significantly above 8.5g/100g</w:t>
            </w:r>
          </w:p>
        </w:tc>
        <w:tc>
          <w:tcPr>
            <w:tcW w:w="1701" w:type="dxa"/>
          </w:tcPr>
          <w:p w14:paraId="5FCDC79F" w14:textId="77777777" w:rsidR="006E41E5" w:rsidRPr="0091450A" w:rsidRDefault="006E41E5" w:rsidP="006E41E5">
            <w:pPr>
              <w:rPr>
                <w:sz w:val="16"/>
                <w:szCs w:val="16"/>
              </w:rPr>
            </w:pPr>
          </w:p>
          <w:p w14:paraId="2A34D033" w14:textId="74701359" w:rsidR="006E41E5" w:rsidRDefault="006E41E5" w:rsidP="006E41E5">
            <w:pPr>
              <w:spacing w:afterLines="40" w:after="96"/>
              <w:rPr>
                <w:sz w:val="23"/>
              </w:rPr>
            </w:pPr>
            <w:r w:rsidRPr="0091450A">
              <w:rPr>
                <w:sz w:val="16"/>
                <w:szCs w:val="16"/>
              </w:rPr>
              <w:t>Target set February 2018; target review February 2023</w:t>
            </w:r>
          </w:p>
        </w:tc>
        <w:tc>
          <w:tcPr>
            <w:tcW w:w="4201" w:type="dxa"/>
          </w:tcPr>
          <w:p w14:paraId="4723F977" w14:textId="0AA32F74" w:rsidR="006E41E5" w:rsidRDefault="006E41E5" w:rsidP="006E41E5">
            <w:pPr>
              <w:spacing w:afterLines="40" w:after="96"/>
              <w:rPr>
                <w:sz w:val="23"/>
              </w:rPr>
            </w:pPr>
            <w:r w:rsidRPr="0091450A">
              <w:rPr>
                <w:sz w:val="16"/>
                <w:szCs w:val="16"/>
              </w:rPr>
              <w:t>In progress</w:t>
            </w:r>
          </w:p>
        </w:tc>
      </w:tr>
      <w:tr w:rsidR="006E41E5" w14:paraId="77DFA09B" w14:textId="77777777" w:rsidTr="0033074A">
        <w:tc>
          <w:tcPr>
            <w:tcW w:w="1555" w:type="dxa"/>
          </w:tcPr>
          <w:p w14:paraId="32964B7B" w14:textId="31601AD5" w:rsidR="006E41E5" w:rsidRDefault="006E41E5" w:rsidP="006E41E5">
            <w:pPr>
              <w:spacing w:afterLines="40" w:after="96"/>
              <w:rPr>
                <w:sz w:val="23"/>
              </w:rPr>
            </w:pPr>
            <w:r w:rsidRPr="0091450A">
              <w:rPr>
                <w:b/>
                <w:sz w:val="16"/>
                <w:szCs w:val="16"/>
              </w:rPr>
              <w:t>Flavoured Dairy Milk</w:t>
            </w:r>
          </w:p>
        </w:tc>
        <w:tc>
          <w:tcPr>
            <w:tcW w:w="1559" w:type="dxa"/>
          </w:tcPr>
          <w:p w14:paraId="4EF21EDE" w14:textId="77777777" w:rsidR="006E41E5" w:rsidRPr="0091450A" w:rsidRDefault="006E41E5" w:rsidP="006E41E5">
            <w:pPr>
              <w:rPr>
                <w:b/>
                <w:sz w:val="16"/>
                <w:szCs w:val="16"/>
              </w:rPr>
            </w:pPr>
            <w:r w:rsidRPr="0091450A">
              <w:rPr>
                <w:b/>
                <w:sz w:val="16"/>
                <w:szCs w:val="16"/>
              </w:rPr>
              <w:t>Total Sugar</w:t>
            </w:r>
          </w:p>
          <w:p w14:paraId="4ADA874C" w14:textId="3996FB0C" w:rsidR="006E41E5" w:rsidRDefault="006E41E5" w:rsidP="006E41E5">
            <w:pPr>
              <w:spacing w:afterLines="40" w:after="96"/>
              <w:rPr>
                <w:sz w:val="23"/>
              </w:rPr>
            </w:pPr>
            <w:r w:rsidRPr="0091450A">
              <w:rPr>
                <w:bCs/>
                <w:sz w:val="16"/>
                <w:szCs w:val="16"/>
              </w:rPr>
              <w:t>7g/100g OR</w:t>
            </w:r>
            <w:r w:rsidRPr="0091450A">
              <w:rPr>
                <w:b/>
                <w:sz w:val="16"/>
                <w:szCs w:val="16"/>
              </w:rPr>
              <w:t xml:space="preserve"> </w:t>
            </w:r>
            <w:r w:rsidRPr="0091450A">
              <w:rPr>
                <w:bCs/>
                <w:sz w:val="16"/>
                <w:szCs w:val="16"/>
              </w:rPr>
              <w:t>10% reduction for products significantly above 7.0g/100g</w:t>
            </w:r>
          </w:p>
        </w:tc>
        <w:tc>
          <w:tcPr>
            <w:tcW w:w="1701" w:type="dxa"/>
          </w:tcPr>
          <w:p w14:paraId="7029D160" w14:textId="77777777" w:rsidR="006E41E5" w:rsidRPr="0091450A" w:rsidRDefault="006E41E5" w:rsidP="006E41E5">
            <w:pPr>
              <w:rPr>
                <w:sz w:val="16"/>
                <w:szCs w:val="16"/>
              </w:rPr>
            </w:pPr>
          </w:p>
          <w:p w14:paraId="3C8551BD" w14:textId="0F523DCC" w:rsidR="006E41E5" w:rsidRDefault="006E41E5" w:rsidP="006E41E5">
            <w:pPr>
              <w:spacing w:afterLines="40" w:after="96"/>
              <w:rPr>
                <w:sz w:val="23"/>
              </w:rPr>
            </w:pPr>
            <w:r w:rsidRPr="0091450A">
              <w:rPr>
                <w:sz w:val="16"/>
                <w:szCs w:val="16"/>
              </w:rPr>
              <w:t>Target set April 2018; target review April 2023</w:t>
            </w:r>
          </w:p>
        </w:tc>
        <w:tc>
          <w:tcPr>
            <w:tcW w:w="4201" w:type="dxa"/>
          </w:tcPr>
          <w:p w14:paraId="619DA569" w14:textId="61198091" w:rsidR="006E41E5" w:rsidRDefault="006E41E5" w:rsidP="006E41E5">
            <w:pPr>
              <w:spacing w:afterLines="40" w:after="96"/>
              <w:rPr>
                <w:sz w:val="23"/>
              </w:rPr>
            </w:pPr>
            <w:r w:rsidRPr="0091450A">
              <w:rPr>
                <w:sz w:val="16"/>
                <w:szCs w:val="16"/>
              </w:rPr>
              <w:t>In progress</w:t>
            </w:r>
          </w:p>
        </w:tc>
      </w:tr>
      <w:tr w:rsidR="006E41E5" w14:paraId="72581E0B" w14:textId="77777777" w:rsidTr="0033074A">
        <w:tc>
          <w:tcPr>
            <w:tcW w:w="1555" w:type="dxa"/>
          </w:tcPr>
          <w:p w14:paraId="2A662321" w14:textId="77777777" w:rsidR="006E41E5" w:rsidRPr="0091450A" w:rsidRDefault="006E41E5" w:rsidP="006E41E5">
            <w:pPr>
              <w:rPr>
                <w:b/>
                <w:bCs/>
                <w:sz w:val="16"/>
                <w:szCs w:val="18"/>
              </w:rPr>
            </w:pPr>
            <w:r w:rsidRPr="0091450A">
              <w:rPr>
                <w:b/>
                <w:bCs/>
                <w:sz w:val="16"/>
                <w:szCs w:val="18"/>
              </w:rPr>
              <w:t>Crumbed and Battered Proteins</w:t>
            </w:r>
          </w:p>
          <w:p w14:paraId="2B5E6468" w14:textId="77777777" w:rsidR="006E41E5" w:rsidRPr="0091450A" w:rsidRDefault="006E41E5" w:rsidP="006E41E5">
            <w:pPr>
              <w:rPr>
                <w:bCs/>
                <w:sz w:val="16"/>
                <w:szCs w:val="18"/>
              </w:rPr>
            </w:pPr>
            <w:r w:rsidRPr="0091450A">
              <w:rPr>
                <w:bCs/>
                <w:sz w:val="16"/>
                <w:szCs w:val="18"/>
              </w:rPr>
              <w:t>Meat and poultry</w:t>
            </w:r>
          </w:p>
          <w:p w14:paraId="5F3EC531" w14:textId="77777777" w:rsidR="006E41E5" w:rsidRPr="0091450A" w:rsidRDefault="006E41E5" w:rsidP="006E41E5">
            <w:pPr>
              <w:rPr>
                <w:bCs/>
                <w:sz w:val="16"/>
                <w:szCs w:val="18"/>
              </w:rPr>
            </w:pPr>
          </w:p>
          <w:p w14:paraId="061FD9B9" w14:textId="77777777" w:rsidR="006E41E5" w:rsidRPr="0091450A" w:rsidRDefault="006E41E5" w:rsidP="006E41E5">
            <w:pPr>
              <w:rPr>
                <w:bCs/>
                <w:sz w:val="16"/>
                <w:szCs w:val="18"/>
              </w:rPr>
            </w:pPr>
          </w:p>
          <w:p w14:paraId="0EF0376C" w14:textId="77777777" w:rsidR="006E41E5" w:rsidRPr="0091450A" w:rsidRDefault="006E41E5" w:rsidP="006E41E5">
            <w:pPr>
              <w:rPr>
                <w:bCs/>
                <w:sz w:val="16"/>
                <w:szCs w:val="18"/>
              </w:rPr>
            </w:pPr>
          </w:p>
          <w:p w14:paraId="592156FD" w14:textId="308AD9F7" w:rsidR="006E41E5" w:rsidRDefault="006E41E5" w:rsidP="006E41E5">
            <w:pPr>
              <w:spacing w:afterLines="40" w:after="96"/>
              <w:rPr>
                <w:sz w:val="23"/>
              </w:rPr>
            </w:pPr>
            <w:r w:rsidRPr="0091450A">
              <w:rPr>
                <w:bCs/>
                <w:sz w:val="16"/>
                <w:szCs w:val="18"/>
              </w:rPr>
              <w:t>Seafood</w:t>
            </w:r>
          </w:p>
        </w:tc>
        <w:tc>
          <w:tcPr>
            <w:tcW w:w="1559" w:type="dxa"/>
          </w:tcPr>
          <w:p w14:paraId="59D8A741" w14:textId="77777777" w:rsidR="006E41E5" w:rsidRPr="0091450A" w:rsidRDefault="006E41E5" w:rsidP="006E41E5">
            <w:pPr>
              <w:rPr>
                <w:b/>
                <w:bCs/>
                <w:sz w:val="16"/>
                <w:szCs w:val="18"/>
              </w:rPr>
            </w:pPr>
            <w:r w:rsidRPr="0091450A">
              <w:rPr>
                <w:b/>
                <w:bCs/>
                <w:sz w:val="16"/>
                <w:szCs w:val="18"/>
              </w:rPr>
              <w:t xml:space="preserve">Sodium </w:t>
            </w:r>
          </w:p>
          <w:p w14:paraId="6795503D" w14:textId="77777777" w:rsidR="006E41E5" w:rsidRPr="0091450A" w:rsidRDefault="006E41E5" w:rsidP="006E41E5">
            <w:pPr>
              <w:rPr>
                <w:bCs/>
                <w:sz w:val="16"/>
                <w:szCs w:val="16"/>
              </w:rPr>
            </w:pPr>
          </w:p>
          <w:p w14:paraId="66341604" w14:textId="77777777" w:rsidR="006E41E5" w:rsidRPr="0091450A" w:rsidRDefault="006E41E5" w:rsidP="006E41E5">
            <w:pPr>
              <w:rPr>
                <w:bCs/>
                <w:sz w:val="16"/>
                <w:szCs w:val="16"/>
              </w:rPr>
            </w:pPr>
            <w:r w:rsidRPr="0091450A">
              <w:rPr>
                <w:bCs/>
                <w:sz w:val="16"/>
                <w:szCs w:val="16"/>
              </w:rPr>
              <w:t xml:space="preserve">A reduction in sodium across defined products to 450mg/100g OR 15% reduction for products significantly over 450mg/100g </w:t>
            </w:r>
          </w:p>
          <w:p w14:paraId="773D79D5" w14:textId="77777777" w:rsidR="006E41E5" w:rsidRPr="0091450A" w:rsidRDefault="006E41E5" w:rsidP="006E41E5">
            <w:pPr>
              <w:rPr>
                <w:bCs/>
                <w:sz w:val="16"/>
                <w:szCs w:val="16"/>
              </w:rPr>
            </w:pPr>
          </w:p>
          <w:p w14:paraId="0C77CD2E" w14:textId="77777777" w:rsidR="006E41E5" w:rsidRPr="0091450A" w:rsidRDefault="006E41E5" w:rsidP="006E41E5">
            <w:pPr>
              <w:rPr>
                <w:bCs/>
                <w:sz w:val="16"/>
                <w:szCs w:val="16"/>
              </w:rPr>
            </w:pPr>
            <w:r w:rsidRPr="0091450A">
              <w:rPr>
                <w:bCs/>
                <w:sz w:val="16"/>
                <w:szCs w:val="16"/>
              </w:rPr>
              <w:t>A reduction in sodium across defined products to</w:t>
            </w:r>
          </w:p>
          <w:p w14:paraId="6B07074B" w14:textId="77777777" w:rsidR="006E41E5" w:rsidRPr="0091450A" w:rsidRDefault="006E41E5" w:rsidP="006E41E5">
            <w:pPr>
              <w:rPr>
                <w:bCs/>
                <w:sz w:val="16"/>
                <w:szCs w:val="16"/>
              </w:rPr>
            </w:pPr>
            <w:r w:rsidRPr="0091450A">
              <w:rPr>
                <w:bCs/>
                <w:sz w:val="16"/>
                <w:szCs w:val="16"/>
              </w:rPr>
              <w:t>270mg/100g OR 15%</w:t>
            </w:r>
          </w:p>
          <w:p w14:paraId="07AFC12F" w14:textId="77777777" w:rsidR="006E41E5" w:rsidRPr="0091450A" w:rsidRDefault="006E41E5" w:rsidP="006E41E5">
            <w:pPr>
              <w:rPr>
                <w:bCs/>
                <w:sz w:val="16"/>
                <w:szCs w:val="16"/>
              </w:rPr>
            </w:pPr>
            <w:r w:rsidRPr="0091450A">
              <w:rPr>
                <w:bCs/>
                <w:sz w:val="16"/>
                <w:szCs w:val="16"/>
              </w:rPr>
              <w:t>reduction for products</w:t>
            </w:r>
          </w:p>
          <w:p w14:paraId="6F130B56" w14:textId="7C92E224" w:rsidR="006E41E5" w:rsidRDefault="006E41E5" w:rsidP="006E41E5">
            <w:pPr>
              <w:spacing w:afterLines="40" w:after="96"/>
              <w:rPr>
                <w:sz w:val="23"/>
              </w:rPr>
            </w:pPr>
            <w:r w:rsidRPr="0091450A">
              <w:rPr>
                <w:bCs/>
                <w:sz w:val="16"/>
                <w:szCs w:val="16"/>
              </w:rPr>
              <w:t>significantly over 270mg/100g.</w:t>
            </w:r>
          </w:p>
        </w:tc>
        <w:tc>
          <w:tcPr>
            <w:tcW w:w="1701" w:type="dxa"/>
          </w:tcPr>
          <w:p w14:paraId="29FA7684" w14:textId="77777777" w:rsidR="006E41E5" w:rsidRPr="0091450A" w:rsidRDefault="006E41E5" w:rsidP="006E41E5">
            <w:pPr>
              <w:rPr>
                <w:sz w:val="16"/>
                <w:szCs w:val="16"/>
              </w:rPr>
            </w:pPr>
          </w:p>
          <w:p w14:paraId="08A16E1D" w14:textId="77777777" w:rsidR="006E41E5" w:rsidRPr="0091450A" w:rsidRDefault="006E41E5" w:rsidP="006E41E5">
            <w:pPr>
              <w:rPr>
                <w:sz w:val="16"/>
                <w:szCs w:val="16"/>
              </w:rPr>
            </w:pPr>
          </w:p>
          <w:p w14:paraId="3409FEF1" w14:textId="77777777" w:rsidR="006E41E5" w:rsidRPr="0091450A" w:rsidRDefault="006E41E5" w:rsidP="006E41E5">
            <w:pPr>
              <w:rPr>
                <w:sz w:val="16"/>
                <w:szCs w:val="16"/>
              </w:rPr>
            </w:pPr>
            <w:r w:rsidRPr="0091450A">
              <w:rPr>
                <w:sz w:val="16"/>
                <w:szCs w:val="16"/>
              </w:rPr>
              <w:t>Target set December</w:t>
            </w:r>
          </w:p>
          <w:p w14:paraId="7E862410" w14:textId="77777777" w:rsidR="006E41E5" w:rsidRPr="0091450A" w:rsidRDefault="006E41E5" w:rsidP="006E41E5">
            <w:pPr>
              <w:rPr>
                <w:sz w:val="16"/>
                <w:szCs w:val="16"/>
              </w:rPr>
            </w:pPr>
            <w:r w:rsidRPr="0091450A">
              <w:rPr>
                <w:sz w:val="16"/>
                <w:szCs w:val="16"/>
              </w:rPr>
              <w:t>2019;</w:t>
            </w:r>
          </w:p>
          <w:p w14:paraId="7B2262B5" w14:textId="77777777" w:rsidR="006E41E5" w:rsidRPr="0091450A" w:rsidRDefault="006E41E5" w:rsidP="006E41E5">
            <w:pPr>
              <w:rPr>
                <w:sz w:val="16"/>
                <w:szCs w:val="16"/>
              </w:rPr>
            </w:pPr>
            <w:r w:rsidRPr="0091450A">
              <w:rPr>
                <w:sz w:val="16"/>
                <w:szCs w:val="16"/>
              </w:rPr>
              <w:t>target review December</w:t>
            </w:r>
          </w:p>
          <w:p w14:paraId="48A6E3DE" w14:textId="7131C558" w:rsidR="006E41E5" w:rsidRDefault="006E41E5" w:rsidP="006E41E5">
            <w:pPr>
              <w:spacing w:afterLines="40" w:after="96"/>
              <w:rPr>
                <w:sz w:val="23"/>
              </w:rPr>
            </w:pPr>
            <w:r w:rsidRPr="0091450A">
              <w:rPr>
                <w:sz w:val="16"/>
                <w:szCs w:val="16"/>
              </w:rPr>
              <w:t>2023</w:t>
            </w:r>
          </w:p>
        </w:tc>
        <w:tc>
          <w:tcPr>
            <w:tcW w:w="4201" w:type="dxa"/>
          </w:tcPr>
          <w:p w14:paraId="45809EC7" w14:textId="1D6CAA18" w:rsidR="006E41E5" w:rsidRDefault="006E41E5" w:rsidP="006E41E5">
            <w:pPr>
              <w:spacing w:afterLines="40" w:after="96"/>
              <w:rPr>
                <w:sz w:val="23"/>
              </w:rPr>
            </w:pPr>
            <w:r w:rsidRPr="0091450A">
              <w:rPr>
                <w:sz w:val="16"/>
                <w:szCs w:val="18"/>
              </w:rPr>
              <w:t>In progress</w:t>
            </w:r>
          </w:p>
        </w:tc>
      </w:tr>
      <w:tr w:rsidR="006E41E5" w14:paraId="562194E2" w14:textId="77777777" w:rsidTr="0033074A">
        <w:tc>
          <w:tcPr>
            <w:tcW w:w="1555" w:type="dxa"/>
          </w:tcPr>
          <w:p w14:paraId="6CC62E90" w14:textId="77777777" w:rsidR="006E41E5" w:rsidRPr="0091450A" w:rsidRDefault="006E41E5" w:rsidP="006E41E5">
            <w:pPr>
              <w:rPr>
                <w:b/>
                <w:sz w:val="16"/>
                <w:szCs w:val="16"/>
              </w:rPr>
            </w:pPr>
            <w:r w:rsidRPr="0091450A">
              <w:rPr>
                <w:b/>
                <w:sz w:val="16"/>
                <w:szCs w:val="16"/>
              </w:rPr>
              <w:t>Ready Meals</w:t>
            </w:r>
          </w:p>
          <w:p w14:paraId="39857F76" w14:textId="77777777" w:rsidR="006E41E5" w:rsidRDefault="006E41E5" w:rsidP="006E41E5">
            <w:pPr>
              <w:spacing w:afterLines="40" w:after="96"/>
              <w:rPr>
                <w:sz w:val="23"/>
              </w:rPr>
            </w:pPr>
          </w:p>
        </w:tc>
        <w:tc>
          <w:tcPr>
            <w:tcW w:w="1559" w:type="dxa"/>
          </w:tcPr>
          <w:p w14:paraId="5177A842" w14:textId="77777777" w:rsidR="006E41E5" w:rsidRDefault="006E41E5" w:rsidP="006E41E5">
            <w:pPr>
              <w:spacing w:afterLines="40" w:after="96"/>
              <w:rPr>
                <w:sz w:val="23"/>
              </w:rPr>
            </w:pPr>
          </w:p>
        </w:tc>
        <w:tc>
          <w:tcPr>
            <w:tcW w:w="1701" w:type="dxa"/>
          </w:tcPr>
          <w:p w14:paraId="767ED65F" w14:textId="09F52DF9" w:rsidR="006E41E5" w:rsidRDefault="006E41E5" w:rsidP="006E41E5">
            <w:pPr>
              <w:spacing w:afterLines="40" w:after="96"/>
              <w:rPr>
                <w:sz w:val="23"/>
              </w:rPr>
            </w:pPr>
            <w:r w:rsidRPr="0091450A">
              <w:rPr>
                <w:sz w:val="16"/>
                <w:szCs w:val="16"/>
              </w:rPr>
              <w:t>Target setting in consultation</w:t>
            </w:r>
          </w:p>
        </w:tc>
        <w:tc>
          <w:tcPr>
            <w:tcW w:w="4201" w:type="dxa"/>
          </w:tcPr>
          <w:p w14:paraId="7AF2F803" w14:textId="77777777" w:rsidR="006E41E5" w:rsidRDefault="006E41E5" w:rsidP="006E41E5">
            <w:pPr>
              <w:spacing w:afterLines="40" w:after="96"/>
              <w:rPr>
                <w:sz w:val="23"/>
              </w:rPr>
            </w:pPr>
          </w:p>
        </w:tc>
      </w:tr>
    </w:tbl>
    <w:p w14:paraId="2BAB1B05" w14:textId="77777777" w:rsidR="00F65E6C" w:rsidRPr="0091450A" w:rsidRDefault="00F65E6C" w:rsidP="006E41E5">
      <w:pPr>
        <w:shd w:val="clear" w:color="auto" w:fill="FFFFFF" w:themeFill="background1"/>
        <w:spacing w:afterLines="40" w:after="96" w:line="240" w:lineRule="auto"/>
        <w:rPr>
          <w:sz w:val="23"/>
        </w:rPr>
      </w:pPr>
    </w:p>
    <w:sectPr w:rsidR="00F65E6C" w:rsidRPr="0091450A" w:rsidSect="002D6687">
      <w:footerReference w:type="default" r:id="rId28"/>
      <w:footerReference w:type="firs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2FAB" w14:textId="77777777" w:rsidR="006A5A47" w:rsidRDefault="006A5A47" w:rsidP="009135B2">
      <w:pPr>
        <w:spacing w:after="0" w:line="240" w:lineRule="auto"/>
      </w:pPr>
      <w:r>
        <w:separator/>
      </w:r>
    </w:p>
  </w:endnote>
  <w:endnote w:type="continuationSeparator" w:id="0">
    <w:p w14:paraId="78AB5520" w14:textId="77777777" w:rsidR="006A5A47" w:rsidRDefault="006A5A47" w:rsidP="009135B2">
      <w:pPr>
        <w:spacing w:after="0" w:line="240" w:lineRule="auto"/>
      </w:pPr>
      <w:r>
        <w:continuationSeparator/>
      </w:r>
    </w:p>
  </w:endnote>
  <w:endnote w:type="continuationNotice" w:id="1">
    <w:p w14:paraId="3868BCAA" w14:textId="77777777" w:rsidR="006A5A47" w:rsidRDefault="006A5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altName w:val="Times New Roman"/>
    <w:panose1 w:val="020B0604020202020204"/>
    <w:charset w:val="00"/>
    <w:family w:val="roman"/>
    <w:pitch w:val="variable"/>
    <w:sig w:usb0="04000687" w:usb1="00000000" w:usb2="00000000" w:usb3="00000000" w:csb0="0000009F" w:csb1="00000000"/>
  </w:font>
  <w:font w:name="Museo Slab 500">
    <w:altName w:val="Arial"/>
    <w:panose1 w:val="020B0604020202020204"/>
    <w:charset w:val="00"/>
    <w:family w:val="modern"/>
    <w:notTrueType/>
    <w:pitch w:val="variable"/>
    <w:sig w:usb0="00000001" w:usb1="4000004B" w:usb2="00000000" w:usb3="00000000" w:csb0="00000093"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20B0604020202020204"/>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Open Sans">
    <w:altName w:val="Cambri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82132"/>
      <w:docPartObj>
        <w:docPartGallery w:val="Page Numbers (Bottom of Page)"/>
        <w:docPartUnique/>
      </w:docPartObj>
    </w:sdtPr>
    <w:sdtEndPr>
      <w:rPr>
        <w:noProof/>
      </w:rPr>
    </w:sdtEndPr>
    <w:sdtContent>
      <w:p w14:paraId="518CC523" w14:textId="2D816AF6" w:rsidR="00E84E26" w:rsidRDefault="00E84E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ADBB5" w14:textId="77777777" w:rsidR="00E84E26" w:rsidRDefault="00E8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E492" w14:textId="1E771E5A" w:rsidR="00E84E26" w:rsidRDefault="00E84E26">
    <w:pPr>
      <w:pStyle w:val="Footer"/>
      <w:jc w:val="right"/>
    </w:pPr>
  </w:p>
  <w:p w14:paraId="16F20D10" w14:textId="77777777" w:rsidR="00E84E26" w:rsidRDefault="00E8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FF4D" w14:textId="77777777" w:rsidR="006A5A47" w:rsidRDefault="006A5A47" w:rsidP="009135B2">
      <w:pPr>
        <w:spacing w:after="0" w:line="240" w:lineRule="auto"/>
      </w:pPr>
      <w:r>
        <w:separator/>
      </w:r>
    </w:p>
  </w:footnote>
  <w:footnote w:type="continuationSeparator" w:id="0">
    <w:p w14:paraId="00CE125A" w14:textId="77777777" w:rsidR="006A5A47" w:rsidRDefault="006A5A47" w:rsidP="009135B2">
      <w:pPr>
        <w:spacing w:after="0" w:line="240" w:lineRule="auto"/>
      </w:pPr>
      <w:r>
        <w:continuationSeparator/>
      </w:r>
    </w:p>
  </w:footnote>
  <w:footnote w:type="continuationNotice" w:id="1">
    <w:p w14:paraId="0934A284" w14:textId="77777777" w:rsidR="006A5A47" w:rsidRDefault="006A5A47">
      <w:pPr>
        <w:spacing w:after="0" w:line="240" w:lineRule="auto"/>
      </w:pPr>
    </w:p>
  </w:footnote>
  <w:footnote w:id="2">
    <w:p w14:paraId="391ED772" w14:textId="107C97EE" w:rsidR="00E84E26" w:rsidRPr="00637F0A" w:rsidRDefault="00E84E26" w:rsidP="007D12E6">
      <w:pPr>
        <w:pStyle w:val="FootnoteText"/>
        <w:rPr>
          <w:sz w:val="16"/>
          <w:szCs w:val="16"/>
        </w:rPr>
      </w:pPr>
      <w:r w:rsidRPr="008306C8">
        <w:rPr>
          <w:rStyle w:val="FootnoteReference"/>
        </w:rPr>
        <w:footnoteRef/>
      </w:r>
      <w:r w:rsidRPr="00637F0A">
        <w:rPr>
          <w:sz w:val="16"/>
          <w:szCs w:val="16"/>
        </w:rPr>
        <w:t xml:space="preserve"> Food environments are defined as the collective physical, economic, policy and socio-cultural surroundings, opportunities and conditions that influence people’s food and beverage choices and nutritional status. Unhealthy food environments lead to unhealthy diets and excess energy intake which have consequences in levels of morbidity and mortality. Dietary risk factors (high salt intake, high saturated fat intake and low fruit and vegetable intake) and excess energy intake (high body mass index) account for 11.4% of health loss</w:t>
      </w:r>
      <w:r>
        <w:rPr>
          <w:sz w:val="16"/>
          <w:szCs w:val="16"/>
        </w:rPr>
        <w:t>es</w:t>
      </w:r>
      <w:r w:rsidRPr="00637F0A">
        <w:rPr>
          <w:sz w:val="16"/>
          <w:szCs w:val="16"/>
        </w:rPr>
        <w:t xml:space="preserve"> in New Zealand.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112"/>
    <w:multiLevelType w:val="hybridMultilevel"/>
    <w:tmpl w:val="32D0AB2C"/>
    <w:lvl w:ilvl="0" w:tplc="1409000F">
      <w:start w:val="5"/>
      <w:numFmt w:val="decimal"/>
      <w:lvlText w:val="%1."/>
      <w:lvlJc w:val="left"/>
      <w:pPr>
        <w:ind w:left="-3534" w:hanging="360"/>
      </w:pPr>
      <w:rPr>
        <w:rFonts w:hint="default"/>
      </w:rPr>
    </w:lvl>
    <w:lvl w:ilvl="1" w:tplc="14090019" w:tentative="1">
      <w:start w:val="1"/>
      <w:numFmt w:val="lowerLetter"/>
      <w:lvlText w:val="%2."/>
      <w:lvlJc w:val="left"/>
      <w:pPr>
        <w:ind w:left="-281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1374" w:hanging="360"/>
      </w:pPr>
    </w:lvl>
    <w:lvl w:ilvl="4" w:tplc="14090019" w:tentative="1">
      <w:start w:val="1"/>
      <w:numFmt w:val="lowerLetter"/>
      <w:lvlText w:val="%5."/>
      <w:lvlJc w:val="left"/>
      <w:pPr>
        <w:ind w:left="-654" w:hanging="360"/>
      </w:pPr>
    </w:lvl>
    <w:lvl w:ilvl="5" w:tplc="1409001B" w:tentative="1">
      <w:start w:val="1"/>
      <w:numFmt w:val="lowerRoman"/>
      <w:lvlText w:val="%6."/>
      <w:lvlJc w:val="right"/>
      <w:pPr>
        <w:ind w:left="66" w:hanging="180"/>
      </w:pPr>
    </w:lvl>
    <w:lvl w:ilvl="6" w:tplc="1409000F" w:tentative="1">
      <w:start w:val="1"/>
      <w:numFmt w:val="decimal"/>
      <w:lvlText w:val="%7."/>
      <w:lvlJc w:val="left"/>
      <w:pPr>
        <w:ind w:left="786" w:hanging="360"/>
      </w:pPr>
    </w:lvl>
    <w:lvl w:ilvl="7" w:tplc="14090019" w:tentative="1">
      <w:start w:val="1"/>
      <w:numFmt w:val="lowerLetter"/>
      <w:lvlText w:val="%8."/>
      <w:lvlJc w:val="left"/>
      <w:pPr>
        <w:ind w:left="1506" w:hanging="360"/>
      </w:pPr>
    </w:lvl>
    <w:lvl w:ilvl="8" w:tplc="1409001B" w:tentative="1">
      <w:start w:val="1"/>
      <w:numFmt w:val="lowerRoman"/>
      <w:lvlText w:val="%9."/>
      <w:lvlJc w:val="right"/>
      <w:pPr>
        <w:ind w:left="2226" w:hanging="180"/>
      </w:pPr>
    </w:lvl>
  </w:abstractNum>
  <w:abstractNum w:abstractNumId="1" w15:restartNumberingAfterBreak="0">
    <w:nsid w:val="01BB15FC"/>
    <w:multiLevelType w:val="hybridMultilevel"/>
    <w:tmpl w:val="90A2124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9D020F"/>
    <w:multiLevelType w:val="hybridMultilevel"/>
    <w:tmpl w:val="2F728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0A1622"/>
    <w:multiLevelType w:val="hybridMultilevel"/>
    <w:tmpl w:val="1A1CF802"/>
    <w:lvl w:ilvl="0" w:tplc="305C94C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5246EF3"/>
    <w:multiLevelType w:val="hybridMultilevel"/>
    <w:tmpl w:val="4080F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371B50"/>
    <w:multiLevelType w:val="hybridMultilevel"/>
    <w:tmpl w:val="FE78DA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688387C"/>
    <w:multiLevelType w:val="hybridMultilevel"/>
    <w:tmpl w:val="B9B8377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828076B"/>
    <w:multiLevelType w:val="hybridMultilevel"/>
    <w:tmpl w:val="0BE830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8683F2E"/>
    <w:multiLevelType w:val="hybridMultilevel"/>
    <w:tmpl w:val="F11441DE"/>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95E1E8B"/>
    <w:multiLevelType w:val="hybridMultilevel"/>
    <w:tmpl w:val="C03E8874"/>
    <w:lvl w:ilvl="0" w:tplc="4282EA5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AEB0B5E"/>
    <w:multiLevelType w:val="hybridMultilevel"/>
    <w:tmpl w:val="2EB88D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B027A8D"/>
    <w:multiLevelType w:val="hybridMultilevel"/>
    <w:tmpl w:val="A698BFDA"/>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A31952"/>
    <w:multiLevelType w:val="hybridMultilevel"/>
    <w:tmpl w:val="157EE3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BA90ED3"/>
    <w:multiLevelType w:val="hybridMultilevel"/>
    <w:tmpl w:val="5F78EA94"/>
    <w:lvl w:ilvl="0" w:tplc="14090001">
      <w:start w:val="1"/>
      <w:numFmt w:val="bullet"/>
      <w:lvlText w:val=""/>
      <w:lvlJc w:val="left"/>
      <w:pPr>
        <w:ind w:left="360" w:hanging="360"/>
      </w:pPr>
      <w:rPr>
        <w:rFonts w:ascii="Symbol" w:hAnsi="Symbol" w:hint="default"/>
      </w:rPr>
    </w:lvl>
    <w:lvl w:ilvl="1" w:tplc="F3ACBEF4">
      <w:numFmt w:val="bullet"/>
      <w:lvlText w:val="-"/>
      <w:lvlJc w:val="left"/>
      <w:pPr>
        <w:ind w:left="1520" w:hanging="4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643BE"/>
    <w:multiLevelType w:val="hybridMultilevel"/>
    <w:tmpl w:val="45DECD38"/>
    <w:lvl w:ilvl="0" w:tplc="66089EA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62061F"/>
    <w:multiLevelType w:val="hybridMultilevel"/>
    <w:tmpl w:val="3C4CAF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0EBD28C0"/>
    <w:multiLevelType w:val="hybridMultilevel"/>
    <w:tmpl w:val="151C192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F81035F"/>
    <w:multiLevelType w:val="hybridMultilevel"/>
    <w:tmpl w:val="FE7ED61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0247A10"/>
    <w:multiLevelType w:val="hybridMultilevel"/>
    <w:tmpl w:val="60947B04"/>
    <w:lvl w:ilvl="0" w:tplc="C5DE4BA0">
      <w:start w:val="1"/>
      <w:numFmt w:val="bullet"/>
      <w:lvlText w:val=""/>
      <w:lvlJc w:val="left"/>
      <w:pPr>
        <w:ind w:left="360" w:hanging="360"/>
      </w:pPr>
      <w:rPr>
        <w:rFonts w:ascii="Symbol" w:hAnsi="Symbol" w:hint="default"/>
        <w:b w:val="0"/>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0605E37"/>
    <w:multiLevelType w:val="hybridMultilevel"/>
    <w:tmpl w:val="419A103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0CB7CC6"/>
    <w:multiLevelType w:val="hybridMultilevel"/>
    <w:tmpl w:val="29D4F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14B21ED"/>
    <w:multiLevelType w:val="hybridMultilevel"/>
    <w:tmpl w:val="5EEE6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19A6391"/>
    <w:multiLevelType w:val="hybridMultilevel"/>
    <w:tmpl w:val="0D7CD2AE"/>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1AB7E06"/>
    <w:multiLevelType w:val="hybridMultilevel"/>
    <w:tmpl w:val="E2F6A9A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4941D7E"/>
    <w:multiLevelType w:val="hybridMultilevel"/>
    <w:tmpl w:val="493AC1BE"/>
    <w:lvl w:ilvl="0" w:tplc="10BA1EA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14D148BA"/>
    <w:multiLevelType w:val="multilevel"/>
    <w:tmpl w:val="BAB8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6B33FA"/>
    <w:multiLevelType w:val="hybridMultilevel"/>
    <w:tmpl w:val="E4B23F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7222E11"/>
    <w:multiLevelType w:val="hybridMultilevel"/>
    <w:tmpl w:val="EB9086A0"/>
    <w:lvl w:ilvl="0" w:tplc="14090001">
      <w:start w:val="1"/>
      <w:numFmt w:val="bullet"/>
      <w:lvlText w:val=""/>
      <w:lvlJc w:val="left"/>
      <w:pPr>
        <w:ind w:left="360" w:hanging="360"/>
      </w:pPr>
      <w:rPr>
        <w:rFonts w:ascii="Symbol" w:hAnsi="Symbol" w:hint="default"/>
        <w:b/>
        <w:i w:val="0"/>
      </w:rPr>
    </w:lvl>
    <w:lvl w:ilvl="1" w:tplc="827AEE7C">
      <w:start w:val="1"/>
      <w:numFmt w:val="decimal"/>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178748FD"/>
    <w:multiLevelType w:val="hybridMultilevel"/>
    <w:tmpl w:val="ED5A3E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17BC44E5"/>
    <w:multiLevelType w:val="hybridMultilevel"/>
    <w:tmpl w:val="F32A11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7BF3E77"/>
    <w:multiLevelType w:val="hybridMultilevel"/>
    <w:tmpl w:val="506EE77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7F1401C"/>
    <w:multiLevelType w:val="hybridMultilevel"/>
    <w:tmpl w:val="73B0B28C"/>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8443AC"/>
    <w:multiLevelType w:val="hybridMultilevel"/>
    <w:tmpl w:val="B0EAA7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8953DE8"/>
    <w:multiLevelType w:val="hybridMultilevel"/>
    <w:tmpl w:val="770207F0"/>
    <w:lvl w:ilvl="0" w:tplc="E3B420D2">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19870E74"/>
    <w:multiLevelType w:val="hybridMultilevel"/>
    <w:tmpl w:val="7420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1A1A1D89"/>
    <w:multiLevelType w:val="hybridMultilevel"/>
    <w:tmpl w:val="C988F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1A304E47"/>
    <w:multiLevelType w:val="hybridMultilevel"/>
    <w:tmpl w:val="D2EC5AE0"/>
    <w:lvl w:ilvl="0" w:tplc="AA40C5DC">
      <w:start w:val="1"/>
      <w:numFmt w:val="decimal"/>
      <w:lvlText w:val="%1."/>
      <w:lvlJc w:val="left"/>
      <w:pPr>
        <w:ind w:left="360" w:hanging="360"/>
      </w:pPr>
      <w:rPr>
        <w:rFonts w:hint="default"/>
        <w:b/>
        <w:sz w:val="20"/>
        <w:szCs w:val="2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1B733734"/>
    <w:multiLevelType w:val="hybridMultilevel"/>
    <w:tmpl w:val="F9D860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1B734B94"/>
    <w:multiLevelType w:val="hybridMultilevel"/>
    <w:tmpl w:val="61682770"/>
    <w:lvl w:ilvl="0" w:tplc="5D5C021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1CE52C57"/>
    <w:multiLevelType w:val="hybridMultilevel"/>
    <w:tmpl w:val="9916652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DF85DC6"/>
    <w:multiLevelType w:val="hybridMultilevel"/>
    <w:tmpl w:val="6254B63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1033148"/>
    <w:multiLevelType w:val="hybridMultilevel"/>
    <w:tmpl w:val="BFDE4C02"/>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10E4FE6"/>
    <w:multiLevelType w:val="multilevel"/>
    <w:tmpl w:val="C6867D1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1068"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C4278F"/>
    <w:multiLevelType w:val="hybridMultilevel"/>
    <w:tmpl w:val="B1C8C254"/>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2B11278"/>
    <w:multiLevelType w:val="hybridMultilevel"/>
    <w:tmpl w:val="55A0481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3250125"/>
    <w:multiLevelType w:val="hybridMultilevel"/>
    <w:tmpl w:val="347E21F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4AF0FD0"/>
    <w:multiLevelType w:val="hybridMultilevel"/>
    <w:tmpl w:val="5A0623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69"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5A14021"/>
    <w:multiLevelType w:val="hybridMultilevel"/>
    <w:tmpl w:val="08AAB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27AA56D1"/>
    <w:multiLevelType w:val="hybridMultilevel"/>
    <w:tmpl w:val="ADF2A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27CB5D8C"/>
    <w:multiLevelType w:val="hybridMultilevel"/>
    <w:tmpl w:val="2FBCA77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29D8000D"/>
    <w:multiLevelType w:val="hybridMultilevel"/>
    <w:tmpl w:val="35D8150C"/>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A0C362D"/>
    <w:multiLevelType w:val="hybridMultilevel"/>
    <w:tmpl w:val="3ED2784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B895488"/>
    <w:multiLevelType w:val="hybridMultilevel"/>
    <w:tmpl w:val="0194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3E0FDD"/>
    <w:multiLevelType w:val="hybridMultilevel"/>
    <w:tmpl w:val="A072D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2C6D031D"/>
    <w:multiLevelType w:val="hybridMultilevel"/>
    <w:tmpl w:val="41A0E504"/>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E9E2A60"/>
    <w:multiLevelType w:val="hybridMultilevel"/>
    <w:tmpl w:val="0B06683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EAB1FA1"/>
    <w:multiLevelType w:val="hybridMultilevel"/>
    <w:tmpl w:val="5B24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044609B"/>
    <w:multiLevelType w:val="hybridMultilevel"/>
    <w:tmpl w:val="F53CA528"/>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0EC142C"/>
    <w:multiLevelType w:val="multilevel"/>
    <w:tmpl w:val="414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5A7393"/>
    <w:multiLevelType w:val="hybridMultilevel"/>
    <w:tmpl w:val="4064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25E08B9"/>
    <w:multiLevelType w:val="hybridMultilevel"/>
    <w:tmpl w:val="A33486DC"/>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3726D01"/>
    <w:multiLevelType w:val="hybridMultilevel"/>
    <w:tmpl w:val="78C8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34C35AA2"/>
    <w:multiLevelType w:val="hybridMultilevel"/>
    <w:tmpl w:val="D152F6BC"/>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5013093"/>
    <w:multiLevelType w:val="hybridMultilevel"/>
    <w:tmpl w:val="62F6D22E"/>
    <w:lvl w:ilvl="0" w:tplc="14090001">
      <w:start w:val="1"/>
      <w:numFmt w:val="bullet"/>
      <w:lvlText w:val=""/>
      <w:lvlJc w:val="left"/>
      <w:pPr>
        <w:ind w:left="360" w:hanging="360"/>
      </w:pPr>
      <w:rPr>
        <w:rFonts w:ascii="Symbol" w:hAnsi="Symbol" w:hint="default"/>
        <w:b w:val="0"/>
        <w:bCs w:val="0"/>
        <w:i w:val="0"/>
        <w:iCs w:val="0"/>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64" w15:restartNumberingAfterBreak="0">
    <w:nsid w:val="359B4BEF"/>
    <w:multiLevelType w:val="hybridMultilevel"/>
    <w:tmpl w:val="B3FE978E"/>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5" w15:restartNumberingAfterBreak="0">
    <w:nsid w:val="37365378"/>
    <w:multiLevelType w:val="multilevel"/>
    <w:tmpl w:val="BD6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6F4245"/>
    <w:multiLevelType w:val="hybridMultilevel"/>
    <w:tmpl w:val="41CC951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8F55B01"/>
    <w:multiLevelType w:val="multilevel"/>
    <w:tmpl w:val="D9729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8FC6875"/>
    <w:multiLevelType w:val="hybridMultilevel"/>
    <w:tmpl w:val="C90450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396A4DFB"/>
    <w:multiLevelType w:val="hybridMultilevel"/>
    <w:tmpl w:val="8B7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787CBE"/>
    <w:multiLevelType w:val="hybridMultilevel"/>
    <w:tmpl w:val="998AC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3AAD4A3C"/>
    <w:multiLevelType w:val="hybridMultilevel"/>
    <w:tmpl w:val="A98E60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3C3B5EAD"/>
    <w:multiLevelType w:val="hybridMultilevel"/>
    <w:tmpl w:val="49521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3CC57F85"/>
    <w:multiLevelType w:val="hybridMultilevel"/>
    <w:tmpl w:val="635AD9A2"/>
    <w:lvl w:ilvl="0" w:tplc="D65E5FC4">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3E2C4FF0"/>
    <w:multiLevelType w:val="hybridMultilevel"/>
    <w:tmpl w:val="E01875E0"/>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E806B01"/>
    <w:multiLevelType w:val="hybridMultilevel"/>
    <w:tmpl w:val="BAE2F870"/>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EC378AF"/>
    <w:multiLevelType w:val="multilevel"/>
    <w:tmpl w:val="431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F02D88"/>
    <w:multiLevelType w:val="hybridMultilevel"/>
    <w:tmpl w:val="92122C7C"/>
    <w:lvl w:ilvl="0" w:tplc="D54E8C7C">
      <w:start w:val="1"/>
      <w:numFmt w:val="upperLetter"/>
      <w:lvlText w:val="%1."/>
      <w:lvlJc w:val="left"/>
      <w:pPr>
        <w:ind w:left="360" w:hanging="360"/>
      </w:pPr>
      <w:rPr>
        <w:rFonts w:asciiTheme="minorHAnsi" w:eastAsiaTheme="minorHAnsi" w:hAnsiTheme="minorHAnsi" w:cstheme="minorHAnsi"/>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8" w15:restartNumberingAfterBreak="0">
    <w:nsid w:val="3F4B6DCD"/>
    <w:multiLevelType w:val="hybridMultilevel"/>
    <w:tmpl w:val="23BA1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423F3122"/>
    <w:multiLevelType w:val="hybridMultilevel"/>
    <w:tmpl w:val="5D36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3112DD7"/>
    <w:multiLevelType w:val="hybridMultilevel"/>
    <w:tmpl w:val="FD94A690"/>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34031BC"/>
    <w:multiLevelType w:val="hybridMultilevel"/>
    <w:tmpl w:val="6D0E4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43C75DB7"/>
    <w:multiLevelType w:val="hybridMultilevel"/>
    <w:tmpl w:val="E166C542"/>
    <w:lvl w:ilvl="0" w:tplc="4A7261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3" w15:restartNumberingAfterBreak="0">
    <w:nsid w:val="4462237F"/>
    <w:multiLevelType w:val="hybridMultilevel"/>
    <w:tmpl w:val="05FCEC5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4687CDB"/>
    <w:multiLevelType w:val="multilevel"/>
    <w:tmpl w:val="6370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65E5A14"/>
    <w:multiLevelType w:val="hybridMultilevel"/>
    <w:tmpl w:val="10EC923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86C1D66"/>
    <w:multiLevelType w:val="hybridMultilevel"/>
    <w:tmpl w:val="380C7C56"/>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AE46025"/>
    <w:multiLevelType w:val="hybridMultilevel"/>
    <w:tmpl w:val="E11C9164"/>
    <w:lvl w:ilvl="0" w:tplc="3AD423FC">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8" w15:restartNumberingAfterBreak="0">
    <w:nsid w:val="4CFC1839"/>
    <w:multiLevelType w:val="hybridMultilevel"/>
    <w:tmpl w:val="F29AC7B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9" w15:restartNumberingAfterBreak="0">
    <w:nsid w:val="4D4932C5"/>
    <w:multiLevelType w:val="hybridMultilevel"/>
    <w:tmpl w:val="D7AEE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DDE0A20"/>
    <w:multiLevelType w:val="hybridMultilevel"/>
    <w:tmpl w:val="487874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E0C7410"/>
    <w:multiLevelType w:val="multilevel"/>
    <w:tmpl w:val="A29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5A26A3"/>
    <w:multiLevelType w:val="hybridMultilevel"/>
    <w:tmpl w:val="E3BAE11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F6F2210"/>
    <w:multiLevelType w:val="multilevel"/>
    <w:tmpl w:val="D6A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040613E"/>
    <w:multiLevelType w:val="hybridMultilevel"/>
    <w:tmpl w:val="97D65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506E3F87"/>
    <w:multiLevelType w:val="hybridMultilevel"/>
    <w:tmpl w:val="C48CADBA"/>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25D105E"/>
    <w:multiLevelType w:val="multilevel"/>
    <w:tmpl w:val="1BB6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86240D"/>
    <w:multiLevelType w:val="hybridMultilevel"/>
    <w:tmpl w:val="53E4B4B0"/>
    <w:lvl w:ilvl="0" w:tplc="DF56AA24">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8" w15:restartNumberingAfterBreak="0">
    <w:nsid w:val="5336080E"/>
    <w:multiLevelType w:val="hybridMultilevel"/>
    <w:tmpl w:val="56EE7CD4"/>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533C79D1"/>
    <w:multiLevelType w:val="hybridMultilevel"/>
    <w:tmpl w:val="506CB7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0" w15:restartNumberingAfterBreak="0">
    <w:nsid w:val="535D7078"/>
    <w:multiLevelType w:val="hybridMultilevel"/>
    <w:tmpl w:val="A032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15:restartNumberingAfterBreak="0">
    <w:nsid w:val="57C8648A"/>
    <w:multiLevelType w:val="hybridMultilevel"/>
    <w:tmpl w:val="18500E9E"/>
    <w:lvl w:ilvl="0" w:tplc="5C0C9EE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58C30A47"/>
    <w:multiLevelType w:val="hybridMultilevel"/>
    <w:tmpl w:val="F026A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590E38EE"/>
    <w:multiLevelType w:val="hybridMultilevel"/>
    <w:tmpl w:val="87C2B9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4" w15:restartNumberingAfterBreak="0">
    <w:nsid w:val="597E7508"/>
    <w:multiLevelType w:val="hybridMultilevel"/>
    <w:tmpl w:val="282C97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5" w15:restartNumberingAfterBreak="0">
    <w:nsid w:val="5A54081D"/>
    <w:multiLevelType w:val="hybridMultilevel"/>
    <w:tmpl w:val="9A16E0F2"/>
    <w:lvl w:ilvl="0" w:tplc="FFFFFFFF">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5AE845A6"/>
    <w:multiLevelType w:val="multilevel"/>
    <w:tmpl w:val="54386C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BE70280"/>
    <w:multiLevelType w:val="hybridMultilevel"/>
    <w:tmpl w:val="1AFE034A"/>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5C294D31"/>
    <w:multiLevelType w:val="hybridMultilevel"/>
    <w:tmpl w:val="0C2AE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5DFC58E4"/>
    <w:multiLevelType w:val="hybridMultilevel"/>
    <w:tmpl w:val="E4E4848C"/>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5E2751DA"/>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2C7FE5"/>
    <w:multiLevelType w:val="hybridMultilevel"/>
    <w:tmpl w:val="83524838"/>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EF82CFE"/>
    <w:multiLevelType w:val="hybridMultilevel"/>
    <w:tmpl w:val="2984F2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3" w15:restartNumberingAfterBreak="0">
    <w:nsid w:val="61856A0C"/>
    <w:multiLevelType w:val="hybridMultilevel"/>
    <w:tmpl w:val="990E2484"/>
    <w:lvl w:ilvl="0" w:tplc="1409000F">
      <w:start w:val="2"/>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628D09ED"/>
    <w:multiLevelType w:val="hybridMultilevel"/>
    <w:tmpl w:val="4ECC74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5" w15:restartNumberingAfterBreak="0">
    <w:nsid w:val="62F94692"/>
    <w:multiLevelType w:val="hybridMultilevel"/>
    <w:tmpl w:val="C3FA0988"/>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63FF7489"/>
    <w:multiLevelType w:val="multilevel"/>
    <w:tmpl w:val="D40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17" w15:restartNumberingAfterBreak="0">
    <w:nsid w:val="654964DA"/>
    <w:multiLevelType w:val="hybridMultilevel"/>
    <w:tmpl w:val="C7A6C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8" w15:restartNumberingAfterBreak="0">
    <w:nsid w:val="65610938"/>
    <w:multiLevelType w:val="hybridMultilevel"/>
    <w:tmpl w:val="C8E8186C"/>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65757803"/>
    <w:multiLevelType w:val="hybridMultilevel"/>
    <w:tmpl w:val="C9FEAF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65803069"/>
    <w:multiLevelType w:val="hybridMultilevel"/>
    <w:tmpl w:val="B0F89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1" w15:restartNumberingAfterBreak="0">
    <w:nsid w:val="666A4017"/>
    <w:multiLevelType w:val="hybridMultilevel"/>
    <w:tmpl w:val="9A0898C4"/>
    <w:lvl w:ilvl="0" w:tplc="AC8E789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66C560FD"/>
    <w:multiLevelType w:val="hybridMultilevel"/>
    <w:tmpl w:val="25C66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3" w15:restartNumberingAfterBreak="0">
    <w:nsid w:val="673B7DE9"/>
    <w:multiLevelType w:val="hybridMultilevel"/>
    <w:tmpl w:val="5C7C660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698B39DC"/>
    <w:multiLevelType w:val="hybridMultilevel"/>
    <w:tmpl w:val="F65EFC0E"/>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6D02393F"/>
    <w:multiLevelType w:val="multilevel"/>
    <w:tmpl w:val="E62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F0A2116"/>
    <w:multiLevelType w:val="hybridMultilevel"/>
    <w:tmpl w:val="DC2879BC"/>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6F4D2B19"/>
    <w:multiLevelType w:val="hybridMultilevel"/>
    <w:tmpl w:val="4440D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8" w15:restartNumberingAfterBreak="0">
    <w:nsid w:val="6F5014FF"/>
    <w:multiLevelType w:val="hybridMultilevel"/>
    <w:tmpl w:val="48AC47B0"/>
    <w:lvl w:ilvl="0" w:tplc="57ACFBF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6F9566AD"/>
    <w:multiLevelType w:val="hybridMultilevel"/>
    <w:tmpl w:val="AAEE04AE"/>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00C4232"/>
    <w:multiLevelType w:val="hybridMultilevel"/>
    <w:tmpl w:val="A896241C"/>
    <w:lvl w:ilvl="0" w:tplc="1409000F">
      <w:start w:val="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1826A09"/>
    <w:multiLevelType w:val="hybridMultilevel"/>
    <w:tmpl w:val="3F52A21A"/>
    <w:lvl w:ilvl="0" w:tplc="14090001">
      <w:start w:val="1"/>
      <w:numFmt w:val="bullet"/>
      <w:lvlText w:val=""/>
      <w:lvlJc w:val="left"/>
      <w:pPr>
        <w:ind w:left="360" w:hanging="360"/>
      </w:pPr>
      <w:rPr>
        <w:rFonts w:ascii="Symbol" w:hAnsi="Symbol"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72B423AC"/>
    <w:multiLevelType w:val="hybridMultilevel"/>
    <w:tmpl w:val="C736E488"/>
    <w:lvl w:ilvl="0" w:tplc="14090001">
      <w:start w:val="1"/>
      <w:numFmt w:val="bullet"/>
      <w:lvlText w:val=""/>
      <w:lvlJc w:val="left"/>
      <w:pPr>
        <w:ind w:left="360" w:hanging="360"/>
      </w:pPr>
      <w:rPr>
        <w:rFonts w:ascii="Symbol" w:hAnsi="Symbo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76973DDE"/>
    <w:multiLevelType w:val="hybridMultilevel"/>
    <w:tmpl w:val="589CDB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4" w15:restartNumberingAfterBreak="0">
    <w:nsid w:val="76E0317A"/>
    <w:multiLevelType w:val="hybridMultilevel"/>
    <w:tmpl w:val="A13E63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77E67BA"/>
    <w:multiLevelType w:val="hybridMultilevel"/>
    <w:tmpl w:val="D0AE1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6" w15:restartNumberingAfterBreak="0">
    <w:nsid w:val="790E4DA5"/>
    <w:multiLevelType w:val="hybridMultilevel"/>
    <w:tmpl w:val="130AE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795D3407"/>
    <w:multiLevelType w:val="hybridMultilevel"/>
    <w:tmpl w:val="3DEE6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8" w15:restartNumberingAfterBreak="0">
    <w:nsid w:val="7985483C"/>
    <w:multiLevelType w:val="hybridMultilevel"/>
    <w:tmpl w:val="EF181F76"/>
    <w:lvl w:ilvl="0" w:tplc="6C0C94C2">
      <w:start w:val="1"/>
      <w:numFmt w:val="bullet"/>
      <w:pStyle w:val="Tablebullet"/>
      <w:lvlText w:val=""/>
      <w:lvlJc w:val="left"/>
      <w:pPr>
        <w:ind w:left="720" w:hanging="360"/>
      </w:pPr>
      <w:rPr>
        <w:rFonts w:ascii="Symbol" w:hAnsi="Symbol"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A00156A"/>
    <w:multiLevelType w:val="hybridMultilevel"/>
    <w:tmpl w:val="6CAEC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0" w15:restartNumberingAfterBreak="0">
    <w:nsid w:val="7A4C7A81"/>
    <w:multiLevelType w:val="hybridMultilevel"/>
    <w:tmpl w:val="0DC6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CE23473"/>
    <w:multiLevelType w:val="hybridMultilevel"/>
    <w:tmpl w:val="E76224FC"/>
    <w:lvl w:ilvl="0" w:tplc="14090001">
      <w:start w:val="1"/>
      <w:numFmt w:val="bullet"/>
      <w:lvlText w:val=""/>
      <w:lvlJc w:val="left"/>
      <w:pPr>
        <w:ind w:left="360" w:hanging="360"/>
      </w:pPr>
      <w:rPr>
        <w:rFonts w:ascii="Symbol" w:hAnsi="Symbol" w:hint="default"/>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7CE4121C"/>
    <w:multiLevelType w:val="hybridMultilevel"/>
    <w:tmpl w:val="F15042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3" w15:restartNumberingAfterBreak="0">
    <w:nsid w:val="7D6E2DA8"/>
    <w:multiLevelType w:val="hybridMultilevel"/>
    <w:tmpl w:val="A25AE8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4" w15:restartNumberingAfterBreak="0">
    <w:nsid w:val="7F8436E6"/>
    <w:multiLevelType w:val="hybridMultilevel"/>
    <w:tmpl w:val="9C7833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00"/>
  </w:num>
  <w:num w:numId="3">
    <w:abstractNumId w:val="117"/>
  </w:num>
  <w:num w:numId="4">
    <w:abstractNumId w:val="137"/>
  </w:num>
  <w:num w:numId="5">
    <w:abstractNumId w:val="72"/>
  </w:num>
  <w:num w:numId="6">
    <w:abstractNumId w:val="73"/>
  </w:num>
  <w:num w:numId="7">
    <w:abstractNumId w:val="15"/>
  </w:num>
  <w:num w:numId="8">
    <w:abstractNumId w:val="28"/>
  </w:num>
  <w:num w:numId="9">
    <w:abstractNumId w:val="38"/>
  </w:num>
  <w:num w:numId="10">
    <w:abstractNumId w:val="68"/>
  </w:num>
  <w:num w:numId="11">
    <w:abstractNumId w:val="104"/>
  </w:num>
  <w:num w:numId="12">
    <w:abstractNumId w:val="71"/>
  </w:num>
  <w:num w:numId="13">
    <w:abstractNumId w:val="144"/>
  </w:num>
  <w:num w:numId="14">
    <w:abstractNumId w:val="35"/>
  </w:num>
  <w:num w:numId="15">
    <w:abstractNumId w:val="99"/>
  </w:num>
  <w:num w:numId="16">
    <w:abstractNumId w:val="5"/>
  </w:num>
  <w:num w:numId="17">
    <w:abstractNumId w:val="7"/>
  </w:num>
  <w:num w:numId="18">
    <w:abstractNumId w:val="9"/>
  </w:num>
  <w:num w:numId="19">
    <w:abstractNumId w:val="139"/>
  </w:num>
  <w:num w:numId="20">
    <w:abstractNumId w:val="142"/>
  </w:num>
  <w:num w:numId="21">
    <w:abstractNumId w:val="78"/>
  </w:num>
  <w:num w:numId="22">
    <w:abstractNumId w:val="112"/>
  </w:num>
  <w:num w:numId="23">
    <w:abstractNumId w:val="143"/>
  </w:num>
  <w:num w:numId="24">
    <w:abstractNumId w:val="42"/>
  </w:num>
  <w:num w:numId="25">
    <w:abstractNumId w:val="12"/>
  </w:num>
  <w:num w:numId="26">
    <w:abstractNumId w:val="24"/>
  </w:num>
  <w:num w:numId="27">
    <w:abstractNumId w:val="33"/>
  </w:num>
  <w:num w:numId="28">
    <w:abstractNumId w:val="94"/>
  </w:num>
  <w:num w:numId="29">
    <w:abstractNumId w:val="136"/>
  </w:num>
  <w:num w:numId="30">
    <w:abstractNumId w:val="61"/>
  </w:num>
  <w:num w:numId="31">
    <w:abstractNumId w:val="133"/>
  </w:num>
  <w:num w:numId="32">
    <w:abstractNumId w:val="122"/>
  </w:num>
  <w:num w:numId="33">
    <w:abstractNumId w:val="127"/>
  </w:num>
  <w:num w:numId="34">
    <w:abstractNumId w:val="3"/>
  </w:num>
  <w:num w:numId="35">
    <w:abstractNumId w:val="79"/>
  </w:num>
  <w:num w:numId="36">
    <w:abstractNumId w:val="110"/>
  </w:num>
  <w:num w:numId="37">
    <w:abstractNumId w:val="52"/>
  </w:num>
  <w:num w:numId="38">
    <w:abstractNumId w:val="69"/>
  </w:num>
  <w:num w:numId="39">
    <w:abstractNumId w:val="138"/>
  </w:num>
  <w:num w:numId="40">
    <w:abstractNumId w:val="21"/>
  </w:num>
  <w:num w:numId="41">
    <w:abstractNumId w:val="114"/>
  </w:num>
  <w:num w:numId="42">
    <w:abstractNumId w:val="4"/>
  </w:num>
  <w:num w:numId="43">
    <w:abstractNumId w:val="20"/>
  </w:num>
  <w:num w:numId="44">
    <w:abstractNumId w:val="46"/>
  </w:num>
  <w:num w:numId="45">
    <w:abstractNumId w:val="108"/>
  </w:num>
  <w:num w:numId="46">
    <w:abstractNumId w:val="90"/>
  </w:num>
  <w:num w:numId="47">
    <w:abstractNumId w:val="87"/>
  </w:num>
  <w:num w:numId="48">
    <w:abstractNumId w:val="135"/>
  </w:num>
  <w:num w:numId="49">
    <w:abstractNumId w:val="18"/>
  </w:num>
  <w:num w:numId="50">
    <w:abstractNumId w:val="27"/>
  </w:num>
  <w:num w:numId="51">
    <w:abstractNumId w:val="8"/>
  </w:num>
  <w:num w:numId="52">
    <w:abstractNumId w:val="43"/>
  </w:num>
  <w:num w:numId="53">
    <w:abstractNumId w:val="107"/>
  </w:num>
  <w:num w:numId="54">
    <w:abstractNumId w:val="95"/>
  </w:num>
  <w:num w:numId="55">
    <w:abstractNumId w:val="115"/>
  </w:num>
  <w:num w:numId="56">
    <w:abstractNumId w:val="103"/>
  </w:num>
  <w:num w:numId="57">
    <w:abstractNumId w:val="57"/>
  </w:num>
  <w:num w:numId="58">
    <w:abstractNumId w:val="41"/>
  </w:num>
  <w:num w:numId="59">
    <w:abstractNumId w:val="54"/>
  </w:num>
  <w:num w:numId="60">
    <w:abstractNumId w:val="126"/>
  </w:num>
  <w:num w:numId="61">
    <w:abstractNumId w:val="80"/>
  </w:num>
  <w:num w:numId="62">
    <w:abstractNumId w:val="50"/>
  </w:num>
  <w:num w:numId="63">
    <w:abstractNumId w:val="132"/>
  </w:num>
  <w:num w:numId="64">
    <w:abstractNumId w:val="105"/>
  </w:num>
  <w:num w:numId="65">
    <w:abstractNumId w:val="74"/>
  </w:num>
  <w:num w:numId="66">
    <w:abstractNumId w:val="97"/>
  </w:num>
  <w:num w:numId="67">
    <w:abstractNumId w:val="31"/>
  </w:num>
  <w:num w:numId="68">
    <w:abstractNumId w:val="11"/>
  </w:num>
  <w:num w:numId="69">
    <w:abstractNumId w:val="98"/>
  </w:num>
  <w:num w:numId="70">
    <w:abstractNumId w:val="44"/>
  </w:num>
  <w:num w:numId="71">
    <w:abstractNumId w:val="111"/>
  </w:num>
  <w:num w:numId="72">
    <w:abstractNumId w:val="17"/>
  </w:num>
  <w:num w:numId="73">
    <w:abstractNumId w:val="118"/>
  </w:num>
  <w:num w:numId="74">
    <w:abstractNumId w:val="66"/>
  </w:num>
  <w:num w:numId="75">
    <w:abstractNumId w:val="86"/>
  </w:num>
  <w:num w:numId="76">
    <w:abstractNumId w:val="83"/>
  </w:num>
  <w:num w:numId="77">
    <w:abstractNumId w:val="19"/>
  </w:num>
  <w:num w:numId="78">
    <w:abstractNumId w:val="22"/>
  </w:num>
  <w:num w:numId="79">
    <w:abstractNumId w:val="129"/>
  </w:num>
  <w:num w:numId="80">
    <w:abstractNumId w:val="124"/>
  </w:num>
  <w:num w:numId="81">
    <w:abstractNumId w:val="30"/>
  </w:num>
  <w:num w:numId="82">
    <w:abstractNumId w:val="131"/>
  </w:num>
  <w:num w:numId="83">
    <w:abstractNumId w:val="51"/>
  </w:num>
  <w:num w:numId="84">
    <w:abstractNumId w:val="109"/>
  </w:num>
  <w:num w:numId="85">
    <w:abstractNumId w:val="85"/>
  </w:num>
  <w:num w:numId="86">
    <w:abstractNumId w:val="60"/>
  </w:num>
  <w:num w:numId="87">
    <w:abstractNumId w:val="40"/>
  </w:num>
  <w:num w:numId="88">
    <w:abstractNumId w:val="120"/>
  </w:num>
  <w:num w:numId="89">
    <w:abstractNumId w:val="39"/>
  </w:num>
  <w:num w:numId="90">
    <w:abstractNumId w:val="92"/>
  </w:num>
  <w:num w:numId="91">
    <w:abstractNumId w:val="75"/>
  </w:num>
  <w:num w:numId="92">
    <w:abstractNumId w:val="56"/>
  </w:num>
  <w:num w:numId="93">
    <w:abstractNumId w:val="70"/>
  </w:num>
  <w:num w:numId="94">
    <w:abstractNumId w:val="106"/>
  </w:num>
  <w:num w:numId="95">
    <w:abstractNumId w:val="88"/>
  </w:num>
  <w:num w:numId="96">
    <w:abstractNumId w:val="119"/>
  </w:num>
  <w:num w:numId="97">
    <w:abstractNumId w:val="49"/>
  </w:num>
  <w:num w:numId="98">
    <w:abstractNumId w:val="53"/>
  </w:num>
  <w:num w:numId="99">
    <w:abstractNumId w:val="36"/>
  </w:num>
  <w:num w:numId="100">
    <w:abstractNumId w:val="2"/>
  </w:num>
  <w:num w:numId="101">
    <w:abstractNumId w:val="16"/>
  </w:num>
  <w:num w:numId="102">
    <w:abstractNumId w:val="37"/>
  </w:num>
  <w:num w:numId="103">
    <w:abstractNumId w:val="64"/>
  </w:num>
  <w:num w:numId="104">
    <w:abstractNumId w:val="76"/>
  </w:num>
  <w:num w:numId="105">
    <w:abstractNumId w:val="67"/>
  </w:num>
  <w:num w:numId="106">
    <w:abstractNumId w:val="91"/>
  </w:num>
  <w:num w:numId="107">
    <w:abstractNumId w:val="96"/>
  </w:num>
  <w:num w:numId="108">
    <w:abstractNumId w:val="25"/>
  </w:num>
  <w:num w:numId="109">
    <w:abstractNumId w:val="62"/>
  </w:num>
  <w:num w:numId="110">
    <w:abstractNumId w:val="45"/>
  </w:num>
  <w:num w:numId="111">
    <w:abstractNumId w:val="0"/>
  </w:num>
  <w:num w:numId="112">
    <w:abstractNumId w:val="130"/>
  </w:num>
  <w:num w:numId="113">
    <w:abstractNumId w:val="123"/>
  </w:num>
  <w:num w:numId="114">
    <w:abstractNumId w:val="113"/>
  </w:num>
  <w:num w:numId="115">
    <w:abstractNumId w:val="55"/>
  </w:num>
  <w:num w:numId="116">
    <w:abstractNumId w:val="63"/>
  </w:num>
  <w:num w:numId="117">
    <w:abstractNumId w:val="1"/>
  </w:num>
  <w:num w:numId="118">
    <w:abstractNumId w:val="6"/>
  </w:num>
  <w:num w:numId="119">
    <w:abstractNumId w:val="141"/>
  </w:num>
  <w:num w:numId="120">
    <w:abstractNumId w:val="134"/>
  </w:num>
  <w:num w:numId="121">
    <w:abstractNumId w:val="82"/>
  </w:num>
  <w:num w:numId="122">
    <w:abstractNumId w:val="121"/>
  </w:num>
  <w:num w:numId="123">
    <w:abstractNumId w:val="47"/>
  </w:num>
  <w:num w:numId="124">
    <w:abstractNumId w:val="77"/>
  </w:num>
  <w:num w:numId="125">
    <w:abstractNumId w:val="23"/>
  </w:num>
  <w:num w:numId="126">
    <w:abstractNumId w:val="59"/>
  </w:num>
  <w:num w:numId="127">
    <w:abstractNumId w:val="81"/>
  </w:num>
  <w:num w:numId="128">
    <w:abstractNumId w:val="89"/>
  </w:num>
  <w:num w:numId="129">
    <w:abstractNumId w:val="48"/>
  </w:num>
  <w:num w:numId="130">
    <w:abstractNumId w:val="32"/>
  </w:num>
  <w:num w:numId="131">
    <w:abstractNumId w:val="84"/>
  </w:num>
  <w:num w:numId="132">
    <w:abstractNumId w:val="58"/>
  </w:num>
  <w:num w:numId="133">
    <w:abstractNumId w:val="93"/>
  </w:num>
  <w:num w:numId="134">
    <w:abstractNumId w:val="101"/>
  </w:num>
  <w:num w:numId="135">
    <w:abstractNumId w:val="102"/>
  </w:num>
  <w:num w:numId="136">
    <w:abstractNumId w:val="128"/>
  </w:num>
  <w:num w:numId="137">
    <w:abstractNumId w:val="14"/>
  </w:num>
  <w:num w:numId="138">
    <w:abstractNumId w:val="34"/>
  </w:num>
  <w:num w:numId="139">
    <w:abstractNumId w:val="26"/>
  </w:num>
  <w:num w:numId="140">
    <w:abstractNumId w:val="138"/>
  </w:num>
  <w:num w:numId="141">
    <w:abstractNumId w:val="29"/>
  </w:num>
  <w:num w:numId="142">
    <w:abstractNumId w:val="116"/>
  </w:num>
  <w:num w:numId="143">
    <w:abstractNumId w:val="65"/>
  </w:num>
  <w:num w:numId="144">
    <w:abstractNumId w:val="125"/>
  </w:num>
  <w:num w:numId="145">
    <w:abstractNumId w:val="140"/>
  </w:num>
  <w:num w:numId="146">
    <w:abstractNumId w:val="1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NZ"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AU" w:vendorID="64" w:dllVersion="6" w:nlCheck="1" w:checkStyle="1"/>
  <w:activeWritingStyle w:appName="MSWord" w:lang="en-NZ"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DExNbM0NLQ0MzJX0lEKTi0uzszPAykwsqgFANpQCQI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rsaxdabra5vbetweq59t9tx9rpwr9zf0ps&quot;&gt;evidenceNZ with intl benchmarks Copy&lt;record-ids&gt;&lt;item&gt;5&lt;/item&gt;&lt;item&gt;6&lt;/item&gt;&lt;item&gt;17&lt;/item&gt;&lt;item&gt;18&lt;/item&gt;&lt;item&gt;23&lt;/item&gt;&lt;item&gt;24&lt;/item&gt;&lt;item&gt;25&lt;/item&gt;&lt;item&gt;26&lt;/item&gt;&lt;item&gt;38&lt;/item&gt;&lt;item&gt;39&lt;/item&gt;&lt;item&gt;44&lt;/item&gt;&lt;item&gt;54&lt;/item&gt;&lt;item&gt;55&lt;/item&gt;&lt;item&gt;56&lt;/item&gt;&lt;item&gt;58&lt;/item&gt;&lt;item&gt;59&lt;/item&gt;&lt;item&gt;60&lt;/item&gt;&lt;item&gt;66&lt;/item&gt;&lt;item&gt;69&lt;/item&gt;&lt;item&gt;75&lt;/item&gt;&lt;item&gt;76&lt;/item&gt;&lt;item&gt;77&lt;/item&gt;&lt;item&gt;78&lt;/item&gt;&lt;item&gt;79&lt;/item&gt;&lt;item&gt;80&lt;/item&gt;&lt;item&gt;81&lt;/item&gt;&lt;item&gt;87&lt;/item&gt;&lt;item&gt;88&lt;/item&gt;&lt;item&gt;89&lt;/item&gt;&lt;item&gt;90&lt;/item&gt;&lt;item&gt;91&lt;/item&gt;&lt;item&gt;92&lt;/item&gt;&lt;item&gt;93&lt;/item&gt;&lt;item&gt;94&lt;/item&gt;&lt;item&gt;96&lt;/item&gt;&lt;item&gt;98&lt;/item&gt;&lt;item&gt;99&lt;/item&gt;&lt;item&gt;100&lt;/item&gt;&lt;item&gt;101&lt;/item&gt;&lt;item&gt;102&lt;/item&gt;&lt;item&gt;103&lt;/item&gt;&lt;item&gt;110&lt;/item&gt;&lt;item&gt;111&lt;/item&gt;&lt;item&gt;112&lt;/item&gt;&lt;item&gt;114&lt;/item&gt;&lt;item&gt;115&lt;/item&gt;&lt;item&gt;116&lt;/item&gt;&lt;item&gt;117&lt;/item&gt;&lt;item&gt;118&lt;/item&gt;&lt;item&gt;119&lt;/item&gt;&lt;item&gt;122&lt;/item&gt;&lt;item&gt;123&lt;/item&gt;&lt;item&gt;125&lt;/item&gt;&lt;item&gt;132&lt;/item&gt;&lt;item&gt;135&lt;/item&gt;&lt;item&gt;136&lt;/item&gt;&lt;item&gt;138&lt;/item&gt;&lt;item&gt;147&lt;/item&gt;&lt;item&gt;150&lt;/item&gt;&lt;item&gt;151&lt;/item&gt;&lt;item&gt;158&lt;/item&gt;&lt;item&gt;165&lt;/item&gt;&lt;item&gt;167&lt;/item&gt;&lt;item&gt;168&lt;/item&gt;&lt;item&gt;169&lt;/item&gt;&lt;item&gt;170&lt;/item&gt;&lt;item&gt;175&lt;/item&gt;&lt;item&gt;176&lt;/item&gt;&lt;item&gt;178&lt;/item&gt;&lt;item&gt;199&lt;/item&gt;&lt;item&gt;201&lt;/item&gt;&lt;item&gt;207&lt;/item&gt;&lt;item&gt;208&lt;/item&gt;&lt;item&gt;209&lt;/item&gt;&lt;item&gt;210&lt;/item&gt;&lt;item&gt;212&lt;/item&gt;&lt;item&gt;215&lt;/item&gt;&lt;item&gt;228&lt;/item&gt;&lt;item&gt;229&lt;/item&gt;&lt;item&gt;232&lt;/item&gt;&lt;item&gt;246&lt;/item&gt;&lt;item&gt;255&lt;/item&gt;&lt;item&gt;257&lt;/item&gt;&lt;item&gt;258&lt;/item&gt;&lt;item&gt;260&lt;/item&gt;&lt;item&gt;261&lt;/item&gt;&lt;item&gt;262&lt;/item&gt;&lt;item&gt;264&lt;/item&gt;&lt;item&gt;267&lt;/item&gt;&lt;item&gt;269&lt;/item&gt;&lt;item&gt;270&lt;/item&gt;&lt;item&gt;273&lt;/item&gt;&lt;item&gt;278&lt;/item&gt;&lt;item&gt;279&lt;/item&gt;&lt;item&gt;280&lt;/item&gt;&lt;item&gt;282&lt;/item&gt;&lt;item&gt;283&lt;/item&gt;&lt;item&gt;285&lt;/item&gt;&lt;item&gt;288&lt;/item&gt;&lt;item&gt;289&lt;/item&gt;&lt;item&gt;291&lt;/item&gt;&lt;item&gt;293&lt;/item&gt;&lt;item&gt;296&lt;/item&gt;&lt;item&gt;297&lt;/item&gt;&lt;item&gt;298&lt;/item&gt;&lt;item&gt;299&lt;/item&gt;&lt;item&gt;300&lt;/item&gt;&lt;item&gt;301&lt;/item&gt;&lt;item&gt;302&lt;/item&gt;&lt;item&gt;303&lt;/item&gt;&lt;item&gt;304&lt;/item&gt;&lt;item&gt;305&lt;/item&gt;&lt;item&gt;306&lt;/item&gt;&lt;item&gt;307&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6&lt;/item&gt;&lt;item&gt;347&lt;/item&gt;&lt;item&gt;349&lt;/item&gt;&lt;item&gt;350&lt;/item&gt;&lt;item&gt;351&lt;/item&gt;&lt;item&gt;352&lt;/item&gt;&lt;item&gt;353&lt;/item&gt;&lt;item&gt;354&lt;/item&gt;&lt;item&gt;355&lt;/item&gt;&lt;item&gt;356&lt;/item&gt;&lt;item&gt;357&lt;/item&gt;&lt;item&gt;360&lt;/item&gt;&lt;item&gt;362&lt;/item&gt;&lt;item&gt;364&lt;/item&gt;&lt;item&gt;365&lt;/item&gt;&lt;item&gt;366&lt;/item&gt;&lt;item&gt;367&lt;/item&gt;&lt;item&gt;368&lt;/item&gt;&lt;item&gt;369&lt;/item&gt;&lt;item&gt;370&lt;/item&gt;&lt;item&gt;371&lt;/item&gt;&lt;item&gt;372&lt;/item&gt;&lt;item&gt;373&lt;/item&gt;&lt;item&gt;374&lt;/item&gt;&lt;item&gt;375&lt;/item&gt;&lt;item&gt;378&lt;/item&gt;&lt;item&gt;379&lt;/item&gt;&lt;item&gt;380&lt;/item&gt;&lt;item&gt;381&lt;/item&gt;&lt;item&gt;382&lt;/item&gt;&lt;item&gt;384&lt;/item&gt;&lt;item&gt;385&lt;/item&gt;&lt;item&gt;386&lt;/item&gt;&lt;item&gt;388&lt;/item&gt;&lt;item&gt;390&lt;/item&gt;&lt;item&gt;392&lt;/item&gt;&lt;item&gt;393&lt;/item&gt;&lt;item&gt;395&lt;/item&gt;&lt;item&gt;396&lt;/item&gt;&lt;item&gt;397&lt;/item&gt;&lt;item&gt;400&lt;/item&gt;&lt;item&gt;401&lt;/item&gt;&lt;item&gt;402&lt;/item&gt;&lt;item&gt;403&lt;/item&gt;&lt;item&gt;404&lt;/item&gt;&lt;item&gt;405&lt;/item&gt;&lt;item&gt;406&lt;/item&gt;&lt;item&gt;407&lt;/item&gt;&lt;item&gt;409&lt;/item&gt;&lt;item&gt;410&lt;/item&gt;&lt;item&gt;414&lt;/item&gt;&lt;item&gt;415&lt;/item&gt;&lt;item&gt;416&lt;/item&gt;&lt;item&gt;417&lt;/item&gt;&lt;item&gt;421&lt;/item&gt;&lt;item&gt;422&lt;/item&gt;&lt;item&gt;426&lt;/item&gt;&lt;item&gt;427&lt;/item&gt;&lt;item&gt;428&lt;/item&gt;&lt;item&gt;429&lt;/item&gt;&lt;item&gt;430&lt;/item&gt;&lt;item&gt;431&lt;/item&gt;&lt;item&gt;432&lt;/item&gt;&lt;item&gt;433&lt;/item&gt;&lt;item&gt;436&lt;/item&gt;&lt;item&gt;437&lt;/item&gt;&lt;item&gt;442&lt;/item&gt;&lt;item&gt;443&lt;/item&gt;&lt;item&gt;444&lt;/item&gt;&lt;item&gt;445&lt;/item&gt;&lt;item&gt;446&lt;/item&gt;&lt;item&gt;452&lt;/item&gt;&lt;item&gt;453&lt;/item&gt;&lt;item&gt;454&lt;/item&gt;&lt;item&gt;455&lt;/item&gt;&lt;item&gt;456&lt;/item&gt;&lt;item&gt;457&lt;/item&gt;&lt;item&gt;458&lt;/item&gt;&lt;item&gt;460&lt;/item&gt;&lt;item&gt;463&lt;/item&gt;&lt;item&gt;464&lt;/item&gt;&lt;item&gt;465&lt;/item&gt;&lt;item&gt;469&lt;/item&gt;&lt;item&gt;470&lt;/item&gt;&lt;item&gt;471&lt;/item&gt;&lt;item&gt;472&lt;/item&gt;&lt;item&gt;473&lt;/item&gt;&lt;item&gt;474&lt;/item&gt;&lt;item&gt;476&lt;/item&gt;&lt;item&gt;477&lt;/item&gt;&lt;item&gt;478&lt;/item&gt;&lt;item&gt;479&lt;/item&gt;&lt;item&gt;486&lt;/item&gt;&lt;item&gt;487&lt;/item&gt;&lt;item&gt;488&lt;/item&gt;&lt;item&gt;491&lt;/item&gt;&lt;item&gt;492&lt;/item&gt;&lt;item&gt;493&lt;/item&gt;&lt;item&gt;494&lt;/item&gt;&lt;item&gt;495&lt;/item&gt;&lt;item&gt;496&lt;/item&gt;&lt;item&gt;498&lt;/item&gt;&lt;item&gt;499&lt;/item&gt;&lt;item&gt;500&lt;/item&gt;&lt;item&gt;501&lt;/item&gt;&lt;item&gt;502&lt;/item&gt;&lt;item&gt;503&lt;/item&gt;&lt;item&gt;504&lt;/item&gt;&lt;item&gt;505&lt;/item&gt;&lt;item&gt;506&lt;/item&gt;&lt;item&gt;507&lt;/item&gt;&lt;item&gt;509&lt;/item&gt;&lt;item&gt;510&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record-ids&gt;&lt;/item&gt;&lt;/Libraries&gt;"/>
  </w:docVars>
  <w:rsids>
    <w:rsidRoot w:val="00761A15"/>
    <w:rsid w:val="00000A11"/>
    <w:rsid w:val="00001361"/>
    <w:rsid w:val="000016C2"/>
    <w:rsid w:val="00001964"/>
    <w:rsid w:val="00001C65"/>
    <w:rsid w:val="000024C1"/>
    <w:rsid w:val="00002619"/>
    <w:rsid w:val="000026A2"/>
    <w:rsid w:val="00002B53"/>
    <w:rsid w:val="000033F3"/>
    <w:rsid w:val="000033F6"/>
    <w:rsid w:val="00003D37"/>
    <w:rsid w:val="00005199"/>
    <w:rsid w:val="00005C1A"/>
    <w:rsid w:val="000060C2"/>
    <w:rsid w:val="00006116"/>
    <w:rsid w:val="000066BD"/>
    <w:rsid w:val="0000694E"/>
    <w:rsid w:val="00006C0F"/>
    <w:rsid w:val="00006EE1"/>
    <w:rsid w:val="00006F31"/>
    <w:rsid w:val="000072A7"/>
    <w:rsid w:val="00007576"/>
    <w:rsid w:val="0000798F"/>
    <w:rsid w:val="00007FC7"/>
    <w:rsid w:val="00010269"/>
    <w:rsid w:val="00010575"/>
    <w:rsid w:val="000105B4"/>
    <w:rsid w:val="00010A22"/>
    <w:rsid w:val="0001181E"/>
    <w:rsid w:val="000120EB"/>
    <w:rsid w:val="00012194"/>
    <w:rsid w:val="000123F9"/>
    <w:rsid w:val="00012F98"/>
    <w:rsid w:val="000138CF"/>
    <w:rsid w:val="00013A78"/>
    <w:rsid w:val="000146F1"/>
    <w:rsid w:val="00014CEB"/>
    <w:rsid w:val="00015141"/>
    <w:rsid w:val="00015243"/>
    <w:rsid w:val="000152F0"/>
    <w:rsid w:val="00015891"/>
    <w:rsid w:val="00015C27"/>
    <w:rsid w:val="00015D6F"/>
    <w:rsid w:val="00015EB8"/>
    <w:rsid w:val="0001629B"/>
    <w:rsid w:val="00016504"/>
    <w:rsid w:val="000166B7"/>
    <w:rsid w:val="00016875"/>
    <w:rsid w:val="00016A47"/>
    <w:rsid w:val="000176B6"/>
    <w:rsid w:val="00017EFA"/>
    <w:rsid w:val="00020AED"/>
    <w:rsid w:val="0002115F"/>
    <w:rsid w:val="000212C8"/>
    <w:rsid w:val="00021B08"/>
    <w:rsid w:val="0002211A"/>
    <w:rsid w:val="00022135"/>
    <w:rsid w:val="0002251B"/>
    <w:rsid w:val="000226D0"/>
    <w:rsid w:val="00022EAF"/>
    <w:rsid w:val="000231A8"/>
    <w:rsid w:val="00023439"/>
    <w:rsid w:val="000234BC"/>
    <w:rsid w:val="000239AE"/>
    <w:rsid w:val="00023A8C"/>
    <w:rsid w:val="00024717"/>
    <w:rsid w:val="0002557B"/>
    <w:rsid w:val="00025704"/>
    <w:rsid w:val="000259E0"/>
    <w:rsid w:val="00026811"/>
    <w:rsid w:val="00027371"/>
    <w:rsid w:val="000273D5"/>
    <w:rsid w:val="00027448"/>
    <w:rsid w:val="00027606"/>
    <w:rsid w:val="000276CA"/>
    <w:rsid w:val="00027B4B"/>
    <w:rsid w:val="00027B85"/>
    <w:rsid w:val="00030452"/>
    <w:rsid w:val="00030670"/>
    <w:rsid w:val="0003078B"/>
    <w:rsid w:val="000307BC"/>
    <w:rsid w:val="000308DC"/>
    <w:rsid w:val="00030A99"/>
    <w:rsid w:val="00030AE3"/>
    <w:rsid w:val="00030D0D"/>
    <w:rsid w:val="000314A5"/>
    <w:rsid w:val="00031964"/>
    <w:rsid w:val="00031CB2"/>
    <w:rsid w:val="00031FFF"/>
    <w:rsid w:val="00032069"/>
    <w:rsid w:val="00032603"/>
    <w:rsid w:val="00032BDB"/>
    <w:rsid w:val="00032CB8"/>
    <w:rsid w:val="00033093"/>
    <w:rsid w:val="0003329F"/>
    <w:rsid w:val="00033521"/>
    <w:rsid w:val="00034044"/>
    <w:rsid w:val="00034507"/>
    <w:rsid w:val="000346D4"/>
    <w:rsid w:val="000357C8"/>
    <w:rsid w:val="00035A67"/>
    <w:rsid w:val="00035AAC"/>
    <w:rsid w:val="00035BE0"/>
    <w:rsid w:val="00035CCA"/>
    <w:rsid w:val="00035EB1"/>
    <w:rsid w:val="000363B6"/>
    <w:rsid w:val="000365B5"/>
    <w:rsid w:val="00036680"/>
    <w:rsid w:val="00036A2A"/>
    <w:rsid w:val="00036F5E"/>
    <w:rsid w:val="000371AA"/>
    <w:rsid w:val="00037B71"/>
    <w:rsid w:val="00040116"/>
    <w:rsid w:val="00040C4A"/>
    <w:rsid w:val="00041395"/>
    <w:rsid w:val="0004139D"/>
    <w:rsid w:val="00041588"/>
    <w:rsid w:val="000415F7"/>
    <w:rsid w:val="0004171F"/>
    <w:rsid w:val="0004202D"/>
    <w:rsid w:val="00042E57"/>
    <w:rsid w:val="00043418"/>
    <w:rsid w:val="000437AF"/>
    <w:rsid w:val="0004393E"/>
    <w:rsid w:val="00043B4E"/>
    <w:rsid w:val="00043E09"/>
    <w:rsid w:val="0004403B"/>
    <w:rsid w:val="000443E0"/>
    <w:rsid w:val="000456E1"/>
    <w:rsid w:val="00046079"/>
    <w:rsid w:val="0004609E"/>
    <w:rsid w:val="000460A1"/>
    <w:rsid w:val="00046833"/>
    <w:rsid w:val="00046BB4"/>
    <w:rsid w:val="00047C75"/>
    <w:rsid w:val="00047DBB"/>
    <w:rsid w:val="0005025E"/>
    <w:rsid w:val="00050391"/>
    <w:rsid w:val="000503B7"/>
    <w:rsid w:val="00050BB2"/>
    <w:rsid w:val="00051B1A"/>
    <w:rsid w:val="00051C88"/>
    <w:rsid w:val="00051E8D"/>
    <w:rsid w:val="000523B4"/>
    <w:rsid w:val="0005248F"/>
    <w:rsid w:val="000525F2"/>
    <w:rsid w:val="000526C6"/>
    <w:rsid w:val="00052D77"/>
    <w:rsid w:val="00052E5C"/>
    <w:rsid w:val="00052F45"/>
    <w:rsid w:val="0005304E"/>
    <w:rsid w:val="000532DB"/>
    <w:rsid w:val="000536C0"/>
    <w:rsid w:val="00054BA3"/>
    <w:rsid w:val="00055A50"/>
    <w:rsid w:val="000565AA"/>
    <w:rsid w:val="00057176"/>
    <w:rsid w:val="00057190"/>
    <w:rsid w:val="000571A2"/>
    <w:rsid w:val="000571C6"/>
    <w:rsid w:val="000577BB"/>
    <w:rsid w:val="0006073D"/>
    <w:rsid w:val="00060E60"/>
    <w:rsid w:val="00060F99"/>
    <w:rsid w:val="000610C2"/>
    <w:rsid w:val="0006132D"/>
    <w:rsid w:val="0006190E"/>
    <w:rsid w:val="000619AA"/>
    <w:rsid w:val="000623C2"/>
    <w:rsid w:val="00062A69"/>
    <w:rsid w:val="00062B9D"/>
    <w:rsid w:val="00063044"/>
    <w:rsid w:val="00063208"/>
    <w:rsid w:val="0006378D"/>
    <w:rsid w:val="00063BDB"/>
    <w:rsid w:val="00064139"/>
    <w:rsid w:val="00064251"/>
    <w:rsid w:val="00064FE3"/>
    <w:rsid w:val="00065940"/>
    <w:rsid w:val="00065A3F"/>
    <w:rsid w:val="00065A42"/>
    <w:rsid w:val="00065C3B"/>
    <w:rsid w:val="000661B1"/>
    <w:rsid w:val="0006622E"/>
    <w:rsid w:val="00066524"/>
    <w:rsid w:val="00066717"/>
    <w:rsid w:val="00066970"/>
    <w:rsid w:val="00066DBD"/>
    <w:rsid w:val="00066E2B"/>
    <w:rsid w:val="00067029"/>
    <w:rsid w:val="00067152"/>
    <w:rsid w:val="000673E5"/>
    <w:rsid w:val="00067634"/>
    <w:rsid w:val="00067834"/>
    <w:rsid w:val="00067CDC"/>
    <w:rsid w:val="00067D2A"/>
    <w:rsid w:val="000703E2"/>
    <w:rsid w:val="00070739"/>
    <w:rsid w:val="00070A59"/>
    <w:rsid w:val="000710BD"/>
    <w:rsid w:val="000716BE"/>
    <w:rsid w:val="0007184C"/>
    <w:rsid w:val="00071DA6"/>
    <w:rsid w:val="00071E8F"/>
    <w:rsid w:val="00072199"/>
    <w:rsid w:val="000729CA"/>
    <w:rsid w:val="00072E5F"/>
    <w:rsid w:val="000736EA"/>
    <w:rsid w:val="00073871"/>
    <w:rsid w:val="00073911"/>
    <w:rsid w:val="00073B04"/>
    <w:rsid w:val="00073CBB"/>
    <w:rsid w:val="000744B9"/>
    <w:rsid w:val="00074739"/>
    <w:rsid w:val="000748E9"/>
    <w:rsid w:val="00074C37"/>
    <w:rsid w:val="00074CAA"/>
    <w:rsid w:val="000755E7"/>
    <w:rsid w:val="00075B4D"/>
    <w:rsid w:val="00075E5B"/>
    <w:rsid w:val="000760A1"/>
    <w:rsid w:val="00076233"/>
    <w:rsid w:val="0007631B"/>
    <w:rsid w:val="00076783"/>
    <w:rsid w:val="0007685E"/>
    <w:rsid w:val="000778F0"/>
    <w:rsid w:val="0007790B"/>
    <w:rsid w:val="00077C58"/>
    <w:rsid w:val="00077CC3"/>
    <w:rsid w:val="00077E6D"/>
    <w:rsid w:val="00077EA5"/>
    <w:rsid w:val="00077F76"/>
    <w:rsid w:val="00080323"/>
    <w:rsid w:val="000814A4"/>
    <w:rsid w:val="00081617"/>
    <w:rsid w:val="00081731"/>
    <w:rsid w:val="00081C37"/>
    <w:rsid w:val="0008213E"/>
    <w:rsid w:val="0008252C"/>
    <w:rsid w:val="00082A0E"/>
    <w:rsid w:val="00082BE0"/>
    <w:rsid w:val="00082CEF"/>
    <w:rsid w:val="00083145"/>
    <w:rsid w:val="00083355"/>
    <w:rsid w:val="000835CB"/>
    <w:rsid w:val="00083757"/>
    <w:rsid w:val="00083AA3"/>
    <w:rsid w:val="00084038"/>
    <w:rsid w:val="00084409"/>
    <w:rsid w:val="00084E02"/>
    <w:rsid w:val="000852AB"/>
    <w:rsid w:val="000853B3"/>
    <w:rsid w:val="00085BD4"/>
    <w:rsid w:val="00085EB0"/>
    <w:rsid w:val="0008675E"/>
    <w:rsid w:val="00087376"/>
    <w:rsid w:val="00087623"/>
    <w:rsid w:val="0008786E"/>
    <w:rsid w:val="00087BB3"/>
    <w:rsid w:val="00087E5C"/>
    <w:rsid w:val="000900C7"/>
    <w:rsid w:val="00090429"/>
    <w:rsid w:val="0009094E"/>
    <w:rsid w:val="00090A17"/>
    <w:rsid w:val="00090CC3"/>
    <w:rsid w:val="00091907"/>
    <w:rsid w:val="00091AEA"/>
    <w:rsid w:val="00091B76"/>
    <w:rsid w:val="0009361E"/>
    <w:rsid w:val="000936CE"/>
    <w:rsid w:val="0009372F"/>
    <w:rsid w:val="00093957"/>
    <w:rsid w:val="0009409A"/>
    <w:rsid w:val="0009463E"/>
    <w:rsid w:val="000949F6"/>
    <w:rsid w:val="00094C71"/>
    <w:rsid w:val="00094ECE"/>
    <w:rsid w:val="00095968"/>
    <w:rsid w:val="000959D4"/>
    <w:rsid w:val="00095FC4"/>
    <w:rsid w:val="000975FC"/>
    <w:rsid w:val="000979F0"/>
    <w:rsid w:val="00097D5C"/>
    <w:rsid w:val="000A0544"/>
    <w:rsid w:val="000A06C1"/>
    <w:rsid w:val="000A06CF"/>
    <w:rsid w:val="000A09E2"/>
    <w:rsid w:val="000A1097"/>
    <w:rsid w:val="000A1442"/>
    <w:rsid w:val="000A1E8B"/>
    <w:rsid w:val="000A211C"/>
    <w:rsid w:val="000A2282"/>
    <w:rsid w:val="000A264B"/>
    <w:rsid w:val="000A2C31"/>
    <w:rsid w:val="000A3234"/>
    <w:rsid w:val="000A426A"/>
    <w:rsid w:val="000A43CA"/>
    <w:rsid w:val="000A4E7F"/>
    <w:rsid w:val="000A6230"/>
    <w:rsid w:val="000A63B0"/>
    <w:rsid w:val="000A6545"/>
    <w:rsid w:val="000A7108"/>
    <w:rsid w:val="000A72BB"/>
    <w:rsid w:val="000A759D"/>
    <w:rsid w:val="000A785D"/>
    <w:rsid w:val="000A7E95"/>
    <w:rsid w:val="000A7F7B"/>
    <w:rsid w:val="000A7FEB"/>
    <w:rsid w:val="000B035C"/>
    <w:rsid w:val="000B0D4F"/>
    <w:rsid w:val="000B13E2"/>
    <w:rsid w:val="000B1878"/>
    <w:rsid w:val="000B1DF6"/>
    <w:rsid w:val="000B2065"/>
    <w:rsid w:val="000B24BA"/>
    <w:rsid w:val="000B2577"/>
    <w:rsid w:val="000B27C5"/>
    <w:rsid w:val="000B2CEF"/>
    <w:rsid w:val="000B39AE"/>
    <w:rsid w:val="000B3C69"/>
    <w:rsid w:val="000B3EFA"/>
    <w:rsid w:val="000B4675"/>
    <w:rsid w:val="000B480C"/>
    <w:rsid w:val="000B4C1F"/>
    <w:rsid w:val="000B4DB8"/>
    <w:rsid w:val="000B4DC5"/>
    <w:rsid w:val="000B4F4B"/>
    <w:rsid w:val="000B6B2D"/>
    <w:rsid w:val="000B6CFE"/>
    <w:rsid w:val="000B731D"/>
    <w:rsid w:val="000B7633"/>
    <w:rsid w:val="000B7A67"/>
    <w:rsid w:val="000B7F38"/>
    <w:rsid w:val="000C0138"/>
    <w:rsid w:val="000C0458"/>
    <w:rsid w:val="000C0621"/>
    <w:rsid w:val="000C06F0"/>
    <w:rsid w:val="000C0738"/>
    <w:rsid w:val="000C0844"/>
    <w:rsid w:val="000C0B38"/>
    <w:rsid w:val="000C0DFB"/>
    <w:rsid w:val="000C1475"/>
    <w:rsid w:val="000C1663"/>
    <w:rsid w:val="000C1936"/>
    <w:rsid w:val="000C1BC1"/>
    <w:rsid w:val="000C1DB4"/>
    <w:rsid w:val="000C2286"/>
    <w:rsid w:val="000C2BBA"/>
    <w:rsid w:val="000C360B"/>
    <w:rsid w:val="000C37B4"/>
    <w:rsid w:val="000C3BB0"/>
    <w:rsid w:val="000C3C95"/>
    <w:rsid w:val="000C3DA4"/>
    <w:rsid w:val="000C3E0D"/>
    <w:rsid w:val="000C3E28"/>
    <w:rsid w:val="000C44AD"/>
    <w:rsid w:val="000C4FB2"/>
    <w:rsid w:val="000C5418"/>
    <w:rsid w:val="000C5673"/>
    <w:rsid w:val="000C5A16"/>
    <w:rsid w:val="000C5F26"/>
    <w:rsid w:val="000C65B7"/>
    <w:rsid w:val="000C6C75"/>
    <w:rsid w:val="000C6CEF"/>
    <w:rsid w:val="000C6E0F"/>
    <w:rsid w:val="000C6E15"/>
    <w:rsid w:val="000C7136"/>
    <w:rsid w:val="000C730F"/>
    <w:rsid w:val="000C7978"/>
    <w:rsid w:val="000C7C7E"/>
    <w:rsid w:val="000D0559"/>
    <w:rsid w:val="000D0985"/>
    <w:rsid w:val="000D0C6A"/>
    <w:rsid w:val="000D16BD"/>
    <w:rsid w:val="000D18E9"/>
    <w:rsid w:val="000D1C2C"/>
    <w:rsid w:val="000D1C6C"/>
    <w:rsid w:val="000D23BF"/>
    <w:rsid w:val="000D26C5"/>
    <w:rsid w:val="000D28FB"/>
    <w:rsid w:val="000D2C00"/>
    <w:rsid w:val="000D3C0A"/>
    <w:rsid w:val="000D3CD6"/>
    <w:rsid w:val="000D3E4C"/>
    <w:rsid w:val="000D3F4A"/>
    <w:rsid w:val="000D4050"/>
    <w:rsid w:val="000D4570"/>
    <w:rsid w:val="000D526A"/>
    <w:rsid w:val="000D5557"/>
    <w:rsid w:val="000D591F"/>
    <w:rsid w:val="000D6441"/>
    <w:rsid w:val="000D6482"/>
    <w:rsid w:val="000D66E3"/>
    <w:rsid w:val="000D712B"/>
    <w:rsid w:val="000D71EA"/>
    <w:rsid w:val="000D790D"/>
    <w:rsid w:val="000D7C7E"/>
    <w:rsid w:val="000E09E2"/>
    <w:rsid w:val="000E0B0A"/>
    <w:rsid w:val="000E1942"/>
    <w:rsid w:val="000E1DD5"/>
    <w:rsid w:val="000E275D"/>
    <w:rsid w:val="000E2BDB"/>
    <w:rsid w:val="000E3051"/>
    <w:rsid w:val="000E34C2"/>
    <w:rsid w:val="000E36DF"/>
    <w:rsid w:val="000E3D6A"/>
    <w:rsid w:val="000E4094"/>
    <w:rsid w:val="000E462E"/>
    <w:rsid w:val="000E491A"/>
    <w:rsid w:val="000E4C06"/>
    <w:rsid w:val="000E4D42"/>
    <w:rsid w:val="000E4FB3"/>
    <w:rsid w:val="000E50AA"/>
    <w:rsid w:val="000E5129"/>
    <w:rsid w:val="000E591B"/>
    <w:rsid w:val="000E67A6"/>
    <w:rsid w:val="000E69E9"/>
    <w:rsid w:val="000E6EB6"/>
    <w:rsid w:val="000E71BA"/>
    <w:rsid w:val="000E7423"/>
    <w:rsid w:val="000E74E4"/>
    <w:rsid w:val="000E7917"/>
    <w:rsid w:val="000E79F0"/>
    <w:rsid w:val="000F0084"/>
    <w:rsid w:val="000F016D"/>
    <w:rsid w:val="000F048B"/>
    <w:rsid w:val="000F149B"/>
    <w:rsid w:val="000F153C"/>
    <w:rsid w:val="000F1A1B"/>
    <w:rsid w:val="000F1F15"/>
    <w:rsid w:val="000F2AA5"/>
    <w:rsid w:val="000F2B2F"/>
    <w:rsid w:val="000F303E"/>
    <w:rsid w:val="000F3097"/>
    <w:rsid w:val="000F3652"/>
    <w:rsid w:val="000F38D4"/>
    <w:rsid w:val="000F3C06"/>
    <w:rsid w:val="000F3C2C"/>
    <w:rsid w:val="000F3FF3"/>
    <w:rsid w:val="000F46F3"/>
    <w:rsid w:val="000F4826"/>
    <w:rsid w:val="000F4B6F"/>
    <w:rsid w:val="000F50C4"/>
    <w:rsid w:val="000F58C9"/>
    <w:rsid w:val="000F5AB1"/>
    <w:rsid w:val="000F5D04"/>
    <w:rsid w:val="000F60B6"/>
    <w:rsid w:val="000F6346"/>
    <w:rsid w:val="000F6348"/>
    <w:rsid w:val="000F66F8"/>
    <w:rsid w:val="000F6D29"/>
    <w:rsid w:val="000F6D9E"/>
    <w:rsid w:val="000F7159"/>
    <w:rsid w:val="000F7741"/>
    <w:rsid w:val="000F77A1"/>
    <w:rsid w:val="000F7A16"/>
    <w:rsid w:val="000F7CCB"/>
    <w:rsid w:val="000F7EE1"/>
    <w:rsid w:val="00100431"/>
    <w:rsid w:val="001006B8"/>
    <w:rsid w:val="001007C6"/>
    <w:rsid w:val="00100F04"/>
    <w:rsid w:val="00100F6A"/>
    <w:rsid w:val="0010139A"/>
    <w:rsid w:val="001013BC"/>
    <w:rsid w:val="00101E1F"/>
    <w:rsid w:val="00102495"/>
    <w:rsid w:val="001028B8"/>
    <w:rsid w:val="00102E83"/>
    <w:rsid w:val="00103000"/>
    <w:rsid w:val="00103202"/>
    <w:rsid w:val="00104708"/>
    <w:rsid w:val="0010477F"/>
    <w:rsid w:val="0010482A"/>
    <w:rsid w:val="001050C5"/>
    <w:rsid w:val="001052B2"/>
    <w:rsid w:val="00106043"/>
    <w:rsid w:val="0010632E"/>
    <w:rsid w:val="00106B71"/>
    <w:rsid w:val="00106CC0"/>
    <w:rsid w:val="00106F05"/>
    <w:rsid w:val="00106F26"/>
    <w:rsid w:val="001073CC"/>
    <w:rsid w:val="00107538"/>
    <w:rsid w:val="00107E6B"/>
    <w:rsid w:val="00107E80"/>
    <w:rsid w:val="001102E0"/>
    <w:rsid w:val="001104F7"/>
    <w:rsid w:val="001105A0"/>
    <w:rsid w:val="00110858"/>
    <w:rsid w:val="001109E9"/>
    <w:rsid w:val="00110A16"/>
    <w:rsid w:val="00110B2F"/>
    <w:rsid w:val="001116FA"/>
    <w:rsid w:val="00111C5D"/>
    <w:rsid w:val="00111DC5"/>
    <w:rsid w:val="001123A9"/>
    <w:rsid w:val="00112765"/>
    <w:rsid w:val="00112DDD"/>
    <w:rsid w:val="0011326F"/>
    <w:rsid w:val="00113806"/>
    <w:rsid w:val="00113882"/>
    <w:rsid w:val="00114281"/>
    <w:rsid w:val="001148A2"/>
    <w:rsid w:val="00114B58"/>
    <w:rsid w:val="00115038"/>
    <w:rsid w:val="00115066"/>
    <w:rsid w:val="00115530"/>
    <w:rsid w:val="00116922"/>
    <w:rsid w:val="0011762F"/>
    <w:rsid w:val="00117CDD"/>
    <w:rsid w:val="00117D7D"/>
    <w:rsid w:val="00120489"/>
    <w:rsid w:val="001204B9"/>
    <w:rsid w:val="0012066C"/>
    <w:rsid w:val="00120C33"/>
    <w:rsid w:val="00120F48"/>
    <w:rsid w:val="00120FA9"/>
    <w:rsid w:val="00121515"/>
    <w:rsid w:val="0012153D"/>
    <w:rsid w:val="00122C29"/>
    <w:rsid w:val="0012332D"/>
    <w:rsid w:val="001236B3"/>
    <w:rsid w:val="00123F60"/>
    <w:rsid w:val="00124001"/>
    <w:rsid w:val="001240F0"/>
    <w:rsid w:val="001246B6"/>
    <w:rsid w:val="00124A53"/>
    <w:rsid w:val="00124B8F"/>
    <w:rsid w:val="00125247"/>
    <w:rsid w:val="00125278"/>
    <w:rsid w:val="00126731"/>
    <w:rsid w:val="0012710C"/>
    <w:rsid w:val="00127757"/>
    <w:rsid w:val="001278B6"/>
    <w:rsid w:val="00127901"/>
    <w:rsid w:val="00127CD9"/>
    <w:rsid w:val="00127FBB"/>
    <w:rsid w:val="00127FE2"/>
    <w:rsid w:val="001301F6"/>
    <w:rsid w:val="0013024F"/>
    <w:rsid w:val="00130322"/>
    <w:rsid w:val="00131091"/>
    <w:rsid w:val="001312ED"/>
    <w:rsid w:val="001314C1"/>
    <w:rsid w:val="001319D8"/>
    <w:rsid w:val="00131A15"/>
    <w:rsid w:val="00131D84"/>
    <w:rsid w:val="0013272B"/>
    <w:rsid w:val="00132E66"/>
    <w:rsid w:val="001334CA"/>
    <w:rsid w:val="0013387C"/>
    <w:rsid w:val="001340C0"/>
    <w:rsid w:val="00134339"/>
    <w:rsid w:val="001343E4"/>
    <w:rsid w:val="0013635D"/>
    <w:rsid w:val="001364D4"/>
    <w:rsid w:val="0013686A"/>
    <w:rsid w:val="00136AE8"/>
    <w:rsid w:val="001376C0"/>
    <w:rsid w:val="0013775B"/>
    <w:rsid w:val="00137BB5"/>
    <w:rsid w:val="00137C7E"/>
    <w:rsid w:val="00137F86"/>
    <w:rsid w:val="00140652"/>
    <w:rsid w:val="00140874"/>
    <w:rsid w:val="001408F2"/>
    <w:rsid w:val="00140B57"/>
    <w:rsid w:val="00140C0D"/>
    <w:rsid w:val="00140CB8"/>
    <w:rsid w:val="00140DD7"/>
    <w:rsid w:val="00140EE3"/>
    <w:rsid w:val="00141041"/>
    <w:rsid w:val="00141333"/>
    <w:rsid w:val="001416E3"/>
    <w:rsid w:val="0014211B"/>
    <w:rsid w:val="00142327"/>
    <w:rsid w:val="00142FCF"/>
    <w:rsid w:val="001432BB"/>
    <w:rsid w:val="00143927"/>
    <w:rsid w:val="00143B13"/>
    <w:rsid w:val="001447FA"/>
    <w:rsid w:val="00144A48"/>
    <w:rsid w:val="00145C90"/>
    <w:rsid w:val="0014643A"/>
    <w:rsid w:val="00146719"/>
    <w:rsid w:val="00146C5C"/>
    <w:rsid w:val="00146D62"/>
    <w:rsid w:val="001475F1"/>
    <w:rsid w:val="001479EF"/>
    <w:rsid w:val="00147B23"/>
    <w:rsid w:val="00150047"/>
    <w:rsid w:val="001505F0"/>
    <w:rsid w:val="00150AB4"/>
    <w:rsid w:val="00151075"/>
    <w:rsid w:val="001513B1"/>
    <w:rsid w:val="00151500"/>
    <w:rsid w:val="00151536"/>
    <w:rsid w:val="001516CD"/>
    <w:rsid w:val="00151B14"/>
    <w:rsid w:val="00151B61"/>
    <w:rsid w:val="00151D1C"/>
    <w:rsid w:val="00151D65"/>
    <w:rsid w:val="00151E90"/>
    <w:rsid w:val="001520C6"/>
    <w:rsid w:val="00152542"/>
    <w:rsid w:val="00152A4A"/>
    <w:rsid w:val="00153297"/>
    <w:rsid w:val="001534F2"/>
    <w:rsid w:val="00153B6A"/>
    <w:rsid w:val="00153D11"/>
    <w:rsid w:val="0015481E"/>
    <w:rsid w:val="00154C25"/>
    <w:rsid w:val="00154D6A"/>
    <w:rsid w:val="00154E42"/>
    <w:rsid w:val="00154ECA"/>
    <w:rsid w:val="0015540B"/>
    <w:rsid w:val="00155D9F"/>
    <w:rsid w:val="00156629"/>
    <w:rsid w:val="00156C98"/>
    <w:rsid w:val="001571E2"/>
    <w:rsid w:val="001573D9"/>
    <w:rsid w:val="0015746B"/>
    <w:rsid w:val="001574E4"/>
    <w:rsid w:val="00157E3A"/>
    <w:rsid w:val="00157F29"/>
    <w:rsid w:val="00160CF9"/>
    <w:rsid w:val="00161203"/>
    <w:rsid w:val="001612CB"/>
    <w:rsid w:val="001617F8"/>
    <w:rsid w:val="00161A4C"/>
    <w:rsid w:val="00161CE9"/>
    <w:rsid w:val="001622F4"/>
    <w:rsid w:val="00162DD7"/>
    <w:rsid w:val="00162FCE"/>
    <w:rsid w:val="00163157"/>
    <w:rsid w:val="00163368"/>
    <w:rsid w:val="0016468A"/>
    <w:rsid w:val="00164B95"/>
    <w:rsid w:val="00164D35"/>
    <w:rsid w:val="001654C6"/>
    <w:rsid w:val="0016554D"/>
    <w:rsid w:val="0016606F"/>
    <w:rsid w:val="001663B5"/>
    <w:rsid w:val="001666F8"/>
    <w:rsid w:val="00166793"/>
    <w:rsid w:val="001669C1"/>
    <w:rsid w:val="001670C3"/>
    <w:rsid w:val="0016716E"/>
    <w:rsid w:val="001672F8"/>
    <w:rsid w:val="0016777B"/>
    <w:rsid w:val="00167C7E"/>
    <w:rsid w:val="00167F81"/>
    <w:rsid w:val="00170B68"/>
    <w:rsid w:val="00170BF7"/>
    <w:rsid w:val="00170E2D"/>
    <w:rsid w:val="00170E7F"/>
    <w:rsid w:val="0017153D"/>
    <w:rsid w:val="00171D4D"/>
    <w:rsid w:val="00172337"/>
    <w:rsid w:val="0017256B"/>
    <w:rsid w:val="00172663"/>
    <w:rsid w:val="0017280F"/>
    <w:rsid w:val="001728B5"/>
    <w:rsid w:val="00172E56"/>
    <w:rsid w:val="00172F84"/>
    <w:rsid w:val="00173E7F"/>
    <w:rsid w:val="00174E64"/>
    <w:rsid w:val="001751AF"/>
    <w:rsid w:val="0017522F"/>
    <w:rsid w:val="00175A50"/>
    <w:rsid w:val="00176B94"/>
    <w:rsid w:val="00176F04"/>
    <w:rsid w:val="00176F6E"/>
    <w:rsid w:val="001771B9"/>
    <w:rsid w:val="00177611"/>
    <w:rsid w:val="001778C2"/>
    <w:rsid w:val="00177C21"/>
    <w:rsid w:val="00180D1E"/>
    <w:rsid w:val="0018117D"/>
    <w:rsid w:val="001819BD"/>
    <w:rsid w:val="001819D6"/>
    <w:rsid w:val="00181B64"/>
    <w:rsid w:val="00181EA9"/>
    <w:rsid w:val="00181EAD"/>
    <w:rsid w:val="00183186"/>
    <w:rsid w:val="0018345E"/>
    <w:rsid w:val="00183835"/>
    <w:rsid w:val="00183A80"/>
    <w:rsid w:val="00183B23"/>
    <w:rsid w:val="00183BBD"/>
    <w:rsid w:val="00183DC6"/>
    <w:rsid w:val="0018418B"/>
    <w:rsid w:val="00184489"/>
    <w:rsid w:val="00184CE4"/>
    <w:rsid w:val="00184E42"/>
    <w:rsid w:val="00185125"/>
    <w:rsid w:val="00185698"/>
    <w:rsid w:val="00185848"/>
    <w:rsid w:val="00185A78"/>
    <w:rsid w:val="00185DA2"/>
    <w:rsid w:val="0018617F"/>
    <w:rsid w:val="00186588"/>
    <w:rsid w:val="00186D4E"/>
    <w:rsid w:val="00186EF2"/>
    <w:rsid w:val="00186F07"/>
    <w:rsid w:val="00187346"/>
    <w:rsid w:val="00187A7C"/>
    <w:rsid w:val="00190256"/>
    <w:rsid w:val="0019086C"/>
    <w:rsid w:val="001911CE"/>
    <w:rsid w:val="001917ED"/>
    <w:rsid w:val="001928E3"/>
    <w:rsid w:val="0019363A"/>
    <w:rsid w:val="00193D5E"/>
    <w:rsid w:val="00195125"/>
    <w:rsid w:val="00195A46"/>
    <w:rsid w:val="00195B28"/>
    <w:rsid w:val="00195D1E"/>
    <w:rsid w:val="0019635C"/>
    <w:rsid w:val="001963BD"/>
    <w:rsid w:val="0019666B"/>
    <w:rsid w:val="00196AA6"/>
    <w:rsid w:val="00196B48"/>
    <w:rsid w:val="001970A8"/>
    <w:rsid w:val="001971C5"/>
    <w:rsid w:val="00197BE9"/>
    <w:rsid w:val="001A0BF1"/>
    <w:rsid w:val="001A0DBA"/>
    <w:rsid w:val="001A1110"/>
    <w:rsid w:val="001A127F"/>
    <w:rsid w:val="001A1A22"/>
    <w:rsid w:val="001A1A24"/>
    <w:rsid w:val="001A1B37"/>
    <w:rsid w:val="001A1F95"/>
    <w:rsid w:val="001A2423"/>
    <w:rsid w:val="001A2D0C"/>
    <w:rsid w:val="001A37CC"/>
    <w:rsid w:val="001A38B7"/>
    <w:rsid w:val="001A3B15"/>
    <w:rsid w:val="001A404B"/>
    <w:rsid w:val="001A4710"/>
    <w:rsid w:val="001A57E4"/>
    <w:rsid w:val="001A5D13"/>
    <w:rsid w:val="001A5E52"/>
    <w:rsid w:val="001A60F2"/>
    <w:rsid w:val="001A6396"/>
    <w:rsid w:val="001A6B2A"/>
    <w:rsid w:val="001A6E23"/>
    <w:rsid w:val="001A72C4"/>
    <w:rsid w:val="001A75AF"/>
    <w:rsid w:val="001B01C7"/>
    <w:rsid w:val="001B0479"/>
    <w:rsid w:val="001B04B4"/>
    <w:rsid w:val="001B0694"/>
    <w:rsid w:val="001B09D5"/>
    <w:rsid w:val="001B0B70"/>
    <w:rsid w:val="001B0D75"/>
    <w:rsid w:val="001B14AC"/>
    <w:rsid w:val="001B14E8"/>
    <w:rsid w:val="001B1E83"/>
    <w:rsid w:val="001B2043"/>
    <w:rsid w:val="001B2C33"/>
    <w:rsid w:val="001B31B0"/>
    <w:rsid w:val="001B3206"/>
    <w:rsid w:val="001B3292"/>
    <w:rsid w:val="001B3354"/>
    <w:rsid w:val="001B399F"/>
    <w:rsid w:val="001B42E2"/>
    <w:rsid w:val="001B458F"/>
    <w:rsid w:val="001B4C23"/>
    <w:rsid w:val="001B4C8E"/>
    <w:rsid w:val="001B4CC4"/>
    <w:rsid w:val="001B5075"/>
    <w:rsid w:val="001B56E9"/>
    <w:rsid w:val="001B59F5"/>
    <w:rsid w:val="001B5E10"/>
    <w:rsid w:val="001B5F29"/>
    <w:rsid w:val="001B61DD"/>
    <w:rsid w:val="001B6DB9"/>
    <w:rsid w:val="001B71BB"/>
    <w:rsid w:val="001B77EB"/>
    <w:rsid w:val="001B7CF3"/>
    <w:rsid w:val="001C0553"/>
    <w:rsid w:val="001C06AC"/>
    <w:rsid w:val="001C0897"/>
    <w:rsid w:val="001C0C25"/>
    <w:rsid w:val="001C0D4A"/>
    <w:rsid w:val="001C108D"/>
    <w:rsid w:val="001C172B"/>
    <w:rsid w:val="001C2171"/>
    <w:rsid w:val="001C25AC"/>
    <w:rsid w:val="001C340E"/>
    <w:rsid w:val="001C3AB8"/>
    <w:rsid w:val="001C3E00"/>
    <w:rsid w:val="001C5D4A"/>
    <w:rsid w:val="001C5F57"/>
    <w:rsid w:val="001C6297"/>
    <w:rsid w:val="001C637B"/>
    <w:rsid w:val="001C641C"/>
    <w:rsid w:val="001C6838"/>
    <w:rsid w:val="001C6F64"/>
    <w:rsid w:val="001C7437"/>
    <w:rsid w:val="001C7617"/>
    <w:rsid w:val="001C7FA1"/>
    <w:rsid w:val="001D0012"/>
    <w:rsid w:val="001D0286"/>
    <w:rsid w:val="001D0891"/>
    <w:rsid w:val="001D0BE1"/>
    <w:rsid w:val="001D15C5"/>
    <w:rsid w:val="001D16C6"/>
    <w:rsid w:val="001D1897"/>
    <w:rsid w:val="001D1A3F"/>
    <w:rsid w:val="001D2130"/>
    <w:rsid w:val="001D2983"/>
    <w:rsid w:val="001D3EAA"/>
    <w:rsid w:val="001D45DA"/>
    <w:rsid w:val="001D4748"/>
    <w:rsid w:val="001D488C"/>
    <w:rsid w:val="001D5B31"/>
    <w:rsid w:val="001D66BE"/>
    <w:rsid w:val="001D6AA9"/>
    <w:rsid w:val="001D7228"/>
    <w:rsid w:val="001D7653"/>
    <w:rsid w:val="001D7CB6"/>
    <w:rsid w:val="001D7D51"/>
    <w:rsid w:val="001E0025"/>
    <w:rsid w:val="001E0551"/>
    <w:rsid w:val="001E0A6F"/>
    <w:rsid w:val="001E0D24"/>
    <w:rsid w:val="001E0E84"/>
    <w:rsid w:val="001E0F4C"/>
    <w:rsid w:val="001E1410"/>
    <w:rsid w:val="001E1477"/>
    <w:rsid w:val="001E16A6"/>
    <w:rsid w:val="001E175A"/>
    <w:rsid w:val="001E21B7"/>
    <w:rsid w:val="001E258D"/>
    <w:rsid w:val="001E2A74"/>
    <w:rsid w:val="001E363A"/>
    <w:rsid w:val="001E39B1"/>
    <w:rsid w:val="001E3E97"/>
    <w:rsid w:val="001E4B60"/>
    <w:rsid w:val="001E4C9B"/>
    <w:rsid w:val="001E4D45"/>
    <w:rsid w:val="001E5315"/>
    <w:rsid w:val="001E5418"/>
    <w:rsid w:val="001E5EFE"/>
    <w:rsid w:val="001E5FF0"/>
    <w:rsid w:val="001E666D"/>
    <w:rsid w:val="001E679F"/>
    <w:rsid w:val="001E67F6"/>
    <w:rsid w:val="001E7108"/>
    <w:rsid w:val="001E785A"/>
    <w:rsid w:val="001F0451"/>
    <w:rsid w:val="001F06BE"/>
    <w:rsid w:val="001F0A5F"/>
    <w:rsid w:val="001F1BE2"/>
    <w:rsid w:val="001F1F6A"/>
    <w:rsid w:val="001F208C"/>
    <w:rsid w:val="001F2C58"/>
    <w:rsid w:val="001F39AC"/>
    <w:rsid w:val="001F4285"/>
    <w:rsid w:val="001F43E5"/>
    <w:rsid w:val="001F4752"/>
    <w:rsid w:val="001F4AB4"/>
    <w:rsid w:val="001F4B41"/>
    <w:rsid w:val="001F51A0"/>
    <w:rsid w:val="001F57DC"/>
    <w:rsid w:val="001F58C1"/>
    <w:rsid w:val="001F59F5"/>
    <w:rsid w:val="001F5A58"/>
    <w:rsid w:val="001F5AB2"/>
    <w:rsid w:val="001F5C5F"/>
    <w:rsid w:val="001F5CAD"/>
    <w:rsid w:val="001F601D"/>
    <w:rsid w:val="001F61CA"/>
    <w:rsid w:val="001F6837"/>
    <w:rsid w:val="001F69D3"/>
    <w:rsid w:val="001F7A13"/>
    <w:rsid w:val="001F7ADF"/>
    <w:rsid w:val="001F7BC0"/>
    <w:rsid w:val="001F7CB0"/>
    <w:rsid w:val="00200D87"/>
    <w:rsid w:val="002016FE"/>
    <w:rsid w:val="00201986"/>
    <w:rsid w:val="00201D8C"/>
    <w:rsid w:val="00201EFF"/>
    <w:rsid w:val="00202495"/>
    <w:rsid w:val="00202592"/>
    <w:rsid w:val="002035B9"/>
    <w:rsid w:val="002036C9"/>
    <w:rsid w:val="002039DE"/>
    <w:rsid w:val="00204093"/>
    <w:rsid w:val="00204127"/>
    <w:rsid w:val="00204638"/>
    <w:rsid w:val="0020485F"/>
    <w:rsid w:val="00204A74"/>
    <w:rsid w:val="00204C46"/>
    <w:rsid w:val="0020556D"/>
    <w:rsid w:val="00205B45"/>
    <w:rsid w:val="002060B2"/>
    <w:rsid w:val="002066E0"/>
    <w:rsid w:val="002067EC"/>
    <w:rsid w:val="002071E0"/>
    <w:rsid w:val="0020738B"/>
    <w:rsid w:val="00210615"/>
    <w:rsid w:val="002108B7"/>
    <w:rsid w:val="00210993"/>
    <w:rsid w:val="00210EDD"/>
    <w:rsid w:val="002119C9"/>
    <w:rsid w:val="00211B35"/>
    <w:rsid w:val="002123F0"/>
    <w:rsid w:val="00212D40"/>
    <w:rsid w:val="00212E6A"/>
    <w:rsid w:val="0021326D"/>
    <w:rsid w:val="00213BBB"/>
    <w:rsid w:val="00213E65"/>
    <w:rsid w:val="002140BD"/>
    <w:rsid w:val="0021478C"/>
    <w:rsid w:val="00214E4E"/>
    <w:rsid w:val="0021517B"/>
    <w:rsid w:val="0021556E"/>
    <w:rsid w:val="00217126"/>
    <w:rsid w:val="0021734E"/>
    <w:rsid w:val="00217808"/>
    <w:rsid w:val="0021782D"/>
    <w:rsid w:val="00217D2C"/>
    <w:rsid w:val="002200E0"/>
    <w:rsid w:val="00220581"/>
    <w:rsid w:val="00220D85"/>
    <w:rsid w:val="0022104A"/>
    <w:rsid w:val="00221714"/>
    <w:rsid w:val="002220DF"/>
    <w:rsid w:val="002222F2"/>
    <w:rsid w:val="002223C4"/>
    <w:rsid w:val="002224C8"/>
    <w:rsid w:val="002228AB"/>
    <w:rsid w:val="002230F9"/>
    <w:rsid w:val="0022363A"/>
    <w:rsid w:val="002239F4"/>
    <w:rsid w:val="0022457C"/>
    <w:rsid w:val="0022464D"/>
    <w:rsid w:val="0022474A"/>
    <w:rsid w:val="0022493E"/>
    <w:rsid w:val="00224BB4"/>
    <w:rsid w:val="00224CB8"/>
    <w:rsid w:val="00225B5E"/>
    <w:rsid w:val="00225B79"/>
    <w:rsid w:val="002264E3"/>
    <w:rsid w:val="0022685C"/>
    <w:rsid w:val="00226930"/>
    <w:rsid w:val="00227137"/>
    <w:rsid w:val="002278BC"/>
    <w:rsid w:val="00227C21"/>
    <w:rsid w:val="00227E6A"/>
    <w:rsid w:val="00227ECE"/>
    <w:rsid w:val="00230386"/>
    <w:rsid w:val="0023073F"/>
    <w:rsid w:val="00230868"/>
    <w:rsid w:val="00231068"/>
    <w:rsid w:val="0023189B"/>
    <w:rsid w:val="00231C88"/>
    <w:rsid w:val="00231E2A"/>
    <w:rsid w:val="00232F9F"/>
    <w:rsid w:val="00233409"/>
    <w:rsid w:val="00233A34"/>
    <w:rsid w:val="00234087"/>
    <w:rsid w:val="00234E1E"/>
    <w:rsid w:val="00234FAE"/>
    <w:rsid w:val="002350E6"/>
    <w:rsid w:val="00235413"/>
    <w:rsid w:val="002356BA"/>
    <w:rsid w:val="00235898"/>
    <w:rsid w:val="00235BF4"/>
    <w:rsid w:val="0023718F"/>
    <w:rsid w:val="002372A4"/>
    <w:rsid w:val="00237568"/>
    <w:rsid w:val="00237AA3"/>
    <w:rsid w:val="00237CD6"/>
    <w:rsid w:val="00237E0F"/>
    <w:rsid w:val="0024020B"/>
    <w:rsid w:val="00240588"/>
    <w:rsid w:val="002406C7"/>
    <w:rsid w:val="00240760"/>
    <w:rsid w:val="00240761"/>
    <w:rsid w:val="0024100E"/>
    <w:rsid w:val="00241019"/>
    <w:rsid w:val="00241366"/>
    <w:rsid w:val="00241527"/>
    <w:rsid w:val="002416A0"/>
    <w:rsid w:val="002418B7"/>
    <w:rsid w:val="00241F21"/>
    <w:rsid w:val="0024245B"/>
    <w:rsid w:val="002424C4"/>
    <w:rsid w:val="0024254D"/>
    <w:rsid w:val="00242BA3"/>
    <w:rsid w:val="00243193"/>
    <w:rsid w:val="00243311"/>
    <w:rsid w:val="002435E4"/>
    <w:rsid w:val="002435FD"/>
    <w:rsid w:val="00243875"/>
    <w:rsid w:val="002439C8"/>
    <w:rsid w:val="00244135"/>
    <w:rsid w:val="002445A7"/>
    <w:rsid w:val="00245037"/>
    <w:rsid w:val="0024506F"/>
    <w:rsid w:val="00245924"/>
    <w:rsid w:val="00245CFE"/>
    <w:rsid w:val="00245E27"/>
    <w:rsid w:val="00246136"/>
    <w:rsid w:val="002467A2"/>
    <w:rsid w:val="0024720A"/>
    <w:rsid w:val="0024789D"/>
    <w:rsid w:val="00247CB7"/>
    <w:rsid w:val="0025017C"/>
    <w:rsid w:val="002512AE"/>
    <w:rsid w:val="00251423"/>
    <w:rsid w:val="00251869"/>
    <w:rsid w:val="00251C77"/>
    <w:rsid w:val="00251D57"/>
    <w:rsid w:val="00252066"/>
    <w:rsid w:val="00252956"/>
    <w:rsid w:val="00252A89"/>
    <w:rsid w:val="00252CEC"/>
    <w:rsid w:val="002535A4"/>
    <w:rsid w:val="0025398B"/>
    <w:rsid w:val="00253E43"/>
    <w:rsid w:val="00254249"/>
    <w:rsid w:val="0025432B"/>
    <w:rsid w:val="00254501"/>
    <w:rsid w:val="00254626"/>
    <w:rsid w:val="00254A11"/>
    <w:rsid w:val="0025508A"/>
    <w:rsid w:val="002550AD"/>
    <w:rsid w:val="00255302"/>
    <w:rsid w:val="002556AD"/>
    <w:rsid w:val="002559AE"/>
    <w:rsid w:val="00255A43"/>
    <w:rsid w:val="00255DAD"/>
    <w:rsid w:val="00256ABC"/>
    <w:rsid w:val="002571F8"/>
    <w:rsid w:val="00257471"/>
    <w:rsid w:val="00257A09"/>
    <w:rsid w:val="002611BF"/>
    <w:rsid w:val="0026181A"/>
    <w:rsid w:val="00261B9E"/>
    <w:rsid w:val="00261E19"/>
    <w:rsid w:val="00262064"/>
    <w:rsid w:val="0026219E"/>
    <w:rsid w:val="002622C5"/>
    <w:rsid w:val="0026238E"/>
    <w:rsid w:val="00262545"/>
    <w:rsid w:val="00262D46"/>
    <w:rsid w:val="00263048"/>
    <w:rsid w:val="00263C51"/>
    <w:rsid w:val="002641F3"/>
    <w:rsid w:val="00264868"/>
    <w:rsid w:val="002649E9"/>
    <w:rsid w:val="00264B01"/>
    <w:rsid w:val="00264B57"/>
    <w:rsid w:val="00264CD1"/>
    <w:rsid w:val="00265134"/>
    <w:rsid w:val="00265323"/>
    <w:rsid w:val="002653CD"/>
    <w:rsid w:val="002653E4"/>
    <w:rsid w:val="0026540C"/>
    <w:rsid w:val="002654BA"/>
    <w:rsid w:val="00265C36"/>
    <w:rsid w:val="00265D45"/>
    <w:rsid w:val="00265D58"/>
    <w:rsid w:val="00265E74"/>
    <w:rsid w:val="002669F1"/>
    <w:rsid w:val="00266B60"/>
    <w:rsid w:val="00266D6B"/>
    <w:rsid w:val="00267143"/>
    <w:rsid w:val="002679ED"/>
    <w:rsid w:val="00267E31"/>
    <w:rsid w:val="00270876"/>
    <w:rsid w:val="00270A74"/>
    <w:rsid w:val="00270B1C"/>
    <w:rsid w:val="002711BA"/>
    <w:rsid w:val="0027191E"/>
    <w:rsid w:val="002719D9"/>
    <w:rsid w:val="00271DB8"/>
    <w:rsid w:val="00271EE4"/>
    <w:rsid w:val="00272F15"/>
    <w:rsid w:val="00272FBE"/>
    <w:rsid w:val="00274D63"/>
    <w:rsid w:val="00275143"/>
    <w:rsid w:val="00275996"/>
    <w:rsid w:val="00275E90"/>
    <w:rsid w:val="002760AA"/>
    <w:rsid w:val="002764CC"/>
    <w:rsid w:val="002766C0"/>
    <w:rsid w:val="00276A21"/>
    <w:rsid w:val="00276ECF"/>
    <w:rsid w:val="00276EE9"/>
    <w:rsid w:val="002776E1"/>
    <w:rsid w:val="002777EA"/>
    <w:rsid w:val="002779F8"/>
    <w:rsid w:val="0028119B"/>
    <w:rsid w:val="00281739"/>
    <w:rsid w:val="002819F0"/>
    <w:rsid w:val="00282010"/>
    <w:rsid w:val="0028213D"/>
    <w:rsid w:val="00282298"/>
    <w:rsid w:val="0028254C"/>
    <w:rsid w:val="002828AC"/>
    <w:rsid w:val="00283022"/>
    <w:rsid w:val="002835FF"/>
    <w:rsid w:val="00283DC0"/>
    <w:rsid w:val="0028400E"/>
    <w:rsid w:val="00284E64"/>
    <w:rsid w:val="00285487"/>
    <w:rsid w:val="0028568B"/>
    <w:rsid w:val="002856A4"/>
    <w:rsid w:val="0028623E"/>
    <w:rsid w:val="002863A1"/>
    <w:rsid w:val="002868E3"/>
    <w:rsid w:val="002873B7"/>
    <w:rsid w:val="002878F6"/>
    <w:rsid w:val="002902A0"/>
    <w:rsid w:val="00290602"/>
    <w:rsid w:val="002908DA"/>
    <w:rsid w:val="00291006"/>
    <w:rsid w:val="002913BF"/>
    <w:rsid w:val="00291504"/>
    <w:rsid w:val="00292106"/>
    <w:rsid w:val="002921D3"/>
    <w:rsid w:val="00292235"/>
    <w:rsid w:val="00293A43"/>
    <w:rsid w:val="0029409E"/>
    <w:rsid w:val="0029454A"/>
    <w:rsid w:val="0029456B"/>
    <w:rsid w:val="00294E4B"/>
    <w:rsid w:val="00295F8E"/>
    <w:rsid w:val="00296124"/>
    <w:rsid w:val="0029653B"/>
    <w:rsid w:val="002971C5"/>
    <w:rsid w:val="00297B05"/>
    <w:rsid w:val="002A010F"/>
    <w:rsid w:val="002A071B"/>
    <w:rsid w:val="002A1106"/>
    <w:rsid w:val="002A126B"/>
    <w:rsid w:val="002A17C9"/>
    <w:rsid w:val="002A2349"/>
    <w:rsid w:val="002A334A"/>
    <w:rsid w:val="002A480B"/>
    <w:rsid w:val="002A4EA7"/>
    <w:rsid w:val="002A506C"/>
    <w:rsid w:val="002A50E4"/>
    <w:rsid w:val="002A5124"/>
    <w:rsid w:val="002A5153"/>
    <w:rsid w:val="002A560E"/>
    <w:rsid w:val="002A5B19"/>
    <w:rsid w:val="002A5CC6"/>
    <w:rsid w:val="002A5DF6"/>
    <w:rsid w:val="002A6276"/>
    <w:rsid w:val="002A6E4E"/>
    <w:rsid w:val="002A73A0"/>
    <w:rsid w:val="002A75A5"/>
    <w:rsid w:val="002A766A"/>
    <w:rsid w:val="002A7CAF"/>
    <w:rsid w:val="002A7F57"/>
    <w:rsid w:val="002B025A"/>
    <w:rsid w:val="002B0B0A"/>
    <w:rsid w:val="002B0DB3"/>
    <w:rsid w:val="002B14FB"/>
    <w:rsid w:val="002B1DFB"/>
    <w:rsid w:val="002B1FB8"/>
    <w:rsid w:val="002B24B9"/>
    <w:rsid w:val="002B315E"/>
    <w:rsid w:val="002B3350"/>
    <w:rsid w:val="002B33B5"/>
    <w:rsid w:val="002B3DD0"/>
    <w:rsid w:val="002B3F90"/>
    <w:rsid w:val="002B4368"/>
    <w:rsid w:val="002B4561"/>
    <w:rsid w:val="002B476F"/>
    <w:rsid w:val="002B4951"/>
    <w:rsid w:val="002B4A55"/>
    <w:rsid w:val="002B4B8E"/>
    <w:rsid w:val="002B5497"/>
    <w:rsid w:val="002B5841"/>
    <w:rsid w:val="002B58C1"/>
    <w:rsid w:val="002B58F6"/>
    <w:rsid w:val="002B5B47"/>
    <w:rsid w:val="002B619B"/>
    <w:rsid w:val="002B61B8"/>
    <w:rsid w:val="002B6781"/>
    <w:rsid w:val="002B6906"/>
    <w:rsid w:val="002B6B90"/>
    <w:rsid w:val="002B6CB8"/>
    <w:rsid w:val="002B70E2"/>
    <w:rsid w:val="002B70FB"/>
    <w:rsid w:val="002B72EE"/>
    <w:rsid w:val="002B733F"/>
    <w:rsid w:val="002C06C7"/>
    <w:rsid w:val="002C0882"/>
    <w:rsid w:val="002C0EEB"/>
    <w:rsid w:val="002C11A6"/>
    <w:rsid w:val="002C1289"/>
    <w:rsid w:val="002C1931"/>
    <w:rsid w:val="002C1960"/>
    <w:rsid w:val="002C1C34"/>
    <w:rsid w:val="002C1D59"/>
    <w:rsid w:val="002C1DF2"/>
    <w:rsid w:val="002C256B"/>
    <w:rsid w:val="002C2949"/>
    <w:rsid w:val="002C2B0B"/>
    <w:rsid w:val="002C3F6F"/>
    <w:rsid w:val="002C408A"/>
    <w:rsid w:val="002C40B0"/>
    <w:rsid w:val="002C5222"/>
    <w:rsid w:val="002C5489"/>
    <w:rsid w:val="002C551A"/>
    <w:rsid w:val="002C566B"/>
    <w:rsid w:val="002C56BA"/>
    <w:rsid w:val="002C587B"/>
    <w:rsid w:val="002C5E66"/>
    <w:rsid w:val="002C5F83"/>
    <w:rsid w:val="002C6288"/>
    <w:rsid w:val="002C6574"/>
    <w:rsid w:val="002C67AB"/>
    <w:rsid w:val="002C6B39"/>
    <w:rsid w:val="002C7114"/>
    <w:rsid w:val="002D005D"/>
    <w:rsid w:val="002D0462"/>
    <w:rsid w:val="002D08D7"/>
    <w:rsid w:val="002D212E"/>
    <w:rsid w:val="002D2218"/>
    <w:rsid w:val="002D23F5"/>
    <w:rsid w:val="002D252B"/>
    <w:rsid w:val="002D2952"/>
    <w:rsid w:val="002D2E48"/>
    <w:rsid w:val="002D2EC4"/>
    <w:rsid w:val="002D3440"/>
    <w:rsid w:val="002D34AF"/>
    <w:rsid w:val="002D386C"/>
    <w:rsid w:val="002D40B6"/>
    <w:rsid w:val="002D4664"/>
    <w:rsid w:val="002D4676"/>
    <w:rsid w:val="002D48FE"/>
    <w:rsid w:val="002D51B3"/>
    <w:rsid w:val="002D5587"/>
    <w:rsid w:val="002D55FD"/>
    <w:rsid w:val="002D56E6"/>
    <w:rsid w:val="002D5BFA"/>
    <w:rsid w:val="002D5E33"/>
    <w:rsid w:val="002D613F"/>
    <w:rsid w:val="002D6235"/>
    <w:rsid w:val="002D63FF"/>
    <w:rsid w:val="002D6489"/>
    <w:rsid w:val="002D6678"/>
    <w:rsid w:val="002D6687"/>
    <w:rsid w:val="002D669C"/>
    <w:rsid w:val="002D7236"/>
    <w:rsid w:val="002D75C9"/>
    <w:rsid w:val="002D766F"/>
    <w:rsid w:val="002D79D0"/>
    <w:rsid w:val="002D7C66"/>
    <w:rsid w:val="002E0186"/>
    <w:rsid w:val="002E08DF"/>
    <w:rsid w:val="002E0AED"/>
    <w:rsid w:val="002E0BE6"/>
    <w:rsid w:val="002E0C95"/>
    <w:rsid w:val="002E0EFA"/>
    <w:rsid w:val="002E1025"/>
    <w:rsid w:val="002E10A8"/>
    <w:rsid w:val="002E13AB"/>
    <w:rsid w:val="002E1D25"/>
    <w:rsid w:val="002E21DE"/>
    <w:rsid w:val="002E2234"/>
    <w:rsid w:val="002E2323"/>
    <w:rsid w:val="002E286A"/>
    <w:rsid w:val="002E28E4"/>
    <w:rsid w:val="002E2BDF"/>
    <w:rsid w:val="002E2C0C"/>
    <w:rsid w:val="002E2C7D"/>
    <w:rsid w:val="002E38F3"/>
    <w:rsid w:val="002E4556"/>
    <w:rsid w:val="002E4D61"/>
    <w:rsid w:val="002E666D"/>
    <w:rsid w:val="002E6702"/>
    <w:rsid w:val="002E69DC"/>
    <w:rsid w:val="002E77E7"/>
    <w:rsid w:val="002E7951"/>
    <w:rsid w:val="002E79BA"/>
    <w:rsid w:val="002E7B7F"/>
    <w:rsid w:val="002E7F02"/>
    <w:rsid w:val="002E7FC7"/>
    <w:rsid w:val="002F005C"/>
    <w:rsid w:val="002F017E"/>
    <w:rsid w:val="002F1373"/>
    <w:rsid w:val="002F13D8"/>
    <w:rsid w:val="002F16D3"/>
    <w:rsid w:val="002F22EE"/>
    <w:rsid w:val="002F2362"/>
    <w:rsid w:val="002F2968"/>
    <w:rsid w:val="002F2B23"/>
    <w:rsid w:val="002F2C1A"/>
    <w:rsid w:val="002F2F7B"/>
    <w:rsid w:val="002F348A"/>
    <w:rsid w:val="002F3C52"/>
    <w:rsid w:val="002F3F06"/>
    <w:rsid w:val="002F43DC"/>
    <w:rsid w:val="002F4B6A"/>
    <w:rsid w:val="002F57FF"/>
    <w:rsid w:val="002F5CB5"/>
    <w:rsid w:val="002F5D7C"/>
    <w:rsid w:val="002F6BDC"/>
    <w:rsid w:val="002F6EB5"/>
    <w:rsid w:val="002F70F6"/>
    <w:rsid w:val="002F752A"/>
    <w:rsid w:val="002F7573"/>
    <w:rsid w:val="002F7E8E"/>
    <w:rsid w:val="00300895"/>
    <w:rsid w:val="003009AC"/>
    <w:rsid w:val="00300B27"/>
    <w:rsid w:val="0030141B"/>
    <w:rsid w:val="0030193F"/>
    <w:rsid w:val="00302010"/>
    <w:rsid w:val="00302181"/>
    <w:rsid w:val="0030228B"/>
    <w:rsid w:val="003027DC"/>
    <w:rsid w:val="00303707"/>
    <w:rsid w:val="0030386A"/>
    <w:rsid w:val="00303EB3"/>
    <w:rsid w:val="00304098"/>
    <w:rsid w:val="00304760"/>
    <w:rsid w:val="003047B7"/>
    <w:rsid w:val="003049CE"/>
    <w:rsid w:val="00304C7F"/>
    <w:rsid w:val="00305A56"/>
    <w:rsid w:val="00305C74"/>
    <w:rsid w:val="00306B5A"/>
    <w:rsid w:val="00306C5E"/>
    <w:rsid w:val="003070C0"/>
    <w:rsid w:val="0030737B"/>
    <w:rsid w:val="00307414"/>
    <w:rsid w:val="003074A8"/>
    <w:rsid w:val="00307AE7"/>
    <w:rsid w:val="00310130"/>
    <w:rsid w:val="00310E36"/>
    <w:rsid w:val="00310E82"/>
    <w:rsid w:val="00311019"/>
    <w:rsid w:val="00311DAE"/>
    <w:rsid w:val="00312A47"/>
    <w:rsid w:val="0031327F"/>
    <w:rsid w:val="0031361F"/>
    <w:rsid w:val="00313ADA"/>
    <w:rsid w:val="00313B0A"/>
    <w:rsid w:val="00313BF6"/>
    <w:rsid w:val="00314895"/>
    <w:rsid w:val="00314EFD"/>
    <w:rsid w:val="00315220"/>
    <w:rsid w:val="00315462"/>
    <w:rsid w:val="00315A32"/>
    <w:rsid w:val="003161C7"/>
    <w:rsid w:val="003163AD"/>
    <w:rsid w:val="00316A8D"/>
    <w:rsid w:val="00317192"/>
    <w:rsid w:val="00317252"/>
    <w:rsid w:val="0031760B"/>
    <w:rsid w:val="00320228"/>
    <w:rsid w:val="00320441"/>
    <w:rsid w:val="00320810"/>
    <w:rsid w:val="00320AA5"/>
    <w:rsid w:val="00320F14"/>
    <w:rsid w:val="0032222D"/>
    <w:rsid w:val="003229B0"/>
    <w:rsid w:val="00322E85"/>
    <w:rsid w:val="00323276"/>
    <w:rsid w:val="003232C7"/>
    <w:rsid w:val="00323878"/>
    <w:rsid w:val="00323924"/>
    <w:rsid w:val="003239A9"/>
    <w:rsid w:val="00323D9C"/>
    <w:rsid w:val="0032551B"/>
    <w:rsid w:val="003255A0"/>
    <w:rsid w:val="003258C4"/>
    <w:rsid w:val="00325CC3"/>
    <w:rsid w:val="003261AD"/>
    <w:rsid w:val="003262DE"/>
    <w:rsid w:val="00327221"/>
    <w:rsid w:val="00327636"/>
    <w:rsid w:val="003277D1"/>
    <w:rsid w:val="0032796C"/>
    <w:rsid w:val="00327B7A"/>
    <w:rsid w:val="003300E5"/>
    <w:rsid w:val="00330119"/>
    <w:rsid w:val="0033074A"/>
    <w:rsid w:val="00330B3C"/>
    <w:rsid w:val="00330F34"/>
    <w:rsid w:val="00331183"/>
    <w:rsid w:val="003314D1"/>
    <w:rsid w:val="003316AA"/>
    <w:rsid w:val="0033178F"/>
    <w:rsid w:val="00331D16"/>
    <w:rsid w:val="00331F3A"/>
    <w:rsid w:val="003320D8"/>
    <w:rsid w:val="00332144"/>
    <w:rsid w:val="00332B17"/>
    <w:rsid w:val="0033300E"/>
    <w:rsid w:val="0033317E"/>
    <w:rsid w:val="00333830"/>
    <w:rsid w:val="00333B37"/>
    <w:rsid w:val="00333EBB"/>
    <w:rsid w:val="00334363"/>
    <w:rsid w:val="003344C6"/>
    <w:rsid w:val="00334F37"/>
    <w:rsid w:val="00335F94"/>
    <w:rsid w:val="00336045"/>
    <w:rsid w:val="0033623F"/>
    <w:rsid w:val="00336345"/>
    <w:rsid w:val="0033727B"/>
    <w:rsid w:val="003376CC"/>
    <w:rsid w:val="00337D2C"/>
    <w:rsid w:val="00337DB6"/>
    <w:rsid w:val="003401BC"/>
    <w:rsid w:val="0034058F"/>
    <w:rsid w:val="003405BB"/>
    <w:rsid w:val="00340866"/>
    <w:rsid w:val="00341017"/>
    <w:rsid w:val="00341189"/>
    <w:rsid w:val="0034130D"/>
    <w:rsid w:val="003414D4"/>
    <w:rsid w:val="00341AE9"/>
    <w:rsid w:val="00341E0D"/>
    <w:rsid w:val="0034224A"/>
    <w:rsid w:val="003428BC"/>
    <w:rsid w:val="00342AED"/>
    <w:rsid w:val="00342F06"/>
    <w:rsid w:val="00343119"/>
    <w:rsid w:val="00343474"/>
    <w:rsid w:val="0034391E"/>
    <w:rsid w:val="00343CD9"/>
    <w:rsid w:val="00343E76"/>
    <w:rsid w:val="003442BF"/>
    <w:rsid w:val="0034469D"/>
    <w:rsid w:val="00344736"/>
    <w:rsid w:val="0034497D"/>
    <w:rsid w:val="003453A3"/>
    <w:rsid w:val="00345902"/>
    <w:rsid w:val="00345C58"/>
    <w:rsid w:val="00345E9F"/>
    <w:rsid w:val="0034663D"/>
    <w:rsid w:val="00346661"/>
    <w:rsid w:val="00346B99"/>
    <w:rsid w:val="00346FFA"/>
    <w:rsid w:val="003472D1"/>
    <w:rsid w:val="003477FD"/>
    <w:rsid w:val="00347B30"/>
    <w:rsid w:val="003502E5"/>
    <w:rsid w:val="003503F0"/>
    <w:rsid w:val="00350954"/>
    <w:rsid w:val="00350E04"/>
    <w:rsid w:val="0035131E"/>
    <w:rsid w:val="00351534"/>
    <w:rsid w:val="00351C90"/>
    <w:rsid w:val="00351DE4"/>
    <w:rsid w:val="00352273"/>
    <w:rsid w:val="00352338"/>
    <w:rsid w:val="00352D63"/>
    <w:rsid w:val="003533E8"/>
    <w:rsid w:val="00353CEC"/>
    <w:rsid w:val="00353FA2"/>
    <w:rsid w:val="00354114"/>
    <w:rsid w:val="0035477E"/>
    <w:rsid w:val="00354B76"/>
    <w:rsid w:val="00354CD4"/>
    <w:rsid w:val="00355113"/>
    <w:rsid w:val="00355313"/>
    <w:rsid w:val="0035546E"/>
    <w:rsid w:val="0035563C"/>
    <w:rsid w:val="00356547"/>
    <w:rsid w:val="00356762"/>
    <w:rsid w:val="00356CB8"/>
    <w:rsid w:val="00356E69"/>
    <w:rsid w:val="00357BE6"/>
    <w:rsid w:val="00357D59"/>
    <w:rsid w:val="00357DC4"/>
    <w:rsid w:val="00360994"/>
    <w:rsid w:val="00361165"/>
    <w:rsid w:val="00361598"/>
    <w:rsid w:val="00361A83"/>
    <w:rsid w:val="00361C03"/>
    <w:rsid w:val="003620DE"/>
    <w:rsid w:val="00362859"/>
    <w:rsid w:val="00362B6B"/>
    <w:rsid w:val="00363671"/>
    <w:rsid w:val="0036421F"/>
    <w:rsid w:val="0036453F"/>
    <w:rsid w:val="00364B36"/>
    <w:rsid w:val="00365187"/>
    <w:rsid w:val="003651CF"/>
    <w:rsid w:val="0036527F"/>
    <w:rsid w:val="003654DB"/>
    <w:rsid w:val="0036560B"/>
    <w:rsid w:val="00366B18"/>
    <w:rsid w:val="00366D14"/>
    <w:rsid w:val="00366EB7"/>
    <w:rsid w:val="003670E6"/>
    <w:rsid w:val="00367273"/>
    <w:rsid w:val="003674F1"/>
    <w:rsid w:val="00367800"/>
    <w:rsid w:val="00367A0B"/>
    <w:rsid w:val="003700AD"/>
    <w:rsid w:val="00370A3F"/>
    <w:rsid w:val="00370AC7"/>
    <w:rsid w:val="00370C40"/>
    <w:rsid w:val="0037131E"/>
    <w:rsid w:val="003718C6"/>
    <w:rsid w:val="003718D9"/>
    <w:rsid w:val="0037195F"/>
    <w:rsid w:val="0037239D"/>
    <w:rsid w:val="003724C6"/>
    <w:rsid w:val="003726EC"/>
    <w:rsid w:val="00372F3C"/>
    <w:rsid w:val="003737DF"/>
    <w:rsid w:val="00373A0D"/>
    <w:rsid w:val="00373B18"/>
    <w:rsid w:val="00373C05"/>
    <w:rsid w:val="00373C0C"/>
    <w:rsid w:val="00373D47"/>
    <w:rsid w:val="00374221"/>
    <w:rsid w:val="003746E4"/>
    <w:rsid w:val="0037477A"/>
    <w:rsid w:val="0037498D"/>
    <w:rsid w:val="00374E75"/>
    <w:rsid w:val="00375073"/>
    <w:rsid w:val="003753B9"/>
    <w:rsid w:val="00375563"/>
    <w:rsid w:val="00375746"/>
    <w:rsid w:val="00375772"/>
    <w:rsid w:val="00376065"/>
    <w:rsid w:val="00376FF4"/>
    <w:rsid w:val="00377BC8"/>
    <w:rsid w:val="0038032D"/>
    <w:rsid w:val="003810D7"/>
    <w:rsid w:val="00382035"/>
    <w:rsid w:val="00382854"/>
    <w:rsid w:val="003831C7"/>
    <w:rsid w:val="003838EF"/>
    <w:rsid w:val="00383AB2"/>
    <w:rsid w:val="00383E19"/>
    <w:rsid w:val="00383FD6"/>
    <w:rsid w:val="00383FD9"/>
    <w:rsid w:val="00384715"/>
    <w:rsid w:val="003847C9"/>
    <w:rsid w:val="0038480F"/>
    <w:rsid w:val="003851AC"/>
    <w:rsid w:val="00385BD4"/>
    <w:rsid w:val="00385C65"/>
    <w:rsid w:val="00385F96"/>
    <w:rsid w:val="0038604D"/>
    <w:rsid w:val="003866E8"/>
    <w:rsid w:val="003867A3"/>
    <w:rsid w:val="00386B1B"/>
    <w:rsid w:val="00386CC6"/>
    <w:rsid w:val="00387007"/>
    <w:rsid w:val="003878F4"/>
    <w:rsid w:val="00387A4B"/>
    <w:rsid w:val="00387B0D"/>
    <w:rsid w:val="00390157"/>
    <w:rsid w:val="003905A5"/>
    <w:rsid w:val="0039078D"/>
    <w:rsid w:val="00390BDE"/>
    <w:rsid w:val="00390F47"/>
    <w:rsid w:val="003912E9"/>
    <w:rsid w:val="003920CC"/>
    <w:rsid w:val="0039222C"/>
    <w:rsid w:val="003923D6"/>
    <w:rsid w:val="00392E1D"/>
    <w:rsid w:val="00394115"/>
    <w:rsid w:val="0039414F"/>
    <w:rsid w:val="003943B6"/>
    <w:rsid w:val="0039448B"/>
    <w:rsid w:val="003945EC"/>
    <w:rsid w:val="00394F2F"/>
    <w:rsid w:val="0039529A"/>
    <w:rsid w:val="003954F7"/>
    <w:rsid w:val="0039577D"/>
    <w:rsid w:val="00395A1A"/>
    <w:rsid w:val="00395B5D"/>
    <w:rsid w:val="00395D3D"/>
    <w:rsid w:val="0039660E"/>
    <w:rsid w:val="003970BC"/>
    <w:rsid w:val="00397332"/>
    <w:rsid w:val="003976E7"/>
    <w:rsid w:val="003977B9"/>
    <w:rsid w:val="00397DBB"/>
    <w:rsid w:val="003A0581"/>
    <w:rsid w:val="003A0B78"/>
    <w:rsid w:val="003A0B94"/>
    <w:rsid w:val="003A14D6"/>
    <w:rsid w:val="003A156F"/>
    <w:rsid w:val="003A1570"/>
    <w:rsid w:val="003A158C"/>
    <w:rsid w:val="003A23DF"/>
    <w:rsid w:val="003A2A64"/>
    <w:rsid w:val="003A2BED"/>
    <w:rsid w:val="003A2DE3"/>
    <w:rsid w:val="003A30C7"/>
    <w:rsid w:val="003A3A41"/>
    <w:rsid w:val="003A4DB6"/>
    <w:rsid w:val="003A51A1"/>
    <w:rsid w:val="003A533A"/>
    <w:rsid w:val="003A5805"/>
    <w:rsid w:val="003A5C68"/>
    <w:rsid w:val="003A5FF6"/>
    <w:rsid w:val="003A69E3"/>
    <w:rsid w:val="003A6D8B"/>
    <w:rsid w:val="003A6F0A"/>
    <w:rsid w:val="003A767F"/>
    <w:rsid w:val="003B02D6"/>
    <w:rsid w:val="003B02F6"/>
    <w:rsid w:val="003B08CD"/>
    <w:rsid w:val="003B179D"/>
    <w:rsid w:val="003B1CAD"/>
    <w:rsid w:val="003B1D3E"/>
    <w:rsid w:val="003B1F30"/>
    <w:rsid w:val="003B26AD"/>
    <w:rsid w:val="003B294F"/>
    <w:rsid w:val="003B2A26"/>
    <w:rsid w:val="003B362F"/>
    <w:rsid w:val="003B3A01"/>
    <w:rsid w:val="003B3E32"/>
    <w:rsid w:val="003B46A0"/>
    <w:rsid w:val="003B4977"/>
    <w:rsid w:val="003B5073"/>
    <w:rsid w:val="003B50CA"/>
    <w:rsid w:val="003B5309"/>
    <w:rsid w:val="003B5BE7"/>
    <w:rsid w:val="003B699A"/>
    <w:rsid w:val="003B6E59"/>
    <w:rsid w:val="003B72DF"/>
    <w:rsid w:val="003B7874"/>
    <w:rsid w:val="003B7F1D"/>
    <w:rsid w:val="003C01DF"/>
    <w:rsid w:val="003C02B3"/>
    <w:rsid w:val="003C0DA1"/>
    <w:rsid w:val="003C0E23"/>
    <w:rsid w:val="003C1A53"/>
    <w:rsid w:val="003C1CC2"/>
    <w:rsid w:val="003C1DCA"/>
    <w:rsid w:val="003C2ABF"/>
    <w:rsid w:val="003C2EF5"/>
    <w:rsid w:val="003C38BD"/>
    <w:rsid w:val="003C39AA"/>
    <w:rsid w:val="003C3C63"/>
    <w:rsid w:val="003C4218"/>
    <w:rsid w:val="003C42C8"/>
    <w:rsid w:val="003C466E"/>
    <w:rsid w:val="003C46D2"/>
    <w:rsid w:val="003C46EC"/>
    <w:rsid w:val="003C472F"/>
    <w:rsid w:val="003C474B"/>
    <w:rsid w:val="003C52CF"/>
    <w:rsid w:val="003C5AC9"/>
    <w:rsid w:val="003C633E"/>
    <w:rsid w:val="003C66B9"/>
    <w:rsid w:val="003C6746"/>
    <w:rsid w:val="003C6804"/>
    <w:rsid w:val="003C7635"/>
    <w:rsid w:val="003C795A"/>
    <w:rsid w:val="003C7B84"/>
    <w:rsid w:val="003C7DC5"/>
    <w:rsid w:val="003C7F7B"/>
    <w:rsid w:val="003D01F5"/>
    <w:rsid w:val="003D024F"/>
    <w:rsid w:val="003D083E"/>
    <w:rsid w:val="003D0B24"/>
    <w:rsid w:val="003D0BB6"/>
    <w:rsid w:val="003D0CF2"/>
    <w:rsid w:val="003D0EA9"/>
    <w:rsid w:val="003D115F"/>
    <w:rsid w:val="003D1B8B"/>
    <w:rsid w:val="003D2EC4"/>
    <w:rsid w:val="003D2FDF"/>
    <w:rsid w:val="003D33B9"/>
    <w:rsid w:val="003D3657"/>
    <w:rsid w:val="003D386C"/>
    <w:rsid w:val="003D3D46"/>
    <w:rsid w:val="003D3D6A"/>
    <w:rsid w:val="003D43E4"/>
    <w:rsid w:val="003D4FB6"/>
    <w:rsid w:val="003D5CE0"/>
    <w:rsid w:val="003D630F"/>
    <w:rsid w:val="003D656E"/>
    <w:rsid w:val="003D6D1F"/>
    <w:rsid w:val="003D73DD"/>
    <w:rsid w:val="003D7E46"/>
    <w:rsid w:val="003E03E9"/>
    <w:rsid w:val="003E0447"/>
    <w:rsid w:val="003E1B2E"/>
    <w:rsid w:val="003E26F2"/>
    <w:rsid w:val="003E27C3"/>
    <w:rsid w:val="003E2889"/>
    <w:rsid w:val="003E38C7"/>
    <w:rsid w:val="003E3AC5"/>
    <w:rsid w:val="003E3B4B"/>
    <w:rsid w:val="003E3F03"/>
    <w:rsid w:val="003E4016"/>
    <w:rsid w:val="003E461F"/>
    <w:rsid w:val="003E4655"/>
    <w:rsid w:val="003E4ABC"/>
    <w:rsid w:val="003E5160"/>
    <w:rsid w:val="003E594E"/>
    <w:rsid w:val="003E5D03"/>
    <w:rsid w:val="003E5DFD"/>
    <w:rsid w:val="003E618C"/>
    <w:rsid w:val="003E63B4"/>
    <w:rsid w:val="003E6768"/>
    <w:rsid w:val="003E6C9F"/>
    <w:rsid w:val="003E6DC6"/>
    <w:rsid w:val="003E7513"/>
    <w:rsid w:val="003E7525"/>
    <w:rsid w:val="003E77C0"/>
    <w:rsid w:val="003E78DC"/>
    <w:rsid w:val="003E796A"/>
    <w:rsid w:val="003E7BD8"/>
    <w:rsid w:val="003E7DF6"/>
    <w:rsid w:val="003F007F"/>
    <w:rsid w:val="003F00B6"/>
    <w:rsid w:val="003F00FD"/>
    <w:rsid w:val="003F0368"/>
    <w:rsid w:val="003F0381"/>
    <w:rsid w:val="003F064D"/>
    <w:rsid w:val="003F1321"/>
    <w:rsid w:val="003F23A4"/>
    <w:rsid w:val="003F28C3"/>
    <w:rsid w:val="003F31FA"/>
    <w:rsid w:val="003F3B28"/>
    <w:rsid w:val="003F3EB4"/>
    <w:rsid w:val="003F45DD"/>
    <w:rsid w:val="003F4B13"/>
    <w:rsid w:val="003F4B3A"/>
    <w:rsid w:val="003F5418"/>
    <w:rsid w:val="003F6E4B"/>
    <w:rsid w:val="003F768B"/>
    <w:rsid w:val="004002EF"/>
    <w:rsid w:val="004007AC"/>
    <w:rsid w:val="00400973"/>
    <w:rsid w:val="00400EF8"/>
    <w:rsid w:val="00400F85"/>
    <w:rsid w:val="00401127"/>
    <w:rsid w:val="00401359"/>
    <w:rsid w:val="00401637"/>
    <w:rsid w:val="00401A9E"/>
    <w:rsid w:val="00401ACE"/>
    <w:rsid w:val="00401FF8"/>
    <w:rsid w:val="004026A9"/>
    <w:rsid w:val="00402711"/>
    <w:rsid w:val="00403044"/>
    <w:rsid w:val="0040318A"/>
    <w:rsid w:val="00403291"/>
    <w:rsid w:val="00403969"/>
    <w:rsid w:val="00404280"/>
    <w:rsid w:val="00404EA3"/>
    <w:rsid w:val="00404FD6"/>
    <w:rsid w:val="004053E4"/>
    <w:rsid w:val="004053EB"/>
    <w:rsid w:val="00405608"/>
    <w:rsid w:val="00406370"/>
    <w:rsid w:val="004064B3"/>
    <w:rsid w:val="00406841"/>
    <w:rsid w:val="0040687E"/>
    <w:rsid w:val="00406D98"/>
    <w:rsid w:val="00407556"/>
    <w:rsid w:val="0040796F"/>
    <w:rsid w:val="00410286"/>
    <w:rsid w:val="00410925"/>
    <w:rsid w:val="00412DA4"/>
    <w:rsid w:val="004132F2"/>
    <w:rsid w:val="00413DDE"/>
    <w:rsid w:val="00414362"/>
    <w:rsid w:val="00414D05"/>
    <w:rsid w:val="004151C1"/>
    <w:rsid w:val="00415A97"/>
    <w:rsid w:val="00415FA6"/>
    <w:rsid w:val="00416B61"/>
    <w:rsid w:val="0041728D"/>
    <w:rsid w:val="00417370"/>
    <w:rsid w:val="004174FF"/>
    <w:rsid w:val="00417655"/>
    <w:rsid w:val="00417C32"/>
    <w:rsid w:val="00420197"/>
    <w:rsid w:val="004213F8"/>
    <w:rsid w:val="0042167D"/>
    <w:rsid w:val="00421BF4"/>
    <w:rsid w:val="00422327"/>
    <w:rsid w:val="0042307D"/>
    <w:rsid w:val="004233E4"/>
    <w:rsid w:val="004235B5"/>
    <w:rsid w:val="0042438D"/>
    <w:rsid w:val="004247EB"/>
    <w:rsid w:val="0042556D"/>
    <w:rsid w:val="004257B0"/>
    <w:rsid w:val="00425C81"/>
    <w:rsid w:val="00426206"/>
    <w:rsid w:val="00426576"/>
    <w:rsid w:val="00426742"/>
    <w:rsid w:val="00426CF6"/>
    <w:rsid w:val="004274CE"/>
    <w:rsid w:val="004275FC"/>
    <w:rsid w:val="00427B46"/>
    <w:rsid w:val="00427BC4"/>
    <w:rsid w:val="00430203"/>
    <w:rsid w:val="004304C1"/>
    <w:rsid w:val="0043063F"/>
    <w:rsid w:val="00431464"/>
    <w:rsid w:val="00431595"/>
    <w:rsid w:val="004319E4"/>
    <w:rsid w:val="00431B9D"/>
    <w:rsid w:val="00431D7C"/>
    <w:rsid w:val="00431DF2"/>
    <w:rsid w:val="00432784"/>
    <w:rsid w:val="004327E5"/>
    <w:rsid w:val="00432895"/>
    <w:rsid w:val="00432A57"/>
    <w:rsid w:val="00432F7A"/>
    <w:rsid w:val="0043379C"/>
    <w:rsid w:val="00434500"/>
    <w:rsid w:val="00434588"/>
    <w:rsid w:val="0043559A"/>
    <w:rsid w:val="004359BA"/>
    <w:rsid w:val="00435ACB"/>
    <w:rsid w:val="00435C98"/>
    <w:rsid w:val="00436C2C"/>
    <w:rsid w:val="00437032"/>
    <w:rsid w:val="004370EB"/>
    <w:rsid w:val="00437909"/>
    <w:rsid w:val="00437ACC"/>
    <w:rsid w:val="00437C09"/>
    <w:rsid w:val="00437ED1"/>
    <w:rsid w:val="00440C07"/>
    <w:rsid w:val="00441520"/>
    <w:rsid w:val="00441A55"/>
    <w:rsid w:val="00441D91"/>
    <w:rsid w:val="00442075"/>
    <w:rsid w:val="00442481"/>
    <w:rsid w:val="00442577"/>
    <w:rsid w:val="00442593"/>
    <w:rsid w:val="004426F0"/>
    <w:rsid w:val="004427B5"/>
    <w:rsid w:val="00442CE8"/>
    <w:rsid w:val="004434B6"/>
    <w:rsid w:val="004439C2"/>
    <w:rsid w:val="00444F3D"/>
    <w:rsid w:val="004451C4"/>
    <w:rsid w:val="004451C8"/>
    <w:rsid w:val="00445205"/>
    <w:rsid w:val="00446160"/>
    <w:rsid w:val="00446356"/>
    <w:rsid w:val="00446E8F"/>
    <w:rsid w:val="00447027"/>
    <w:rsid w:val="00447A34"/>
    <w:rsid w:val="00447BB7"/>
    <w:rsid w:val="00447F63"/>
    <w:rsid w:val="004503B9"/>
    <w:rsid w:val="0045040F"/>
    <w:rsid w:val="004508D0"/>
    <w:rsid w:val="00450B88"/>
    <w:rsid w:val="00451642"/>
    <w:rsid w:val="004527FC"/>
    <w:rsid w:val="0045300D"/>
    <w:rsid w:val="00453553"/>
    <w:rsid w:val="00453A2E"/>
    <w:rsid w:val="00454494"/>
    <w:rsid w:val="004545AC"/>
    <w:rsid w:val="0045494C"/>
    <w:rsid w:val="00454C8C"/>
    <w:rsid w:val="00454E2D"/>
    <w:rsid w:val="004554F9"/>
    <w:rsid w:val="0045566E"/>
    <w:rsid w:val="00455AAA"/>
    <w:rsid w:val="00455B00"/>
    <w:rsid w:val="00455D22"/>
    <w:rsid w:val="00455ECC"/>
    <w:rsid w:val="00456DDB"/>
    <w:rsid w:val="00457767"/>
    <w:rsid w:val="004615B3"/>
    <w:rsid w:val="004615C0"/>
    <w:rsid w:val="00461899"/>
    <w:rsid w:val="00461CB3"/>
    <w:rsid w:val="00462C5C"/>
    <w:rsid w:val="00463083"/>
    <w:rsid w:val="004631BB"/>
    <w:rsid w:val="004632DE"/>
    <w:rsid w:val="00463321"/>
    <w:rsid w:val="00463A2A"/>
    <w:rsid w:val="00463AD1"/>
    <w:rsid w:val="00463BA7"/>
    <w:rsid w:val="004642D6"/>
    <w:rsid w:val="0046533C"/>
    <w:rsid w:val="00465506"/>
    <w:rsid w:val="00465B6C"/>
    <w:rsid w:val="004672A0"/>
    <w:rsid w:val="00467655"/>
    <w:rsid w:val="00467736"/>
    <w:rsid w:val="004678F6"/>
    <w:rsid w:val="004700E7"/>
    <w:rsid w:val="00470376"/>
    <w:rsid w:val="004705CF"/>
    <w:rsid w:val="00470D19"/>
    <w:rsid w:val="00471078"/>
    <w:rsid w:val="00471418"/>
    <w:rsid w:val="0047173B"/>
    <w:rsid w:val="0047196B"/>
    <w:rsid w:val="00471C3A"/>
    <w:rsid w:val="004722A1"/>
    <w:rsid w:val="00472363"/>
    <w:rsid w:val="00472AEE"/>
    <w:rsid w:val="00473ACB"/>
    <w:rsid w:val="00473CC5"/>
    <w:rsid w:val="0047440D"/>
    <w:rsid w:val="004745E3"/>
    <w:rsid w:val="00474B97"/>
    <w:rsid w:val="00474D5E"/>
    <w:rsid w:val="0047534E"/>
    <w:rsid w:val="0047549A"/>
    <w:rsid w:val="00475AF4"/>
    <w:rsid w:val="004765C2"/>
    <w:rsid w:val="004765CB"/>
    <w:rsid w:val="00477015"/>
    <w:rsid w:val="00477240"/>
    <w:rsid w:val="004772D4"/>
    <w:rsid w:val="004774EB"/>
    <w:rsid w:val="0048041D"/>
    <w:rsid w:val="00480978"/>
    <w:rsid w:val="00481492"/>
    <w:rsid w:val="004821F5"/>
    <w:rsid w:val="00482706"/>
    <w:rsid w:val="00482905"/>
    <w:rsid w:val="0048323E"/>
    <w:rsid w:val="00483885"/>
    <w:rsid w:val="00483D50"/>
    <w:rsid w:val="00484D9B"/>
    <w:rsid w:val="00485B33"/>
    <w:rsid w:val="00485BDA"/>
    <w:rsid w:val="004862A4"/>
    <w:rsid w:val="004865CF"/>
    <w:rsid w:val="004865F6"/>
    <w:rsid w:val="00486699"/>
    <w:rsid w:val="004868DD"/>
    <w:rsid w:val="00486944"/>
    <w:rsid w:val="004869BE"/>
    <w:rsid w:val="004874DB"/>
    <w:rsid w:val="0048780E"/>
    <w:rsid w:val="00487CB4"/>
    <w:rsid w:val="0049045A"/>
    <w:rsid w:val="004909A6"/>
    <w:rsid w:val="004918CE"/>
    <w:rsid w:val="00491A5D"/>
    <w:rsid w:val="00491F64"/>
    <w:rsid w:val="0049209F"/>
    <w:rsid w:val="004922FF"/>
    <w:rsid w:val="00492EA1"/>
    <w:rsid w:val="00492EDB"/>
    <w:rsid w:val="004949B7"/>
    <w:rsid w:val="00494A01"/>
    <w:rsid w:val="00494B5A"/>
    <w:rsid w:val="00495026"/>
    <w:rsid w:val="00495979"/>
    <w:rsid w:val="004959AB"/>
    <w:rsid w:val="00495B3E"/>
    <w:rsid w:val="00495DFC"/>
    <w:rsid w:val="004962E1"/>
    <w:rsid w:val="004966DF"/>
    <w:rsid w:val="00497316"/>
    <w:rsid w:val="004975E6"/>
    <w:rsid w:val="004A00E5"/>
    <w:rsid w:val="004A0589"/>
    <w:rsid w:val="004A0633"/>
    <w:rsid w:val="004A19D3"/>
    <w:rsid w:val="004A1D43"/>
    <w:rsid w:val="004A1E68"/>
    <w:rsid w:val="004A21EE"/>
    <w:rsid w:val="004A227B"/>
    <w:rsid w:val="004A3388"/>
    <w:rsid w:val="004A33AE"/>
    <w:rsid w:val="004A3826"/>
    <w:rsid w:val="004A3ECC"/>
    <w:rsid w:val="004A48D0"/>
    <w:rsid w:val="004A59C3"/>
    <w:rsid w:val="004A7CD3"/>
    <w:rsid w:val="004A7CD9"/>
    <w:rsid w:val="004A7DB2"/>
    <w:rsid w:val="004B039D"/>
    <w:rsid w:val="004B0AC3"/>
    <w:rsid w:val="004B0AF5"/>
    <w:rsid w:val="004B0D79"/>
    <w:rsid w:val="004B10E2"/>
    <w:rsid w:val="004B2105"/>
    <w:rsid w:val="004B29B3"/>
    <w:rsid w:val="004B2E33"/>
    <w:rsid w:val="004B2E8A"/>
    <w:rsid w:val="004B31C3"/>
    <w:rsid w:val="004B32B4"/>
    <w:rsid w:val="004B33B0"/>
    <w:rsid w:val="004B3B65"/>
    <w:rsid w:val="004B40CE"/>
    <w:rsid w:val="004B41CA"/>
    <w:rsid w:val="004B4204"/>
    <w:rsid w:val="004B433F"/>
    <w:rsid w:val="004B4B37"/>
    <w:rsid w:val="004B4C1D"/>
    <w:rsid w:val="004B4F3F"/>
    <w:rsid w:val="004B57DE"/>
    <w:rsid w:val="004B588D"/>
    <w:rsid w:val="004B5E75"/>
    <w:rsid w:val="004B62C9"/>
    <w:rsid w:val="004B64B7"/>
    <w:rsid w:val="004B6D5B"/>
    <w:rsid w:val="004B700A"/>
    <w:rsid w:val="004B7C2A"/>
    <w:rsid w:val="004C042A"/>
    <w:rsid w:val="004C0521"/>
    <w:rsid w:val="004C06EB"/>
    <w:rsid w:val="004C0EE2"/>
    <w:rsid w:val="004C1044"/>
    <w:rsid w:val="004C155B"/>
    <w:rsid w:val="004C1FD5"/>
    <w:rsid w:val="004C2277"/>
    <w:rsid w:val="004C2812"/>
    <w:rsid w:val="004C368E"/>
    <w:rsid w:val="004C3C9D"/>
    <w:rsid w:val="004C46BA"/>
    <w:rsid w:val="004C49AD"/>
    <w:rsid w:val="004C529D"/>
    <w:rsid w:val="004C59DA"/>
    <w:rsid w:val="004C5F7C"/>
    <w:rsid w:val="004C6868"/>
    <w:rsid w:val="004C6869"/>
    <w:rsid w:val="004C6C6E"/>
    <w:rsid w:val="004C6DB2"/>
    <w:rsid w:val="004C7751"/>
    <w:rsid w:val="004C7897"/>
    <w:rsid w:val="004D0365"/>
    <w:rsid w:val="004D0A50"/>
    <w:rsid w:val="004D0BFA"/>
    <w:rsid w:val="004D10AF"/>
    <w:rsid w:val="004D23B4"/>
    <w:rsid w:val="004D26E6"/>
    <w:rsid w:val="004D27A4"/>
    <w:rsid w:val="004D2911"/>
    <w:rsid w:val="004D2B40"/>
    <w:rsid w:val="004D2CCB"/>
    <w:rsid w:val="004D2D51"/>
    <w:rsid w:val="004D2E6C"/>
    <w:rsid w:val="004D393A"/>
    <w:rsid w:val="004D3E21"/>
    <w:rsid w:val="004D3F97"/>
    <w:rsid w:val="004D4174"/>
    <w:rsid w:val="004D46B3"/>
    <w:rsid w:val="004D4A11"/>
    <w:rsid w:val="004D4A85"/>
    <w:rsid w:val="004D54A4"/>
    <w:rsid w:val="004D685C"/>
    <w:rsid w:val="004D6ECE"/>
    <w:rsid w:val="004D7543"/>
    <w:rsid w:val="004E047D"/>
    <w:rsid w:val="004E04F5"/>
    <w:rsid w:val="004E0BC3"/>
    <w:rsid w:val="004E1D38"/>
    <w:rsid w:val="004E1D58"/>
    <w:rsid w:val="004E1E9F"/>
    <w:rsid w:val="004E2751"/>
    <w:rsid w:val="004E28AE"/>
    <w:rsid w:val="004E2ABE"/>
    <w:rsid w:val="004E2B24"/>
    <w:rsid w:val="004E2DA3"/>
    <w:rsid w:val="004E32B0"/>
    <w:rsid w:val="004E3529"/>
    <w:rsid w:val="004E3F17"/>
    <w:rsid w:val="004E42F0"/>
    <w:rsid w:val="004E4E6A"/>
    <w:rsid w:val="004E4ED6"/>
    <w:rsid w:val="004E51FE"/>
    <w:rsid w:val="004E5361"/>
    <w:rsid w:val="004E5CEE"/>
    <w:rsid w:val="004E5F82"/>
    <w:rsid w:val="004E5FE5"/>
    <w:rsid w:val="004E63D7"/>
    <w:rsid w:val="004E6801"/>
    <w:rsid w:val="004E6CF9"/>
    <w:rsid w:val="004E6D2E"/>
    <w:rsid w:val="004E71A0"/>
    <w:rsid w:val="004E7542"/>
    <w:rsid w:val="004E7607"/>
    <w:rsid w:val="004E7ACE"/>
    <w:rsid w:val="004F02A1"/>
    <w:rsid w:val="004F0491"/>
    <w:rsid w:val="004F05D9"/>
    <w:rsid w:val="004F1D87"/>
    <w:rsid w:val="004F1E33"/>
    <w:rsid w:val="004F208E"/>
    <w:rsid w:val="004F22D2"/>
    <w:rsid w:val="004F27EF"/>
    <w:rsid w:val="004F28AF"/>
    <w:rsid w:val="004F2FA7"/>
    <w:rsid w:val="004F3446"/>
    <w:rsid w:val="004F3D7D"/>
    <w:rsid w:val="004F47DD"/>
    <w:rsid w:val="004F506F"/>
    <w:rsid w:val="004F59AD"/>
    <w:rsid w:val="004F5B8C"/>
    <w:rsid w:val="004F5E3A"/>
    <w:rsid w:val="004F6217"/>
    <w:rsid w:val="004F636F"/>
    <w:rsid w:val="004F6742"/>
    <w:rsid w:val="004F78BE"/>
    <w:rsid w:val="004F7A3D"/>
    <w:rsid w:val="004F7ED0"/>
    <w:rsid w:val="005000C3"/>
    <w:rsid w:val="005001C3"/>
    <w:rsid w:val="005007DC"/>
    <w:rsid w:val="00500805"/>
    <w:rsid w:val="00501296"/>
    <w:rsid w:val="005014FA"/>
    <w:rsid w:val="005019E6"/>
    <w:rsid w:val="00501A2C"/>
    <w:rsid w:val="00501C7B"/>
    <w:rsid w:val="00501F78"/>
    <w:rsid w:val="00502203"/>
    <w:rsid w:val="00502224"/>
    <w:rsid w:val="00502228"/>
    <w:rsid w:val="00502319"/>
    <w:rsid w:val="005026C1"/>
    <w:rsid w:val="005028FE"/>
    <w:rsid w:val="00502EDA"/>
    <w:rsid w:val="0050303A"/>
    <w:rsid w:val="00503293"/>
    <w:rsid w:val="00503AA8"/>
    <w:rsid w:val="00504108"/>
    <w:rsid w:val="005041F4"/>
    <w:rsid w:val="00504580"/>
    <w:rsid w:val="00504CE1"/>
    <w:rsid w:val="00505268"/>
    <w:rsid w:val="005052EB"/>
    <w:rsid w:val="00505C2F"/>
    <w:rsid w:val="0050638F"/>
    <w:rsid w:val="00506A81"/>
    <w:rsid w:val="00507701"/>
    <w:rsid w:val="00510856"/>
    <w:rsid w:val="0051103F"/>
    <w:rsid w:val="00511085"/>
    <w:rsid w:val="00511520"/>
    <w:rsid w:val="005116E2"/>
    <w:rsid w:val="005117AC"/>
    <w:rsid w:val="00512070"/>
    <w:rsid w:val="005125E7"/>
    <w:rsid w:val="0051287B"/>
    <w:rsid w:val="00512F1A"/>
    <w:rsid w:val="0051305A"/>
    <w:rsid w:val="005135AE"/>
    <w:rsid w:val="00513C76"/>
    <w:rsid w:val="0051483F"/>
    <w:rsid w:val="005148BF"/>
    <w:rsid w:val="00515448"/>
    <w:rsid w:val="00516E94"/>
    <w:rsid w:val="00516F59"/>
    <w:rsid w:val="00516FCD"/>
    <w:rsid w:val="0051719A"/>
    <w:rsid w:val="005177F8"/>
    <w:rsid w:val="00517874"/>
    <w:rsid w:val="0052097D"/>
    <w:rsid w:val="00520E5B"/>
    <w:rsid w:val="00520F30"/>
    <w:rsid w:val="005210CE"/>
    <w:rsid w:val="005217B9"/>
    <w:rsid w:val="005217C2"/>
    <w:rsid w:val="00521D5F"/>
    <w:rsid w:val="005221B9"/>
    <w:rsid w:val="00522B58"/>
    <w:rsid w:val="00522D9D"/>
    <w:rsid w:val="00522EA9"/>
    <w:rsid w:val="005230B3"/>
    <w:rsid w:val="00523433"/>
    <w:rsid w:val="00523823"/>
    <w:rsid w:val="005244CC"/>
    <w:rsid w:val="00524684"/>
    <w:rsid w:val="00524A54"/>
    <w:rsid w:val="00524D2D"/>
    <w:rsid w:val="005250C8"/>
    <w:rsid w:val="00525F72"/>
    <w:rsid w:val="00526422"/>
    <w:rsid w:val="00526433"/>
    <w:rsid w:val="00526FC2"/>
    <w:rsid w:val="005270E3"/>
    <w:rsid w:val="005273E5"/>
    <w:rsid w:val="005274B5"/>
    <w:rsid w:val="0052779F"/>
    <w:rsid w:val="005277BD"/>
    <w:rsid w:val="005277EC"/>
    <w:rsid w:val="00527C0A"/>
    <w:rsid w:val="00527DD9"/>
    <w:rsid w:val="00527F42"/>
    <w:rsid w:val="005303C9"/>
    <w:rsid w:val="005311D6"/>
    <w:rsid w:val="00531AA9"/>
    <w:rsid w:val="00531C51"/>
    <w:rsid w:val="00531FC3"/>
    <w:rsid w:val="00532208"/>
    <w:rsid w:val="005323FD"/>
    <w:rsid w:val="005324EB"/>
    <w:rsid w:val="00532680"/>
    <w:rsid w:val="005329B0"/>
    <w:rsid w:val="00533122"/>
    <w:rsid w:val="00533CC5"/>
    <w:rsid w:val="00533EEB"/>
    <w:rsid w:val="00534ED6"/>
    <w:rsid w:val="005359CC"/>
    <w:rsid w:val="005363D4"/>
    <w:rsid w:val="00536865"/>
    <w:rsid w:val="005368B7"/>
    <w:rsid w:val="005374D5"/>
    <w:rsid w:val="005376D0"/>
    <w:rsid w:val="00537A28"/>
    <w:rsid w:val="00537A7A"/>
    <w:rsid w:val="00537AE9"/>
    <w:rsid w:val="0054012F"/>
    <w:rsid w:val="00540815"/>
    <w:rsid w:val="0054087C"/>
    <w:rsid w:val="005410B4"/>
    <w:rsid w:val="005419C2"/>
    <w:rsid w:val="00541ACB"/>
    <w:rsid w:val="00542200"/>
    <w:rsid w:val="00542BE4"/>
    <w:rsid w:val="00542CAA"/>
    <w:rsid w:val="00542DE2"/>
    <w:rsid w:val="00542F70"/>
    <w:rsid w:val="0054396D"/>
    <w:rsid w:val="0054424B"/>
    <w:rsid w:val="005444DB"/>
    <w:rsid w:val="0054481A"/>
    <w:rsid w:val="00545A36"/>
    <w:rsid w:val="00546DFD"/>
    <w:rsid w:val="00547337"/>
    <w:rsid w:val="00547617"/>
    <w:rsid w:val="0054788E"/>
    <w:rsid w:val="005478F8"/>
    <w:rsid w:val="005502C6"/>
    <w:rsid w:val="00551F31"/>
    <w:rsid w:val="0055207B"/>
    <w:rsid w:val="005522A4"/>
    <w:rsid w:val="0055258C"/>
    <w:rsid w:val="00552858"/>
    <w:rsid w:val="00552B68"/>
    <w:rsid w:val="005541DA"/>
    <w:rsid w:val="0055508B"/>
    <w:rsid w:val="005551B2"/>
    <w:rsid w:val="005551B6"/>
    <w:rsid w:val="00555438"/>
    <w:rsid w:val="00555642"/>
    <w:rsid w:val="005557CE"/>
    <w:rsid w:val="00555C39"/>
    <w:rsid w:val="005563A9"/>
    <w:rsid w:val="00556675"/>
    <w:rsid w:val="00557162"/>
    <w:rsid w:val="0055747E"/>
    <w:rsid w:val="005574F8"/>
    <w:rsid w:val="00557505"/>
    <w:rsid w:val="0055779D"/>
    <w:rsid w:val="00557DF7"/>
    <w:rsid w:val="00561339"/>
    <w:rsid w:val="00561794"/>
    <w:rsid w:val="00561CA8"/>
    <w:rsid w:val="00562321"/>
    <w:rsid w:val="005623CB"/>
    <w:rsid w:val="0056296E"/>
    <w:rsid w:val="0056365E"/>
    <w:rsid w:val="005646B0"/>
    <w:rsid w:val="005649A6"/>
    <w:rsid w:val="00564C8F"/>
    <w:rsid w:val="00564DE0"/>
    <w:rsid w:val="00564EAF"/>
    <w:rsid w:val="005650F0"/>
    <w:rsid w:val="00565349"/>
    <w:rsid w:val="00566D06"/>
    <w:rsid w:val="0057064A"/>
    <w:rsid w:val="00570708"/>
    <w:rsid w:val="0057082E"/>
    <w:rsid w:val="00570D30"/>
    <w:rsid w:val="005711D9"/>
    <w:rsid w:val="00571225"/>
    <w:rsid w:val="0057158A"/>
    <w:rsid w:val="00571614"/>
    <w:rsid w:val="00571A6E"/>
    <w:rsid w:val="00571D24"/>
    <w:rsid w:val="005727E4"/>
    <w:rsid w:val="005728AA"/>
    <w:rsid w:val="00572DA3"/>
    <w:rsid w:val="0057353A"/>
    <w:rsid w:val="0057395E"/>
    <w:rsid w:val="00574267"/>
    <w:rsid w:val="005748AD"/>
    <w:rsid w:val="00574A84"/>
    <w:rsid w:val="00575195"/>
    <w:rsid w:val="00575B94"/>
    <w:rsid w:val="00575DB0"/>
    <w:rsid w:val="00575F53"/>
    <w:rsid w:val="00576213"/>
    <w:rsid w:val="005762AF"/>
    <w:rsid w:val="00576C7F"/>
    <w:rsid w:val="00576DB5"/>
    <w:rsid w:val="00576E90"/>
    <w:rsid w:val="00577180"/>
    <w:rsid w:val="0057720B"/>
    <w:rsid w:val="00580208"/>
    <w:rsid w:val="00580523"/>
    <w:rsid w:val="005808FB"/>
    <w:rsid w:val="00580927"/>
    <w:rsid w:val="00581940"/>
    <w:rsid w:val="0058209A"/>
    <w:rsid w:val="00582398"/>
    <w:rsid w:val="005823E7"/>
    <w:rsid w:val="005826C7"/>
    <w:rsid w:val="005830D2"/>
    <w:rsid w:val="0058337E"/>
    <w:rsid w:val="00583BCE"/>
    <w:rsid w:val="00583CE4"/>
    <w:rsid w:val="005844CA"/>
    <w:rsid w:val="00585AE2"/>
    <w:rsid w:val="00586068"/>
    <w:rsid w:val="005860C1"/>
    <w:rsid w:val="00586A18"/>
    <w:rsid w:val="0058726E"/>
    <w:rsid w:val="005876BE"/>
    <w:rsid w:val="0059078B"/>
    <w:rsid w:val="00591630"/>
    <w:rsid w:val="005916A0"/>
    <w:rsid w:val="00591F87"/>
    <w:rsid w:val="00592082"/>
    <w:rsid w:val="00592B94"/>
    <w:rsid w:val="00592F6C"/>
    <w:rsid w:val="00593111"/>
    <w:rsid w:val="00593333"/>
    <w:rsid w:val="00593F18"/>
    <w:rsid w:val="00593F77"/>
    <w:rsid w:val="0059450D"/>
    <w:rsid w:val="0059466A"/>
    <w:rsid w:val="00594C09"/>
    <w:rsid w:val="00594D7A"/>
    <w:rsid w:val="0059573F"/>
    <w:rsid w:val="0059584B"/>
    <w:rsid w:val="00596089"/>
    <w:rsid w:val="00596349"/>
    <w:rsid w:val="0059663E"/>
    <w:rsid w:val="0059676F"/>
    <w:rsid w:val="00596E30"/>
    <w:rsid w:val="005974CA"/>
    <w:rsid w:val="005A00F0"/>
    <w:rsid w:val="005A08A6"/>
    <w:rsid w:val="005A10B0"/>
    <w:rsid w:val="005A14A8"/>
    <w:rsid w:val="005A172F"/>
    <w:rsid w:val="005A23EC"/>
    <w:rsid w:val="005A2451"/>
    <w:rsid w:val="005A2972"/>
    <w:rsid w:val="005A3235"/>
    <w:rsid w:val="005A3778"/>
    <w:rsid w:val="005A377D"/>
    <w:rsid w:val="005A3F91"/>
    <w:rsid w:val="005A4032"/>
    <w:rsid w:val="005A4185"/>
    <w:rsid w:val="005A4BD9"/>
    <w:rsid w:val="005A51A7"/>
    <w:rsid w:val="005A5256"/>
    <w:rsid w:val="005A5977"/>
    <w:rsid w:val="005A5CAD"/>
    <w:rsid w:val="005A5D4E"/>
    <w:rsid w:val="005A5D99"/>
    <w:rsid w:val="005A6044"/>
    <w:rsid w:val="005A60A7"/>
    <w:rsid w:val="005A6124"/>
    <w:rsid w:val="005A68EA"/>
    <w:rsid w:val="005A716C"/>
    <w:rsid w:val="005A784A"/>
    <w:rsid w:val="005A7912"/>
    <w:rsid w:val="005A79C7"/>
    <w:rsid w:val="005A7B1B"/>
    <w:rsid w:val="005B00EE"/>
    <w:rsid w:val="005B05C3"/>
    <w:rsid w:val="005B0769"/>
    <w:rsid w:val="005B0EB9"/>
    <w:rsid w:val="005B0F97"/>
    <w:rsid w:val="005B0FDC"/>
    <w:rsid w:val="005B18AA"/>
    <w:rsid w:val="005B21AC"/>
    <w:rsid w:val="005B29E4"/>
    <w:rsid w:val="005B3354"/>
    <w:rsid w:val="005B393C"/>
    <w:rsid w:val="005B398E"/>
    <w:rsid w:val="005B39C8"/>
    <w:rsid w:val="005B4273"/>
    <w:rsid w:val="005B54D1"/>
    <w:rsid w:val="005B56AB"/>
    <w:rsid w:val="005B5C3F"/>
    <w:rsid w:val="005B6019"/>
    <w:rsid w:val="005B611F"/>
    <w:rsid w:val="005B617B"/>
    <w:rsid w:val="005B6364"/>
    <w:rsid w:val="005B63D3"/>
    <w:rsid w:val="005B659E"/>
    <w:rsid w:val="005B65AE"/>
    <w:rsid w:val="005B6671"/>
    <w:rsid w:val="005B6771"/>
    <w:rsid w:val="005B6C4B"/>
    <w:rsid w:val="005B6CEF"/>
    <w:rsid w:val="005B6DEF"/>
    <w:rsid w:val="005B70A9"/>
    <w:rsid w:val="005B7C49"/>
    <w:rsid w:val="005C0296"/>
    <w:rsid w:val="005C02BB"/>
    <w:rsid w:val="005C02FB"/>
    <w:rsid w:val="005C08B5"/>
    <w:rsid w:val="005C0A2B"/>
    <w:rsid w:val="005C23E0"/>
    <w:rsid w:val="005C2A61"/>
    <w:rsid w:val="005C2B19"/>
    <w:rsid w:val="005C30F4"/>
    <w:rsid w:val="005C314B"/>
    <w:rsid w:val="005C4176"/>
    <w:rsid w:val="005C4569"/>
    <w:rsid w:val="005C4790"/>
    <w:rsid w:val="005C538F"/>
    <w:rsid w:val="005C575C"/>
    <w:rsid w:val="005C57BF"/>
    <w:rsid w:val="005C59FD"/>
    <w:rsid w:val="005C64DC"/>
    <w:rsid w:val="005C6780"/>
    <w:rsid w:val="005C6B8C"/>
    <w:rsid w:val="005C77DA"/>
    <w:rsid w:val="005C7940"/>
    <w:rsid w:val="005C7D0E"/>
    <w:rsid w:val="005D010F"/>
    <w:rsid w:val="005D04A4"/>
    <w:rsid w:val="005D161B"/>
    <w:rsid w:val="005D1B90"/>
    <w:rsid w:val="005D1F06"/>
    <w:rsid w:val="005D2510"/>
    <w:rsid w:val="005D2994"/>
    <w:rsid w:val="005D2BBB"/>
    <w:rsid w:val="005D2C87"/>
    <w:rsid w:val="005D34C9"/>
    <w:rsid w:val="005D389F"/>
    <w:rsid w:val="005D3A62"/>
    <w:rsid w:val="005D482F"/>
    <w:rsid w:val="005D5171"/>
    <w:rsid w:val="005D5513"/>
    <w:rsid w:val="005D5584"/>
    <w:rsid w:val="005D57A4"/>
    <w:rsid w:val="005D6133"/>
    <w:rsid w:val="005D6DB1"/>
    <w:rsid w:val="005D717A"/>
    <w:rsid w:val="005D7C68"/>
    <w:rsid w:val="005D7DCF"/>
    <w:rsid w:val="005E0AA5"/>
    <w:rsid w:val="005E0C61"/>
    <w:rsid w:val="005E0D50"/>
    <w:rsid w:val="005E0EB8"/>
    <w:rsid w:val="005E118E"/>
    <w:rsid w:val="005E132C"/>
    <w:rsid w:val="005E1823"/>
    <w:rsid w:val="005E2259"/>
    <w:rsid w:val="005E24BC"/>
    <w:rsid w:val="005E2875"/>
    <w:rsid w:val="005E28C5"/>
    <w:rsid w:val="005E2947"/>
    <w:rsid w:val="005E2991"/>
    <w:rsid w:val="005E2A17"/>
    <w:rsid w:val="005E3B13"/>
    <w:rsid w:val="005E3CEE"/>
    <w:rsid w:val="005E4057"/>
    <w:rsid w:val="005E44E0"/>
    <w:rsid w:val="005E4777"/>
    <w:rsid w:val="005E47E0"/>
    <w:rsid w:val="005E4B57"/>
    <w:rsid w:val="005E4B98"/>
    <w:rsid w:val="005E4BD0"/>
    <w:rsid w:val="005E4D37"/>
    <w:rsid w:val="005E4F91"/>
    <w:rsid w:val="005E5983"/>
    <w:rsid w:val="005E61D6"/>
    <w:rsid w:val="005E63D7"/>
    <w:rsid w:val="005E6855"/>
    <w:rsid w:val="005E6DB5"/>
    <w:rsid w:val="005E7287"/>
    <w:rsid w:val="005F0453"/>
    <w:rsid w:val="005F05D3"/>
    <w:rsid w:val="005F138A"/>
    <w:rsid w:val="005F1872"/>
    <w:rsid w:val="005F1CD6"/>
    <w:rsid w:val="005F2D9A"/>
    <w:rsid w:val="005F2FD6"/>
    <w:rsid w:val="005F2FF6"/>
    <w:rsid w:val="005F3A8B"/>
    <w:rsid w:val="005F4BA6"/>
    <w:rsid w:val="005F4EC5"/>
    <w:rsid w:val="005F5318"/>
    <w:rsid w:val="005F6C0F"/>
    <w:rsid w:val="005F6C93"/>
    <w:rsid w:val="005F6D8D"/>
    <w:rsid w:val="005F6F26"/>
    <w:rsid w:val="005F74EF"/>
    <w:rsid w:val="005F783B"/>
    <w:rsid w:val="005F7A33"/>
    <w:rsid w:val="005F7A8E"/>
    <w:rsid w:val="005F7B82"/>
    <w:rsid w:val="005F7C9E"/>
    <w:rsid w:val="005F7FB5"/>
    <w:rsid w:val="0060002E"/>
    <w:rsid w:val="00600419"/>
    <w:rsid w:val="00600A9C"/>
    <w:rsid w:val="00600E5F"/>
    <w:rsid w:val="0060136D"/>
    <w:rsid w:val="00601552"/>
    <w:rsid w:val="00601991"/>
    <w:rsid w:val="0060245D"/>
    <w:rsid w:val="0060249E"/>
    <w:rsid w:val="00602801"/>
    <w:rsid w:val="00603C3D"/>
    <w:rsid w:val="00603CD3"/>
    <w:rsid w:val="00603D68"/>
    <w:rsid w:val="006044CA"/>
    <w:rsid w:val="0060515A"/>
    <w:rsid w:val="00605420"/>
    <w:rsid w:val="00605980"/>
    <w:rsid w:val="0060598D"/>
    <w:rsid w:val="00605ABB"/>
    <w:rsid w:val="00605BBD"/>
    <w:rsid w:val="00605ED5"/>
    <w:rsid w:val="006060EB"/>
    <w:rsid w:val="006060F9"/>
    <w:rsid w:val="006063BD"/>
    <w:rsid w:val="00606972"/>
    <w:rsid w:val="00606C9E"/>
    <w:rsid w:val="00606D57"/>
    <w:rsid w:val="00607078"/>
    <w:rsid w:val="00607FE1"/>
    <w:rsid w:val="0061073F"/>
    <w:rsid w:val="00611488"/>
    <w:rsid w:val="00611830"/>
    <w:rsid w:val="00611934"/>
    <w:rsid w:val="006123F8"/>
    <w:rsid w:val="0061251E"/>
    <w:rsid w:val="00612D8E"/>
    <w:rsid w:val="00613003"/>
    <w:rsid w:val="006133A2"/>
    <w:rsid w:val="00613A08"/>
    <w:rsid w:val="0061424D"/>
    <w:rsid w:val="0061436F"/>
    <w:rsid w:val="00614391"/>
    <w:rsid w:val="006147E9"/>
    <w:rsid w:val="00614D40"/>
    <w:rsid w:val="0061557D"/>
    <w:rsid w:val="006156A4"/>
    <w:rsid w:val="006157AF"/>
    <w:rsid w:val="0061595D"/>
    <w:rsid w:val="00615B70"/>
    <w:rsid w:val="00615FF3"/>
    <w:rsid w:val="00616137"/>
    <w:rsid w:val="0061656E"/>
    <w:rsid w:val="00616EBA"/>
    <w:rsid w:val="00620280"/>
    <w:rsid w:val="00620594"/>
    <w:rsid w:val="00620808"/>
    <w:rsid w:val="0062113E"/>
    <w:rsid w:val="0062128A"/>
    <w:rsid w:val="0062146E"/>
    <w:rsid w:val="00621838"/>
    <w:rsid w:val="006219FB"/>
    <w:rsid w:val="00621F5E"/>
    <w:rsid w:val="0062281A"/>
    <w:rsid w:val="00622854"/>
    <w:rsid w:val="006229DD"/>
    <w:rsid w:val="00622E9D"/>
    <w:rsid w:val="00622EEA"/>
    <w:rsid w:val="006230A6"/>
    <w:rsid w:val="0062323B"/>
    <w:rsid w:val="00623E09"/>
    <w:rsid w:val="00624C92"/>
    <w:rsid w:val="00624F5A"/>
    <w:rsid w:val="00625BC6"/>
    <w:rsid w:val="00625C43"/>
    <w:rsid w:val="00625FAB"/>
    <w:rsid w:val="00625FC9"/>
    <w:rsid w:val="006268FB"/>
    <w:rsid w:val="00626D0C"/>
    <w:rsid w:val="006272C8"/>
    <w:rsid w:val="00627948"/>
    <w:rsid w:val="00627FDD"/>
    <w:rsid w:val="00630CD7"/>
    <w:rsid w:val="00630FB1"/>
    <w:rsid w:val="00631BF7"/>
    <w:rsid w:val="0063213B"/>
    <w:rsid w:val="00632910"/>
    <w:rsid w:val="00632C5B"/>
    <w:rsid w:val="00632C62"/>
    <w:rsid w:val="006330C6"/>
    <w:rsid w:val="00633DEA"/>
    <w:rsid w:val="00633F6B"/>
    <w:rsid w:val="006341FC"/>
    <w:rsid w:val="006343E8"/>
    <w:rsid w:val="00634E3B"/>
    <w:rsid w:val="00635182"/>
    <w:rsid w:val="0063552C"/>
    <w:rsid w:val="00635679"/>
    <w:rsid w:val="006359DB"/>
    <w:rsid w:val="006361DB"/>
    <w:rsid w:val="006362BF"/>
    <w:rsid w:val="00636698"/>
    <w:rsid w:val="00636BBB"/>
    <w:rsid w:val="00636BE6"/>
    <w:rsid w:val="0063779B"/>
    <w:rsid w:val="00637DB9"/>
    <w:rsid w:val="00637E94"/>
    <w:rsid w:val="00637FD0"/>
    <w:rsid w:val="006405E1"/>
    <w:rsid w:val="00640623"/>
    <w:rsid w:val="00640BC0"/>
    <w:rsid w:val="00640DEC"/>
    <w:rsid w:val="006413DA"/>
    <w:rsid w:val="006419CA"/>
    <w:rsid w:val="00641DBC"/>
    <w:rsid w:val="00641E43"/>
    <w:rsid w:val="006425EF"/>
    <w:rsid w:val="006432C0"/>
    <w:rsid w:val="00643474"/>
    <w:rsid w:val="00643546"/>
    <w:rsid w:val="006438EB"/>
    <w:rsid w:val="00643F58"/>
    <w:rsid w:val="00644DD9"/>
    <w:rsid w:val="00644F0D"/>
    <w:rsid w:val="00644FFA"/>
    <w:rsid w:val="0064532C"/>
    <w:rsid w:val="00645660"/>
    <w:rsid w:val="0064567D"/>
    <w:rsid w:val="00645C34"/>
    <w:rsid w:val="006463B3"/>
    <w:rsid w:val="006467E9"/>
    <w:rsid w:val="00647101"/>
    <w:rsid w:val="006472B7"/>
    <w:rsid w:val="00647620"/>
    <w:rsid w:val="00647F1B"/>
    <w:rsid w:val="006504F0"/>
    <w:rsid w:val="00650578"/>
    <w:rsid w:val="006506CF"/>
    <w:rsid w:val="00650980"/>
    <w:rsid w:val="00650C6B"/>
    <w:rsid w:val="00650F8A"/>
    <w:rsid w:val="00651244"/>
    <w:rsid w:val="0065167A"/>
    <w:rsid w:val="00651B1F"/>
    <w:rsid w:val="00652188"/>
    <w:rsid w:val="006521A8"/>
    <w:rsid w:val="00652D7D"/>
    <w:rsid w:val="00653298"/>
    <w:rsid w:val="006533B7"/>
    <w:rsid w:val="006533B9"/>
    <w:rsid w:val="006533EA"/>
    <w:rsid w:val="00653EF0"/>
    <w:rsid w:val="00654048"/>
    <w:rsid w:val="006543FC"/>
    <w:rsid w:val="0065473A"/>
    <w:rsid w:val="00654745"/>
    <w:rsid w:val="00654F89"/>
    <w:rsid w:val="0065525B"/>
    <w:rsid w:val="00655A37"/>
    <w:rsid w:val="00655C98"/>
    <w:rsid w:val="00655DE1"/>
    <w:rsid w:val="006561A1"/>
    <w:rsid w:val="00656365"/>
    <w:rsid w:val="00656717"/>
    <w:rsid w:val="00656CFD"/>
    <w:rsid w:val="00657040"/>
    <w:rsid w:val="00657137"/>
    <w:rsid w:val="0065746B"/>
    <w:rsid w:val="00657510"/>
    <w:rsid w:val="006575A9"/>
    <w:rsid w:val="0065791A"/>
    <w:rsid w:val="00657CAD"/>
    <w:rsid w:val="00660332"/>
    <w:rsid w:val="00660513"/>
    <w:rsid w:val="00660F39"/>
    <w:rsid w:val="006613F7"/>
    <w:rsid w:val="00661C58"/>
    <w:rsid w:val="00662599"/>
    <w:rsid w:val="00662A43"/>
    <w:rsid w:val="00662C2E"/>
    <w:rsid w:val="00662CE1"/>
    <w:rsid w:val="00662E8C"/>
    <w:rsid w:val="00662F03"/>
    <w:rsid w:val="006633DA"/>
    <w:rsid w:val="00663695"/>
    <w:rsid w:val="00663BE0"/>
    <w:rsid w:val="0066489C"/>
    <w:rsid w:val="00664D17"/>
    <w:rsid w:val="006650A4"/>
    <w:rsid w:val="00665485"/>
    <w:rsid w:val="00665A1B"/>
    <w:rsid w:val="00665E6C"/>
    <w:rsid w:val="00665EC0"/>
    <w:rsid w:val="00665F40"/>
    <w:rsid w:val="0066617C"/>
    <w:rsid w:val="006663CF"/>
    <w:rsid w:val="006665E5"/>
    <w:rsid w:val="006669E3"/>
    <w:rsid w:val="00667E26"/>
    <w:rsid w:val="00667F10"/>
    <w:rsid w:val="00672D39"/>
    <w:rsid w:val="0067361E"/>
    <w:rsid w:val="0067362C"/>
    <w:rsid w:val="00673C9A"/>
    <w:rsid w:val="00673F18"/>
    <w:rsid w:val="006740DB"/>
    <w:rsid w:val="00674206"/>
    <w:rsid w:val="00675858"/>
    <w:rsid w:val="00675CD4"/>
    <w:rsid w:val="00675E3C"/>
    <w:rsid w:val="0067616F"/>
    <w:rsid w:val="00677424"/>
    <w:rsid w:val="0068047B"/>
    <w:rsid w:val="00680785"/>
    <w:rsid w:val="0068107B"/>
    <w:rsid w:val="00681A12"/>
    <w:rsid w:val="006821E4"/>
    <w:rsid w:val="00682C45"/>
    <w:rsid w:val="00682CC9"/>
    <w:rsid w:val="00682F0F"/>
    <w:rsid w:val="006835A8"/>
    <w:rsid w:val="0068393E"/>
    <w:rsid w:val="006845D1"/>
    <w:rsid w:val="00684C39"/>
    <w:rsid w:val="006852CE"/>
    <w:rsid w:val="006853F2"/>
    <w:rsid w:val="00685C33"/>
    <w:rsid w:val="00685C4E"/>
    <w:rsid w:val="00685D70"/>
    <w:rsid w:val="00685D75"/>
    <w:rsid w:val="00686D6F"/>
    <w:rsid w:val="0068702C"/>
    <w:rsid w:val="0068711F"/>
    <w:rsid w:val="00690A7E"/>
    <w:rsid w:val="00690AAA"/>
    <w:rsid w:val="00690BEB"/>
    <w:rsid w:val="00690CDF"/>
    <w:rsid w:val="00691717"/>
    <w:rsid w:val="006917BC"/>
    <w:rsid w:val="006920EB"/>
    <w:rsid w:val="00692123"/>
    <w:rsid w:val="00692CF2"/>
    <w:rsid w:val="00693A0E"/>
    <w:rsid w:val="00693DFB"/>
    <w:rsid w:val="00693E75"/>
    <w:rsid w:val="00694F3A"/>
    <w:rsid w:val="006952E6"/>
    <w:rsid w:val="00695929"/>
    <w:rsid w:val="00695EF7"/>
    <w:rsid w:val="006960F7"/>
    <w:rsid w:val="0069624E"/>
    <w:rsid w:val="00696387"/>
    <w:rsid w:val="00696A9B"/>
    <w:rsid w:val="00696F93"/>
    <w:rsid w:val="00697618"/>
    <w:rsid w:val="00697699"/>
    <w:rsid w:val="006A040B"/>
    <w:rsid w:val="006A1285"/>
    <w:rsid w:val="006A15E4"/>
    <w:rsid w:val="006A167E"/>
    <w:rsid w:val="006A1C53"/>
    <w:rsid w:val="006A205A"/>
    <w:rsid w:val="006A2441"/>
    <w:rsid w:val="006A2B1C"/>
    <w:rsid w:val="006A2D6E"/>
    <w:rsid w:val="006A37ED"/>
    <w:rsid w:val="006A38FF"/>
    <w:rsid w:val="006A4027"/>
    <w:rsid w:val="006A442B"/>
    <w:rsid w:val="006A449F"/>
    <w:rsid w:val="006A52AE"/>
    <w:rsid w:val="006A57AD"/>
    <w:rsid w:val="006A5A47"/>
    <w:rsid w:val="006A6027"/>
    <w:rsid w:val="006A64A3"/>
    <w:rsid w:val="006A680F"/>
    <w:rsid w:val="006A698B"/>
    <w:rsid w:val="006A69DA"/>
    <w:rsid w:val="006A7579"/>
    <w:rsid w:val="006A761D"/>
    <w:rsid w:val="006A7819"/>
    <w:rsid w:val="006A781A"/>
    <w:rsid w:val="006A7BD5"/>
    <w:rsid w:val="006B0512"/>
    <w:rsid w:val="006B08B2"/>
    <w:rsid w:val="006B0950"/>
    <w:rsid w:val="006B0CC1"/>
    <w:rsid w:val="006B11CC"/>
    <w:rsid w:val="006B11D7"/>
    <w:rsid w:val="006B1326"/>
    <w:rsid w:val="006B1742"/>
    <w:rsid w:val="006B2272"/>
    <w:rsid w:val="006B2766"/>
    <w:rsid w:val="006B3622"/>
    <w:rsid w:val="006B36B4"/>
    <w:rsid w:val="006B386C"/>
    <w:rsid w:val="006B3E8A"/>
    <w:rsid w:val="006B3F64"/>
    <w:rsid w:val="006B3FCE"/>
    <w:rsid w:val="006B434D"/>
    <w:rsid w:val="006B4619"/>
    <w:rsid w:val="006B4646"/>
    <w:rsid w:val="006B470A"/>
    <w:rsid w:val="006B48E3"/>
    <w:rsid w:val="006B48EC"/>
    <w:rsid w:val="006B48FC"/>
    <w:rsid w:val="006B4B0E"/>
    <w:rsid w:val="006B4D56"/>
    <w:rsid w:val="006B4FC9"/>
    <w:rsid w:val="006B5581"/>
    <w:rsid w:val="006B560A"/>
    <w:rsid w:val="006B5ACB"/>
    <w:rsid w:val="006B5B74"/>
    <w:rsid w:val="006B5D4B"/>
    <w:rsid w:val="006B6390"/>
    <w:rsid w:val="006B69B7"/>
    <w:rsid w:val="006C0988"/>
    <w:rsid w:val="006C0BEE"/>
    <w:rsid w:val="006C1169"/>
    <w:rsid w:val="006C19D1"/>
    <w:rsid w:val="006C19E0"/>
    <w:rsid w:val="006C1CB5"/>
    <w:rsid w:val="006C1EEF"/>
    <w:rsid w:val="006C2098"/>
    <w:rsid w:val="006C23DD"/>
    <w:rsid w:val="006C2471"/>
    <w:rsid w:val="006C29BE"/>
    <w:rsid w:val="006C2F83"/>
    <w:rsid w:val="006C348C"/>
    <w:rsid w:val="006C36B0"/>
    <w:rsid w:val="006C41DD"/>
    <w:rsid w:val="006C4A8E"/>
    <w:rsid w:val="006C4FCE"/>
    <w:rsid w:val="006C61FA"/>
    <w:rsid w:val="006C67C4"/>
    <w:rsid w:val="006C74D0"/>
    <w:rsid w:val="006C7575"/>
    <w:rsid w:val="006C7733"/>
    <w:rsid w:val="006C7B4F"/>
    <w:rsid w:val="006D047E"/>
    <w:rsid w:val="006D0763"/>
    <w:rsid w:val="006D0B9C"/>
    <w:rsid w:val="006D0BA8"/>
    <w:rsid w:val="006D0C3A"/>
    <w:rsid w:val="006D0EC6"/>
    <w:rsid w:val="006D1855"/>
    <w:rsid w:val="006D1991"/>
    <w:rsid w:val="006D1A9B"/>
    <w:rsid w:val="006D1D1D"/>
    <w:rsid w:val="006D1DE5"/>
    <w:rsid w:val="006D253E"/>
    <w:rsid w:val="006D2563"/>
    <w:rsid w:val="006D306C"/>
    <w:rsid w:val="006D34BB"/>
    <w:rsid w:val="006D3617"/>
    <w:rsid w:val="006D3637"/>
    <w:rsid w:val="006D36C9"/>
    <w:rsid w:val="006D3CAC"/>
    <w:rsid w:val="006D5D8E"/>
    <w:rsid w:val="006D608A"/>
    <w:rsid w:val="006D629F"/>
    <w:rsid w:val="006D68DB"/>
    <w:rsid w:val="006D6B6A"/>
    <w:rsid w:val="006D77D6"/>
    <w:rsid w:val="006D7C07"/>
    <w:rsid w:val="006D7D2D"/>
    <w:rsid w:val="006D7E46"/>
    <w:rsid w:val="006E01A5"/>
    <w:rsid w:val="006E0331"/>
    <w:rsid w:val="006E0426"/>
    <w:rsid w:val="006E0513"/>
    <w:rsid w:val="006E0C1E"/>
    <w:rsid w:val="006E0CCB"/>
    <w:rsid w:val="006E1340"/>
    <w:rsid w:val="006E20DF"/>
    <w:rsid w:val="006E224A"/>
    <w:rsid w:val="006E24EC"/>
    <w:rsid w:val="006E24F0"/>
    <w:rsid w:val="006E2CCB"/>
    <w:rsid w:val="006E2CD9"/>
    <w:rsid w:val="006E2E54"/>
    <w:rsid w:val="006E3117"/>
    <w:rsid w:val="006E33DB"/>
    <w:rsid w:val="006E3AA0"/>
    <w:rsid w:val="006E3B76"/>
    <w:rsid w:val="006E41E5"/>
    <w:rsid w:val="006E4331"/>
    <w:rsid w:val="006E4DE1"/>
    <w:rsid w:val="006E54FA"/>
    <w:rsid w:val="006E58C4"/>
    <w:rsid w:val="006E5A52"/>
    <w:rsid w:val="006E75F7"/>
    <w:rsid w:val="006E771C"/>
    <w:rsid w:val="006E7C55"/>
    <w:rsid w:val="006E7CAC"/>
    <w:rsid w:val="006E7CB5"/>
    <w:rsid w:val="006F0321"/>
    <w:rsid w:val="006F05A8"/>
    <w:rsid w:val="006F0860"/>
    <w:rsid w:val="006F0A3C"/>
    <w:rsid w:val="006F1B01"/>
    <w:rsid w:val="006F1B83"/>
    <w:rsid w:val="006F23D9"/>
    <w:rsid w:val="006F3005"/>
    <w:rsid w:val="006F3343"/>
    <w:rsid w:val="006F4145"/>
    <w:rsid w:val="006F4DF6"/>
    <w:rsid w:val="006F5D35"/>
    <w:rsid w:val="006F6C60"/>
    <w:rsid w:val="006F6E4D"/>
    <w:rsid w:val="006F7072"/>
    <w:rsid w:val="006F76D2"/>
    <w:rsid w:val="007012F5"/>
    <w:rsid w:val="0070134C"/>
    <w:rsid w:val="00702B16"/>
    <w:rsid w:val="00702D68"/>
    <w:rsid w:val="00702DFE"/>
    <w:rsid w:val="00703195"/>
    <w:rsid w:val="0070356F"/>
    <w:rsid w:val="00703661"/>
    <w:rsid w:val="00703B12"/>
    <w:rsid w:val="00704173"/>
    <w:rsid w:val="00704E9C"/>
    <w:rsid w:val="007051AE"/>
    <w:rsid w:val="007051D2"/>
    <w:rsid w:val="007054E7"/>
    <w:rsid w:val="00706304"/>
    <w:rsid w:val="007063E4"/>
    <w:rsid w:val="007065BB"/>
    <w:rsid w:val="00706906"/>
    <w:rsid w:val="00706D9D"/>
    <w:rsid w:val="00706F41"/>
    <w:rsid w:val="0070718B"/>
    <w:rsid w:val="00707294"/>
    <w:rsid w:val="007073F6"/>
    <w:rsid w:val="007102F1"/>
    <w:rsid w:val="007103D0"/>
    <w:rsid w:val="00710717"/>
    <w:rsid w:val="00710F10"/>
    <w:rsid w:val="00710FBA"/>
    <w:rsid w:val="007114F1"/>
    <w:rsid w:val="00711835"/>
    <w:rsid w:val="00712754"/>
    <w:rsid w:val="00712BDB"/>
    <w:rsid w:val="00712E97"/>
    <w:rsid w:val="00713C02"/>
    <w:rsid w:val="00714C2B"/>
    <w:rsid w:val="00714FB6"/>
    <w:rsid w:val="00714FBC"/>
    <w:rsid w:val="0071572D"/>
    <w:rsid w:val="007159FF"/>
    <w:rsid w:val="00716B40"/>
    <w:rsid w:val="007177FF"/>
    <w:rsid w:val="00720659"/>
    <w:rsid w:val="007208B4"/>
    <w:rsid w:val="00720CF4"/>
    <w:rsid w:val="00720E39"/>
    <w:rsid w:val="0072117C"/>
    <w:rsid w:val="007214CF"/>
    <w:rsid w:val="0072267F"/>
    <w:rsid w:val="00722B83"/>
    <w:rsid w:val="00722D38"/>
    <w:rsid w:val="007232C0"/>
    <w:rsid w:val="00723457"/>
    <w:rsid w:val="0072358B"/>
    <w:rsid w:val="007242FD"/>
    <w:rsid w:val="00724D44"/>
    <w:rsid w:val="0072519C"/>
    <w:rsid w:val="00725232"/>
    <w:rsid w:val="00725AD3"/>
    <w:rsid w:val="00725B9C"/>
    <w:rsid w:val="00725D51"/>
    <w:rsid w:val="00726106"/>
    <w:rsid w:val="0072615A"/>
    <w:rsid w:val="00726A9C"/>
    <w:rsid w:val="00726B6E"/>
    <w:rsid w:val="00726DC1"/>
    <w:rsid w:val="00726DFD"/>
    <w:rsid w:val="0072742D"/>
    <w:rsid w:val="0072795E"/>
    <w:rsid w:val="00727A01"/>
    <w:rsid w:val="00730563"/>
    <w:rsid w:val="007307B2"/>
    <w:rsid w:val="00730EA4"/>
    <w:rsid w:val="007310C3"/>
    <w:rsid w:val="007313E2"/>
    <w:rsid w:val="007317CC"/>
    <w:rsid w:val="007319D0"/>
    <w:rsid w:val="00731E31"/>
    <w:rsid w:val="00732695"/>
    <w:rsid w:val="00732F13"/>
    <w:rsid w:val="00732F7B"/>
    <w:rsid w:val="00732F92"/>
    <w:rsid w:val="007331CD"/>
    <w:rsid w:val="00733210"/>
    <w:rsid w:val="0073363D"/>
    <w:rsid w:val="0073408F"/>
    <w:rsid w:val="007341F0"/>
    <w:rsid w:val="007342B1"/>
    <w:rsid w:val="007343C1"/>
    <w:rsid w:val="007346D8"/>
    <w:rsid w:val="00734761"/>
    <w:rsid w:val="00734894"/>
    <w:rsid w:val="00734AE8"/>
    <w:rsid w:val="00734C18"/>
    <w:rsid w:val="00734CDA"/>
    <w:rsid w:val="007358C4"/>
    <w:rsid w:val="00736223"/>
    <w:rsid w:val="00736236"/>
    <w:rsid w:val="00736981"/>
    <w:rsid w:val="00736C94"/>
    <w:rsid w:val="00736EF8"/>
    <w:rsid w:val="00736F75"/>
    <w:rsid w:val="00736FF4"/>
    <w:rsid w:val="00737442"/>
    <w:rsid w:val="0073755B"/>
    <w:rsid w:val="0073790C"/>
    <w:rsid w:val="00737E3D"/>
    <w:rsid w:val="00740307"/>
    <w:rsid w:val="007414B6"/>
    <w:rsid w:val="0074168A"/>
    <w:rsid w:val="00741DB5"/>
    <w:rsid w:val="00741F42"/>
    <w:rsid w:val="00742056"/>
    <w:rsid w:val="00742106"/>
    <w:rsid w:val="007437E9"/>
    <w:rsid w:val="00743916"/>
    <w:rsid w:val="00743999"/>
    <w:rsid w:val="007441BE"/>
    <w:rsid w:val="00744472"/>
    <w:rsid w:val="00744F5B"/>
    <w:rsid w:val="007451B5"/>
    <w:rsid w:val="00745817"/>
    <w:rsid w:val="00745D37"/>
    <w:rsid w:val="00745E29"/>
    <w:rsid w:val="0074613D"/>
    <w:rsid w:val="0074678F"/>
    <w:rsid w:val="0074771F"/>
    <w:rsid w:val="00747815"/>
    <w:rsid w:val="00747AF9"/>
    <w:rsid w:val="00747BBA"/>
    <w:rsid w:val="00750028"/>
    <w:rsid w:val="007504AD"/>
    <w:rsid w:val="00750652"/>
    <w:rsid w:val="00750BDA"/>
    <w:rsid w:val="00750D05"/>
    <w:rsid w:val="00750FED"/>
    <w:rsid w:val="007511E4"/>
    <w:rsid w:val="00751233"/>
    <w:rsid w:val="00751621"/>
    <w:rsid w:val="00751BD2"/>
    <w:rsid w:val="00751F1B"/>
    <w:rsid w:val="00752225"/>
    <w:rsid w:val="00752825"/>
    <w:rsid w:val="00752888"/>
    <w:rsid w:val="007528A0"/>
    <w:rsid w:val="007528B5"/>
    <w:rsid w:val="0075345F"/>
    <w:rsid w:val="00754671"/>
    <w:rsid w:val="00755BB9"/>
    <w:rsid w:val="007564EE"/>
    <w:rsid w:val="007564F4"/>
    <w:rsid w:val="007567FF"/>
    <w:rsid w:val="00756AAA"/>
    <w:rsid w:val="00756C50"/>
    <w:rsid w:val="00756DA0"/>
    <w:rsid w:val="007570B5"/>
    <w:rsid w:val="00757DD1"/>
    <w:rsid w:val="00760011"/>
    <w:rsid w:val="00760316"/>
    <w:rsid w:val="00760B93"/>
    <w:rsid w:val="00760D92"/>
    <w:rsid w:val="00760DF9"/>
    <w:rsid w:val="00761459"/>
    <w:rsid w:val="00761550"/>
    <w:rsid w:val="007616ED"/>
    <w:rsid w:val="00761A13"/>
    <w:rsid w:val="00761A15"/>
    <w:rsid w:val="00761A17"/>
    <w:rsid w:val="00761F77"/>
    <w:rsid w:val="0076228A"/>
    <w:rsid w:val="007626C9"/>
    <w:rsid w:val="007627C1"/>
    <w:rsid w:val="00762831"/>
    <w:rsid w:val="00762A1E"/>
    <w:rsid w:val="00763260"/>
    <w:rsid w:val="007637D3"/>
    <w:rsid w:val="007639F7"/>
    <w:rsid w:val="00763DA1"/>
    <w:rsid w:val="007643B7"/>
    <w:rsid w:val="00765381"/>
    <w:rsid w:val="00765478"/>
    <w:rsid w:val="0076588E"/>
    <w:rsid w:val="00765A32"/>
    <w:rsid w:val="0076626D"/>
    <w:rsid w:val="007668CE"/>
    <w:rsid w:val="00766A57"/>
    <w:rsid w:val="00766E11"/>
    <w:rsid w:val="0076727F"/>
    <w:rsid w:val="00767344"/>
    <w:rsid w:val="00767B54"/>
    <w:rsid w:val="00767E95"/>
    <w:rsid w:val="007707BA"/>
    <w:rsid w:val="00770C25"/>
    <w:rsid w:val="00771A84"/>
    <w:rsid w:val="00771A85"/>
    <w:rsid w:val="00772396"/>
    <w:rsid w:val="00772E15"/>
    <w:rsid w:val="007738C4"/>
    <w:rsid w:val="007738D5"/>
    <w:rsid w:val="0077390D"/>
    <w:rsid w:val="00773FB3"/>
    <w:rsid w:val="00774C10"/>
    <w:rsid w:val="00775085"/>
    <w:rsid w:val="007751D6"/>
    <w:rsid w:val="007756DD"/>
    <w:rsid w:val="00775804"/>
    <w:rsid w:val="0077695A"/>
    <w:rsid w:val="00777610"/>
    <w:rsid w:val="0077765F"/>
    <w:rsid w:val="00777ECD"/>
    <w:rsid w:val="0078023C"/>
    <w:rsid w:val="00780495"/>
    <w:rsid w:val="007805ED"/>
    <w:rsid w:val="00780EA1"/>
    <w:rsid w:val="0078106C"/>
    <w:rsid w:val="007816F5"/>
    <w:rsid w:val="00782560"/>
    <w:rsid w:val="00782751"/>
    <w:rsid w:val="00782A6C"/>
    <w:rsid w:val="00782E38"/>
    <w:rsid w:val="0078327A"/>
    <w:rsid w:val="007834EF"/>
    <w:rsid w:val="007840BF"/>
    <w:rsid w:val="0078440E"/>
    <w:rsid w:val="00784D6D"/>
    <w:rsid w:val="00785059"/>
    <w:rsid w:val="0078533D"/>
    <w:rsid w:val="00785747"/>
    <w:rsid w:val="0078796B"/>
    <w:rsid w:val="007903DA"/>
    <w:rsid w:val="007904DB"/>
    <w:rsid w:val="007913E9"/>
    <w:rsid w:val="007918F8"/>
    <w:rsid w:val="00792092"/>
    <w:rsid w:val="00792106"/>
    <w:rsid w:val="0079215E"/>
    <w:rsid w:val="007922C3"/>
    <w:rsid w:val="00792BF0"/>
    <w:rsid w:val="00792E30"/>
    <w:rsid w:val="00794EEA"/>
    <w:rsid w:val="00795445"/>
    <w:rsid w:val="00795484"/>
    <w:rsid w:val="007956BC"/>
    <w:rsid w:val="00795984"/>
    <w:rsid w:val="00796198"/>
    <w:rsid w:val="0079656B"/>
    <w:rsid w:val="00797456"/>
    <w:rsid w:val="0079782D"/>
    <w:rsid w:val="00797A1A"/>
    <w:rsid w:val="007A004D"/>
    <w:rsid w:val="007A0347"/>
    <w:rsid w:val="007A053B"/>
    <w:rsid w:val="007A063E"/>
    <w:rsid w:val="007A09EC"/>
    <w:rsid w:val="007A0D23"/>
    <w:rsid w:val="007A0D2F"/>
    <w:rsid w:val="007A10CE"/>
    <w:rsid w:val="007A145B"/>
    <w:rsid w:val="007A14BE"/>
    <w:rsid w:val="007A1859"/>
    <w:rsid w:val="007A19D8"/>
    <w:rsid w:val="007A2385"/>
    <w:rsid w:val="007A2B47"/>
    <w:rsid w:val="007A2CEC"/>
    <w:rsid w:val="007A2F5A"/>
    <w:rsid w:val="007A3220"/>
    <w:rsid w:val="007A3852"/>
    <w:rsid w:val="007A3C17"/>
    <w:rsid w:val="007A4362"/>
    <w:rsid w:val="007A47A2"/>
    <w:rsid w:val="007A4B6E"/>
    <w:rsid w:val="007A538D"/>
    <w:rsid w:val="007A5446"/>
    <w:rsid w:val="007A5E04"/>
    <w:rsid w:val="007A60CB"/>
    <w:rsid w:val="007A67F2"/>
    <w:rsid w:val="007A68BE"/>
    <w:rsid w:val="007A6C46"/>
    <w:rsid w:val="007A71B2"/>
    <w:rsid w:val="007A7335"/>
    <w:rsid w:val="007A773E"/>
    <w:rsid w:val="007A7A1E"/>
    <w:rsid w:val="007B0817"/>
    <w:rsid w:val="007B0C3C"/>
    <w:rsid w:val="007B112D"/>
    <w:rsid w:val="007B14ED"/>
    <w:rsid w:val="007B182A"/>
    <w:rsid w:val="007B1A27"/>
    <w:rsid w:val="007B26BF"/>
    <w:rsid w:val="007B27D1"/>
    <w:rsid w:val="007B2F79"/>
    <w:rsid w:val="007B3078"/>
    <w:rsid w:val="007B3473"/>
    <w:rsid w:val="007B3521"/>
    <w:rsid w:val="007B3689"/>
    <w:rsid w:val="007B3DB2"/>
    <w:rsid w:val="007B43C9"/>
    <w:rsid w:val="007B4612"/>
    <w:rsid w:val="007B48BC"/>
    <w:rsid w:val="007B4B44"/>
    <w:rsid w:val="007B4E65"/>
    <w:rsid w:val="007B4EAA"/>
    <w:rsid w:val="007B50AE"/>
    <w:rsid w:val="007B51E1"/>
    <w:rsid w:val="007B578B"/>
    <w:rsid w:val="007B5B95"/>
    <w:rsid w:val="007B5BE5"/>
    <w:rsid w:val="007B6189"/>
    <w:rsid w:val="007B6807"/>
    <w:rsid w:val="007B6B79"/>
    <w:rsid w:val="007B6D9B"/>
    <w:rsid w:val="007B6F68"/>
    <w:rsid w:val="007B7887"/>
    <w:rsid w:val="007B7CD2"/>
    <w:rsid w:val="007C03AE"/>
    <w:rsid w:val="007C078D"/>
    <w:rsid w:val="007C0DCA"/>
    <w:rsid w:val="007C1406"/>
    <w:rsid w:val="007C1DA9"/>
    <w:rsid w:val="007C2427"/>
    <w:rsid w:val="007C32A9"/>
    <w:rsid w:val="007C3496"/>
    <w:rsid w:val="007C39E9"/>
    <w:rsid w:val="007C3A28"/>
    <w:rsid w:val="007C3D55"/>
    <w:rsid w:val="007C3DA2"/>
    <w:rsid w:val="007C3F55"/>
    <w:rsid w:val="007C4ADB"/>
    <w:rsid w:val="007C51AA"/>
    <w:rsid w:val="007C58F3"/>
    <w:rsid w:val="007C5FDE"/>
    <w:rsid w:val="007C652A"/>
    <w:rsid w:val="007C6B22"/>
    <w:rsid w:val="007C7658"/>
    <w:rsid w:val="007C7E09"/>
    <w:rsid w:val="007D12E6"/>
    <w:rsid w:val="007D1563"/>
    <w:rsid w:val="007D182B"/>
    <w:rsid w:val="007D1ADC"/>
    <w:rsid w:val="007D1D1B"/>
    <w:rsid w:val="007D1F7E"/>
    <w:rsid w:val="007D1FB1"/>
    <w:rsid w:val="007D20BA"/>
    <w:rsid w:val="007D2186"/>
    <w:rsid w:val="007D2332"/>
    <w:rsid w:val="007D2CE9"/>
    <w:rsid w:val="007D43CE"/>
    <w:rsid w:val="007D48EC"/>
    <w:rsid w:val="007D4FC1"/>
    <w:rsid w:val="007D5452"/>
    <w:rsid w:val="007D5533"/>
    <w:rsid w:val="007D59F2"/>
    <w:rsid w:val="007D5C35"/>
    <w:rsid w:val="007D5D82"/>
    <w:rsid w:val="007D5EAA"/>
    <w:rsid w:val="007D5FA8"/>
    <w:rsid w:val="007D64C8"/>
    <w:rsid w:val="007D6AA0"/>
    <w:rsid w:val="007D7242"/>
    <w:rsid w:val="007D77C9"/>
    <w:rsid w:val="007D7A42"/>
    <w:rsid w:val="007D7A4F"/>
    <w:rsid w:val="007D7D10"/>
    <w:rsid w:val="007E09DA"/>
    <w:rsid w:val="007E1AD7"/>
    <w:rsid w:val="007E212D"/>
    <w:rsid w:val="007E21DD"/>
    <w:rsid w:val="007E2407"/>
    <w:rsid w:val="007E2AEC"/>
    <w:rsid w:val="007E2FF5"/>
    <w:rsid w:val="007E314D"/>
    <w:rsid w:val="007E394F"/>
    <w:rsid w:val="007E3B6E"/>
    <w:rsid w:val="007E42D2"/>
    <w:rsid w:val="007E4341"/>
    <w:rsid w:val="007E45BA"/>
    <w:rsid w:val="007E46F4"/>
    <w:rsid w:val="007E4B41"/>
    <w:rsid w:val="007E539A"/>
    <w:rsid w:val="007E706C"/>
    <w:rsid w:val="007E7578"/>
    <w:rsid w:val="007E7612"/>
    <w:rsid w:val="007E7E74"/>
    <w:rsid w:val="007F0046"/>
    <w:rsid w:val="007F037F"/>
    <w:rsid w:val="007F07EA"/>
    <w:rsid w:val="007F14E4"/>
    <w:rsid w:val="007F3188"/>
    <w:rsid w:val="007F32B9"/>
    <w:rsid w:val="007F36ED"/>
    <w:rsid w:val="007F3B23"/>
    <w:rsid w:val="007F4A78"/>
    <w:rsid w:val="007F4B29"/>
    <w:rsid w:val="007F4BCA"/>
    <w:rsid w:val="007F5007"/>
    <w:rsid w:val="007F5375"/>
    <w:rsid w:val="007F5838"/>
    <w:rsid w:val="007F5923"/>
    <w:rsid w:val="007F6581"/>
    <w:rsid w:val="007F66D0"/>
    <w:rsid w:val="007F6B92"/>
    <w:rsid w:val="007F7FBE"/>
    <w:rsid w:val="008000F8"/>
    <w:rsid w:val="00800146"/>
    <w:rsid w:val="0080049D"/>
    <w:rsid w:val="008004F4"/>
    <w:rsid w:val="00800EE0"/>
    <w:rsid w:val="0080133D"/>
    <w:rsid w:val="00801387"/>
    <w:rsid w:val="00801A76"/>
    <w:rsid w:val="00801D6E"/>
    <w:rsid w:val="00802162"/>
    <w:rsid w:val="00802FD1"/>
    <w:rsid w:val="0080367A"/>
    <w:rsid w:val="00803CE4"/>
    <w:rsid w:val="008050B1"/>
    <w:rsid w:val="008050F3"/>
    <w:rsid w:val="00805609"/>
    <w:rsid w:val="00805647"/>
    <w:rsid w:val="008057EE"/>
    <w:rsid w:val="0080584C"/>
    <w:rsid w:val="00805AF6"/>
    <w:rsid w:val="0080619B"/>
    <w:rsid w:val="008064E8"/>
    <w:rsid w:val="00806AEE"/>
    <w:rsid w:val="008070EB"/>
    <w:rsid w:val="0080776A"/>
    <w:rsid w:val="00807C1A"/>
    <w:rsid w:val="00807D84"/>
    <w:rsid w:val="00810717"/>
    <w:rsid w:val="008111B0"/>
    <w:rsid w:val="008112EB"/>
    <w:rsid w:val="008116CC"/>
    <w:rsid w:val="00811C0B"/>
    <w:rsid w:val="00812051"/>
    <w:rsid w:val="00812428"/>
    <w:rsid w:val="00812C2D"/>
    <w:rsid w:val="00812FE7"/>
    <w:rsid w:val="00813059"/>
    <w:rsid w:val="0081346B"/>
    <w:rsid w:val="0081347B"/>
    <w:rsid w:val="00813A82"/>
    <w:rsid w:val="0081422D"/>
    <w:rsid w:val="00814C1F"/>
    <w:rsid w:val="00814C44"/>
    <w:rsid w:val="00814CCC"/>
    <w:rsid w:val="00814D06"/>
    <w:rsid w:val="00814F7C"/>
    <w:rsid w:val="008150FF"/>
    <w:rsid w:val="00815336"/>
    <w:rsid w:val="008154FB"/>
    <w:rsid w:val="00815887"/>
    <w:rsid w:val="00815922"/>
    <w:rsid w:val="00815B0D"/>
    <w:rsid w:val="00816B0F"/>
    <w:rsid w:val="008176F9"/>
    <w:rsid w:val="00817717"/>
    <w:rsid w:val="00817A60"/>
    <w:rsid w:val="00817CF7"/>
    <w:rsid w:val="00820A77"/>
    <w:rsid w:val="00820BA5"/>
    <w:rsid w:val="008220E2"/>
    <w:rsid w:val="008230F0"/>
    <w:rsid w:val="00824260"/>
    <w:rsid w:val="008245C8"/>
    <w:rsid w:val="008245F5"/>
    <w:rsid w:val="00824E51"/>
    <w:rsid w:val="00824FBD"/>
    <w:rsid w:val="00825329"/>
    <w:rsid w:val="008254B9"/>
    <w:rsid w:val="00825670"/>
    <w:rsid w:val="00825913"/>
    <w:rsid w:val="008259CC"/>
    <w:rsid w:val="00825B4A"/>
    <w:rsid w:val="00825CD7"/>
    <w:rsid w:val="00825F3E"/>
    <w:rsid w:val="008262A2"/>
    <w:rsid w:val="008266B5"/>
    <w:rsid w:val="0082690E"/>
    <w:rsid w:val="00826CBF"/>
    <w:rsid w:val="00827827"/>
    <w:rsid w:val="00827A57"/>
    <w:rsid w:val="00827A87"/>
    <w:rsid w:val="00830455"/>
    <w:rsid w:val="00830593"/>
    <w:rsid w:val="008306C8"/>
    <w:rsid w:val="00830EA7"/>
    <w:rsid w:val="00832BBC"/>
    <w:rsid w:val="00832BDF"/>
    <w:rsid w:val="00832CCA"/>
    <w:rsid w:val="00832DDD"/>
    <w:rsid w:val="0083323D"/>
    <w:rsid w:val="00833246"/>
    <w:rsid w:val="00833CA6"/>
    <w:rsid w:val="00834097"/>
    <w:rsid w:val="008345DC"/>
    <w:rsid w:val="0083482C"/>
    <w:rsid w:val="00834A90"/>
    <w:rsid w:val="00834E86"/>
    <w:rsid w:val="00834F33"/>
    <w:rsid w:val="008352AB"/>
    <w:rsid w:val="008366DE"/>
    <w:rsid w:val="00836DC3"/>
    <w:rsid w:val="00837095"/>
    <w:rsid w:val="00837902"/>
    <w:rsid w:val="00837E6D"/>
    <w:rsid w:val="00840FF0"/>
    <w:rsid w:val="00841268"/>
    <w:rsid w:val="0084185A"/>
    <w:rsid w:val="00841B71"/>
    <w:rsid w:val="008424FD"/>
    <w:rsid w:val="00842CE1"/>
    <w:rsid w:val="00842D71"/>
    <w:rsid w:val="0084319C"/>
    <w:rsid w:val="00843455"/>
    <w:rsid w:val="0084369A"/>
    <w:rsid w:val="00843E5D"/>
    <w:rsid w:val="00844139"/>
    <w:rsid w:val="0084417C"/>
    <w:rsid w:val="008447DE"/>
    <w:rsid w:val="00844B14"/>
    <w:rsid w:val="008450A4"/>
    <w:rsid w:val="0084561D"/>
    <w:rsid w:val="008461C2"/>
    <w:rsid w:val="0084622B"/>
    <w:rsid w:val="008463B9"/>
    <w:rsid w:val="0084678F"/>
    <w:rsid w:val="00846D3B"/>
    <w:rsid w:val="00846DAF"/>
    <w:rsid w:val="00846F2A"/>
    <w:rsid w:val="008470A0"/>
    <w:rsid w:val="00847178"/>
    <w:rsid w:val="0084729A"/>
    <w:rsid w:val="008473E4"/>
    <w:rsid w:val="00847C01"/>
    <w:rsid w:val="00847E7B"/>
    <w:rsid w:val="008500D4"/>
    <w:rsid w:val="008504D7"/>
    <w:rsid w:val="00850A96"/>
    <w:rsid w:val="00850D6C"/>
    <w:rsid w:val="008510B7"/>
    <w:rsid w:val="00851A91"/>
    <w:rsid w:val="00851E7B"/>
    <w:rsid w:val="00852106"/>
    <w:rsid w:val="0085431F"/>
    <w:rsid w:val="0085434D"/>
    <w:rsid w:val="00854680"/>
    <w:rsid w:val="008549C8"/>
    <w:rsid w:val="00854EE9"/>
    <w:rsid w:val="00854FB6"/>
    <w:rsid w:val="00855224"/>
    <w:rsid w:val="00855356"/>
    <w:rsid w:val="00855A9C"/>
    <w:rsid w:val="00855B35"/>
    <w:rsid w:val="00855CFE"/>
    <w:rsid w:val="00855FC7"/>
    <w:rsid w:val="00855FED"/>
    <w:rsid w:val="00856C5E"/>
    <w:rsid w:val="00856C87"/>
    <w:rsid w:val="0085705B"/>
    <w:rsid w:val="008608AC"/>
    <w:rsid w:val="00860A7B"/>
    <w:rsid w:val="00860BF1"/>
    <w:rsid w:val="00860CD2"/>
    <w:rsid w:val="008618F0"/>
    <w:rsid w:val="00861AB4"/>
    <w:rsid w:val="00861FC7"/>
    <w:rsid w:val="008621DE"/>
    <w:rsid w:val="00862588"/>
    <w:rsid w:val="008625AD"/>
    <w:rsid w:val="008625DD"/>
    <w:rsid w:val="00862998"/>
    <w:rsid w:val="00863122"/>
    <w:rsid w:val="00863447"/>
    <w:rsid w:val="00863715"/>
    <w:rsid w:val="0086438E"/>
    <w:rsid w:val="00864915"/>
    <w:rsid w:val="00864B59"/>
    <w:rsid w:val="00864C21"/>
    <w:rsid w:val="008655E0"/>
    <w:rsid w:val="008658B4"/>
    <w:rsid w:val="0086594A"/>
    <w:rsid w:val="00865BD4"/>
    <w:rsid w:val="00866860"/>
    <w:rsid w:val="00866BEC"/>
    <w:rsid w:val="00866D68"/>
    <w:rsid w:val="00867408"/>
    <w:rsid w:val="00867581"/>
    <w:rsid w:val="00867814"/>
    <w:rsid w:val="00867A35"/>
    <w:rsid w:val="00867C03"/>
    <w:rsid w:val="00867CB2"/>
    <w:rsid w:val="00870745"/>
    <w:rsid w:val="00870834"/>
    <w:rsid w:val="008709EF"/>
    <w:rsid w:val="00870E99"/>
    <w:rsid w:val="00871546"/>
    <w:rsid w:val="00871716"/>
    <w:rsid w:val="0087187B"/>
    <w:rsid w:val="0087190F"/>
    <w:rsid w:val="00871C07"/>
    <w:rsid w:val="0087371C"/>
    <w:rsid w:val="00873748"/>
    <w:rsid w:val="00873EB2"/>
    <w:rsid w:val="008740EE"/>
    <w:rsid w:val="00874105"/>
    <w:rsid w:val="00874357"/>
    <w:rsid w:val="00874D29"/>
    <w:rsid w:val="00874E3C"/>
    <w:rsid w:val="00875383"/>
    <w:rsid w:val="00875A5A"/>
    <w:rsid w:val="008760AA"/>
    <w:rsid w:val="00876115"/>
    <w:rsid w:val="0087677C"/>
    <w:rsid w:val="008767B0"/>
    <w:rsid w:val="0087726E"/>
    <w:rsid w:val="00877725"/>
    <w:rsid w:val="00877BC5"/>
    <w:rsid w:val="0088054D"/>
    <w:rsid w:val="00880D4C"/>
    <w:rsid w:val="00880FDF"/>
    <w:rsid w:val="00881587"/>
    <w:rsid w:val="00881593"/>
    <w:rsid w:val="00881733"/>
    <w:rsid w:val="0088179C"/>
    <w:rsid w:val="00881E9C"/>
    <w:rsid w:val="00882372"/>
    <w:rsid w:val="008828E3"/>
    <w:rsid w:val="00882B3F"/>
    <w:rsid w:val="00882D2F"/>
    <w:rsid w:val="00882D3A"/>
    <w:rsid w:val="008837DB"/>
    <w:rsid w:val="008839DA"/>
    <w:rsid w:val="008840A7"/>
    <w:rsid w:val="008840AA"/>
    <w:rsid w:val="008841FC"/>
    <w:rsid w:val="00885462"/>
    <w:rsid w:val="00885681"/>
    <w:rsid w:val="00886736"/>
    <w:rsid w:val="00886786"/>
    <w:rsid w:val="00886A48"/>
    <w:rsid w:val="00886B9C"/>
    <w:rsid w:val="00886C53"/>
    <w:rsid w:val="0088730A"/>
    <w:rsid w:val="008874F5"/>
    <w:rsid w:val="0088795F"/>
    <w:rsid w:val="00887DAC"/>
    <w:rsid w:val="00887FDA"/>
    <w:rsid w:val="0089023E"/>
    <w:rsid w:val="00890E55"/>
    <w:rsid w:val="00891480"/>
    <w:rsid w:val="00891561"/>
    <w:rsid w:val="008918D2"/>
    <w:rsid w:val="00891A61"/>
    <w:rsid w:val="008922C0"/>
    <w:rsid w:val="00892710"/>
    <w:rsid w:val="008927FA"/>
    <w:rsid w:val="0089280C"/>
    <w:rsid w:val="0089284A"/>
    <w:rsid w:val="00892A6E"/>
    <w:rsid w:val="0089385B"/>
    <w:rsid w:val="00893950"/>
    <w:rsid w:val="00893B5B"/>
    <w:rsid w:val="00893CE9"/>
    <w:rsid w:val="00893D71"/>
    <w:rsid w:val="008941AD"/>
    <w:rsid w:val="00894569"/>
    <w:rsid w:val="008946B1"/>
    <w:rsid w:val="00895131"/>
    <w:rsid w:val="008951D4"/>
    <w:rsid w:val="008952A8"/>
    <w:rsid w:val="008953B9"/>
    <w:rsid w:val="00895C42"/>
    <w:rsid w:val="0089638A"/>
    <w:rsid w:val="008965FB"/>
    <w:rsid w:val="00896BDB"/>
    <w:rsid w:val="00896C11"/>
    <w:rsid w:val="00896F4B"/>
    <w:rsid w:val="00897125"/>
    <w:rsid w:val="0089720B"/>
    <w:rsid w:val="008979D0"/>
    <w:rsid w:val="00897B33"/>
    <w:rsid w:val="00897EC3"/>
    <w:rsid w:val="00897ED3"/>
    <w:rsid w:val="008A0579"/>
    <w:rsid w:val="008A0887"/>
    <w:rsid w:val="008A08C2"/>
    <w:rsid w:val="008A0B62"/>
    <w:rsid w:val="008A0CC5"/>
    <w:rsid w:val="008A158E"/>
    <w:rsid w:val="008A18EC"/>
    <w:rsid w:val="008A31BE"/>
    <w:rsid w:val="008A3282"/>
    <w:rsid w:val="008A36EE"/>
    <w:rsid w:val="008A38B2"/>
    <w:rsid w:val="008A4059"/>
    <w:rsid w:val="008A41A6"/>
    <w:rsid w:val="008A4F96"/>
    <w:rsid w:val="008A6190"/>
    <w:rsid w:val="008A66BE"/>
    <w:rsid w:val="008A6AAE"/>
    <w:rsid w:val="008A739B"/>
    <w:rsid w:val="008A7543"/>
    <w:rsid w:val="008A7A4F"/>
    <w:rsid w:val="008A7CD5"/>
    <w:rsid w:val="008B0C78"/>
    <w:rsid w:val="008B0E03"/>
    <w:rsid w:val="008B14E2"/>
    <w:rsid w:val="008B1667"/>
    <w:rsid w:val="008B1684"/>
    <w:rsid w:val="008B1969"/>
    <w:rsid w:val="008B1976"/>
    <w:rsid w:val="008B1B8E"/>
    <w:rsid w:val="008B1D27"/>
    <w:rsid w:val="008B2776"/>
    <w:rsid w:val="008B33A9"/>
    <w:rsid w:val="008B3C80"/>
    <w:rsid w:val="008B460F"/>
    <w:rsid w:val="008B4802"/>
    <w:rsid w:val="008B4FF1"/>
    <w:rsid w:val="008B54CF"/>
    <w:rsid w:val="008B5708"/>
    <w:rsid w:val="008B6179"/>
    <w:rsid w:val="008B67BF"/>
    <w:rsid w:val="008B6FAC"/>
    <w:rsid w:val="008B714C"/>
    <w:rsid w:val="008B730A"/>
    <w:rsid w:val="008B7527"/>
    <w:rsid w:val="008B77AD"/>
    <w:rsid w:val="008C08E7"/>
    <w:rsid w:val="008C0D18"/>
    <w:rsid w:val="008C0E0C"/>
    <w:rsid w:val="008C0E3E"/>
    <w:rsid w:val="008C0F53"/>
    <w:rsid w:val="008C2233"/>
    <w:rsid w:val="008C2947"/>
    <w:rsid w:val="008C3025"/>
    <w:rsid w:val="008C3642"/>
    <w:rsid w:val="008C3C70"/>
    <w:rsid w:val="008C41D2"/>
    <w:rsid w:val="008C493E"/>
    <w:rsid w:val="008C4D38"/>
    <w:rsid w:val="008C4F77"/>
    <w:rsid w:val="008C54FC"/>
    <w:rsid w:val="008C5B47"/>
    <w:rsid w:val="008C5E98"/>
    <w:rsid w:val="008C61FB"/>
    <w:rsid w:val="008C6C8B"/>
    <w:rsid w:val="008C6D33"/>
    <w:rsid w:val="008C6F22"/>
    <w:rsid w:val="008C7341"/>
    <w:rsid w:val="008C77CB"/>
    <w:rsid w:val="008C7CEF"/>
    <w:rsid w:val="008C7D43"/>
    <w:rsid w:val="008C7E28"/>
    <w:rsid w:val="008D05F2"/>
    <w:rsid w:val="008D084A"/>
    <w:rsid w:val="008D0BC6"/>
    <w:rsid w:val="008D0BD4"/>
    <w:rsid w:val="008D104C"/>
    <w:rsid w:val="008D149F"/>
    <w:rsid w:val="008D172A"/>
    <w:rsid w:val="008D1899"/>
    <w:rsid w:val="008D1AE8"/>
    <w:rsid w:val="008D1B8A"/>
    <w:rsid w:val="008D1C8B"/>
    <w:rsid w:val="008D25F8"/>
    <w:rsid w:val="008D2DFA"/>
    <w:rsid w:val="008D31E0"/>
    <w:rsid w:val="008D340E"/>
    <w:rsid w:val="008D37BB"/>
    <w:rsid w:val="008D39FD"/>
    <w:rsid w:val="008D3EA1"/>
    <w:rsid w:val="008D432E"/>
    <w:rsid w:val="008D49FD"/>
    <w:rsid w:val="008D4B2E"/>
    <w:rsid w:val="008D53FA"/>
    <w:rsid w:val="008D5532"/>
    <w:rsid w:val="008D5BBC"/>
    <w:rsid w:val="008D60F5"/>
    <w:rsid w:val="008D6727"/>
    <w:rsid w:val="008D69B0"/>
    <w:rsid w:val="008D6CC0"/>
    <w:rsid w:val="008D7396"/>
    <w:rsid w:val="008D73E8"/>
    <w:rsid w:val="008D73F3"/>
    <w:rsid w:val="008D760C"/>
    <w:rsid w:val="008E0143"/>
    <w:rsid w:val="008E08F2"/>
    <w:rsid w:val="008E0C1D"/>
    <w:rsid w:val="008E109B"/>
    <w:rsid w:val="008E1954"/>
    <w:rsid w:val="008E1C43"/>
    <w:rsid w:val="008E1CFB"/>
    <w:rsid w:val="008E2071"/>
    <w:rsid w:val="008E20F1"/>
    <w:rsid w:val="008E2577"/>
    <w:rsid w:val="008E2A95"/>
    <w:rsid w:val="008E2B2A"/>
    <w:rsid w:val="008E3154"/>
    <w:rsid w:val="008E37D7"/>
    <w:rsid w:val="008E38CD"/>
    <w:rsid w:val="008E4129"/>
    <w:rsid w:val="008E5449"/>
    <w:rsid w:val="008E5898"/>
    <w:rsid w:val="008E5DA2"/>
    <w:rsid w:val="008E6030"/>
    <w:rsid w:val="008E612D"/>
    <w:rsid w:val="008E762C"/>
    <w:rsid w:val="008F00A7"/>
    <w:rsid w:val="008F0A07"/>
    <w:rsid w:val="008F1002"/>
    <w:rsid w:val="008F1F1A"/>
    <w:rsid w:val="008F211E"/>
    <w:rsid w:val="008F2429"/>
    <w:rsid w:val="008F2AFA"/>
    <w:rsid w:val="008F2DD2"/>
    <w:rsid w:val="008F328B"/>
    <w:rsid w:val="008F37F1"/>
    <w:rsid w:val="008F3B7A"/>
    <w:rsid w:val="008F3F73"/>
    <w:rsid w:val="008F406A"/>
    <w:rsid w:val="008F40EC"/>
    <w:rsid w:val="008F48F7"/>
    <w:rsid w:val="008F4D77"/>
    <w:rsid w:val="008F567A"/>
    <w:rsid w:val="008F646F"/>
    <w:rsid w:val="008F6932"/>
    <w:rsid w:val="008F6F77"/>
    <w:rsid w:val="008F745A"/>
    <w:rsid w:val="008F7FE5"/>
    <w:rsid w:val="0090081A"/>
    <w:rsid w:val="0090130B"/>
    <w:rsid w:val="0090139C"/>
    <w:rsid w:val="00901A2F"/>
    <w:rsid w:val="00901CD8"/>
    <w:rsid w:val="00902354"/>
    <w:rsid w:val="009023F2"/>
    <w:rsid w:val="00902482"/>
    <w:rsid w:val="00902A7D"/>
    <w:rsid w:val="00902C6B"/>
    <w:rsid w:val="0090302C"/>
    <w:rsid w:val="009035C9"/>
    <w:rsid w:val="00903933"/>
    <w:rsid w:val="009039DA"/>
    <w:rsid w:val="009041A3"/>
    <w:rsid w:val="00904512"/>
    <w:rsid w:val="00904605"/>
    <w:rsid w:val="00904842"/>
    <w:rsid w:val="00904DBC"/>
    <w:rsid w:val="00904F49"/>
    <w:rsid w:val="00905153"/>
    <w:rsid w:val="00905238"/>
    <w:rsid w:val="0090556B"/>
    <w:rsid w:val="009057C5"/>
    <w:rsid w:val="00905FC8"/>
    <w:rsid w:val="00906BEF"/>
    <w:rsid w:val="00906D09"/>
    <w:rsid w:val="009070A4"/>
    <w:rsid w:val="00907428"/>
    <w:rsid w:val="00910736"/>
    <w:rsid w:val="00910F30"/>
    <w:rsid w:val="009118BB"/>
    <w:rsid w:val="00911D8A"/>
    <w:rsid w:val="00912672"/>
    <w:rsid w:val="00912858"/>
    <w:rsid w:val="00913136"/>
    <w:rsid w:val="009135B2"/>
    <w:rsid w:val="00913B5C"/>
    <w:rsid w:val="009141FA"/>
    <w:rsid w:val="0091450A"/>
    <w:rsid w:val="009147D2"/>
    <w:rsid w:val="00914C1A"/>
    <w:rsid w:val="00915CE2"/>
    <w:rsid w:val="00915D87"/>
    <w:rsid w:val="009162E1"/>
    <w:rsid w:val="00916329"/>
    <w:rsid w:val="00917246"/>
    <w:rsid w:val="009172E6"/>
    <w:rsid w:val="009174C3"/>
    <w:rsid w:val="00920985"/>
    <w:rsid w:val="00920BC5"/>
    <w:rsid w:val="00921E05"/>
    <w:rsid w:val="0092201D"/>
    <w:rsid w:val="00922A0A"/>
    <w:rsid w:val="00922FD6"/>
    <w:rsid w:val="00923311"/>
    <w:rsid w:val="009236FA"/>
    <w:rsid w:val="00923ADA"/>
    <w:rsid w:val="00923D63"/>
    <w:rsid w:val="0092429F"/>
    <w:rsid w:val="00924D26"/>
    <w:rsid w:val="00924D33"/>
    <w:rsid w:val="0092529C"/>
    <w:rsid w:val="00925853"/>
    <w:rsid w:val="00925C2B"/>
    <w:rsid w:val="009262E7"/>
    <w:rsid w:val="009262F8"/>
    <w:rsid w:val="009266A0"/>
    <w:rsid w:val="00926A6D"/>
    <w:rsid w:val="00926B3C"/>
    <w:rsid w:val="00926BB1"/>
    <w:rsid w:val="0092702C"/>
    <w:rsid w:val="0092714F"/>
    <w:rsid w:val="00927B4B"/>
    <w:rsid w:val="009305A9"/>
    <w:rsid w:val="00930D3E"/>
    <w:rsid w:val="009310A4"/>
    <w:rsid w:val="009312B8"/>
    <w:rsid w:val="00931692"/>
    <w:rsid w:val="00931B86"/>
    <w:rsid w:val="00931F19"/>
    <w:rsid w:val="00932194"/>
    <w:rsid w:val="00932925"/>
    <w:rsid w:val="00932F70"/>
    <w:rsid w:val="00933993"/>
    <w:rsid w:val="00933F9E"/>
    <w:rsid w:val="009340B3"/>
    <w:rsid w:val="00934490"/>
    <w:rsid w:val="009344C9"/>
    <w:rsid w:val="009344E1"/>
    <w:rsid w:val="00935314"/>
    <w:rsid w:val="00935952"/>
    <w:rsid w:val="00935A76"/>
    <w:rsid w:val="00935BB7"/>
    <w:rsid w:val="00935C3D"/>
    <w:rsid w:val="009364B0"/>
    <w:rsid w:val="00936B10"/>
    <w:rsid w:val="00936B8A"/>
    <w:rsid w:val="00936BE7"/>
    <w:rsid w:val="00937404"/>
    <w:rsid w:val="009378D3"/>
    <w:rsid w:val="00937AFC"/>
    <w:rsid w:val="00937F14"/>
    <w:rsid w:val="009409EA"/>
    <w:rsid w:val="0094118D"/>
    <w:rsid w:val="009412BC"/>
    <w:rsid w:val="00941C34"/>
    <w:rsid w:val="00941E95"/>
    <w:rsid w:val="00942266"/>
    <w:rsid w:val="00942461"/>
    <w:rsid w:val="009427BE"/>
    <w:rsid w:val="00942989"/>
    <w:rsid w:val="00942E25"/>
    <w:rsid w:val="00943266"/>
    <w:rsid w:val="009432BB"/>
    <w:rsid w:val="0094361C"/>
    <w:rsid w:val="009436F5"/>
    <w:rsid w:val="009441E2"/>
    <w:rsid w:val="009441FE"/>
    <w:rsid w:val="0094420F"/>
    <w:rsid w:val="009445A3"/>
    <w:rsid w:val="0094473C"/>
    <w:rsid w:val="0094484C"/>
    <w:rsid w:val="00944CE7"/>
    <w:rsid w:val="00945AE4"/>
    <w:rsid w:val="00946044"/>
    <w:rsid w:val="009460CC"/>
    <w:rsid w:val="009460DE"/>
    <w:rsid w:val="00946282"/>
    <w:rsid w:val="00947226"/>
    <w:rsid w:val="00947551"/>
    <w:rsid w:val="0094797B"/>
    <w:rsid w:val="00947D1B"/>
    <w:rsid w:val="00947E93"/>
    <w:rsid w:val="00947FEB"/>
    <w:rsid w:val="009500D7"/>
    <w:rsid w:val="0095063E"/>
    <w:rsid w:val="00950C5D"/>
    <w:rsid w:val="00950EE8"/>
    <w:rsid w:val="00951156"/>
    <w:rsid w:val="00951862"/>
    <w:rsid w:val="0095193C"/>
    <w:rsid w:val="00951AB0"/>
    <w:rsid w:val="00952257"/>
    <w:rsid w:val="0095233C"/>
    <w:rsid w:val="009523B4"/>
    <w:rsid w:val="0095290E"/>
    <w:rsid w:val="00952B3C"/>
    <w:rsid w:val="00952E7F"/>
    <w:rsid w:val="00953510"/>
    <w:rsid w:val="009535F9"/>
    <w:rsid w:val="0095370C"/>
    <w:rsid w:val="00953FF7"/>
    <w:rsid w:val="00954041"/>
    <w:rsid w:val="00954746"/>
    <w:rsid w:val="009547EE"/>
    <w:rsid w:val="00955E0B"/>
    <w:rsid w:val="00956909"/>
    <w:rsid w:val="00956C49"/>
    <w:rsid w:val="00957920"/>
    <w:rsid w:val="00957F71"/>
    <w:rsid w:val="00960150"/>
    <w:rsid w:val="009602EB"/>
    <w:rsid w:val="00960A94"/>
    <w:rsid w:val="009615C0"/>
    <w:rsid w:val="00961602"/>
    <w:rsid w:val="0096172D"/>
    <w:rsid w:val="009617C4"/>
    <w:rsid w:val="00961AAA"/>
    <w:rsid w:val="00961ADA"/>
    <w:rsid w:val="00961BC2"/>
    <w:rsid w:val="00961EDA"/>
    <w:rsid w:val="00962659"/>
    <w:rsid w:val="00962A99"/>
    <w:rsid w:val="00962CF5"/>
    <w:rsid w:val="00963120"/>
    <w:rsid w:val="00963B2C"/>
    <w:rsid w:val="009644FF"/>
    <w:rsid w:val="00964CE6"/>
    <w:rsid w:val="00964E4C"/>
    <w:rsid w:val="00965113"/>
    <w:rsid w:val="0096523B"/>
    <w:rsid w:val="0096536B"/>
    <w:rsid w:val="00965594"/>
    <w:rsid w:val="00965E09"/>
    <w:rsid w:val="00965E2B"/>
    <w:rsid w:val="00966A53"/>
    <w:rsid w:val="0096758C"/>
    <w:rsid w:val="00967757"/>
    <w:rsid w:val="00967D71"/>
    <w:rsid w:val="0097004D"/>
    <w:rsid w:val="00970121"/>
    <w:rsid w:val="00970214"/>
    <w:rsid w:val="009716D1"/>
    <w:rsid w:val="009725D4"/>
    <w:rsid w:val="0097290C"/>
    <w:rsid w:val="00972BC5"/>
    <w:rsid w:val="0097366D"/>
    <w:rsid w:val="0097397E"/>
    <w:rsid w:val="00973A60"/>
    <w:rsid w:val="009741F7"/>
    <w:rsid w:val="00974911"/>
    <w:rsid w:val="0097523F"/>
    <w:rsid w:val="00975810"/>
    <w:rsid w:val="00975A5D"/>
    <w:rsid w:val="00975C30"/>
    <w:rsid w:val="00975D87"/>
    <w:rsid w:val="00975E8D"/>
    <w:rsid w:val="0097651F"/>
    <w:rsid w:val="0097673B"/>
    <w:rsid w:val="00976CDC"/>
    <w:rsid w:val="00977BC2"/>
    <w:rsid w:val="00980596"/>
    <w:rsid w:val="009805B7"/>
    <w:rsid w:val="00980714"/>
    <w:rsid w:val="00981779"/>
    <w:rsid w:val="0098194D"/>
    <w:rsid w:val="0098195F"/>
    <w:rsid w:val="00981978"/>
    <w:rsid w:val="00982CFA"/>
    <w:rsid w:val="00983142"/>
    <w:rsid w:val="009839B6"/>
    <w:rsid w:val="00983AAF"/>
    <w:rsid w:val="00983F10"/>
    <w:rsid w:val="00984873"/>
    <w:rsid w:val="00984D3F"/>
    <w:rsid w:val="00984DA0"/>
    <w:rsid w:val="009853B3"/>
    <w:rsid w:val="009856FC"/>
    <w:rsid w:val="00985824"/>
    <w:rsid w:val="00985F86"/>
    <w:rsid w:val="00985FDE"/>
    <w:rsid w:val="00986302"/>
    <w:rsid w:val="00986338"/>
    <w:rsid w:val="009864FC"/>
    <w:rsid w:val="00986C89"/>
    <w:rsid w:val="00987255"/>
    <w:rsid w:val="0098737D"/>
    <w:rsid w:val="00987664"/>
    <w:rsid w:val="00987E6B"/>
    <w:rsid w:val="009906FF"/>
    <w:rsid w:val="00991429"/>
    <w:rsid w:val="00991BEC"/>
    <w:rsid w:val="00991C06"/>
    <w:rsid w:val="00991D93"/>
    <w:rsid w:val="00991DEC"/>
    <w:rsid w:val="009927F4"/>
    <w:rsid w:val="009928EC"/>
    <w:rsid w:val="00992B8E"/>
    <w:rsid w:val="0099332A"/>
    <w:rsid w:val="0099416C"/>
    <w:rsid w:val="0099433C"/>
    <w:rsid w:val="0099482E"/>
    <w:rsid w:val="00994A3C"/>
    <w:rsid w:val="0099568B"/>
    <w:rsid w:val="00995DA5"/>
    <w:rsid w:val="009964C7"/>
    <w:rsid w:val="00996A7E"/>
    <w:rsid w:val="00996AA4"/>
    <w:rsid w:val="009970B6"/>
    <w:rsid w:val="00997A74"/>
    <w:rsid w:val="00997ACD"/>
    <w:rsid w:val="00997DF1"/>
    <w:rsid w:val="009A131A"/>
    <w:rsid w:val="009A197B"/>
    <w:rsid w:val="009A1CBB"/>
    <w:rsid w:val="009A2552"/>
    <w:rsid w:val="009A3120"/>
    <w:rsid w:val="009A3438"/>
    <w:rsid w:val="009A3582"/>
    <w:rsid w:val="009A3985"/>
    <w:rsid w:val="009A3E4F"/>
    <w:rsid w:val="009A4197"/>
    <w:rsid w:val="009A4427"/>
    <w:rsid w:val="009A444A"/>
    <w:rsid w:val="009A469B"/>
    <w:rsid w:val="009A4EF2"/>
    <w:rsid w:val="009A4FCA"/>
    <w:rsid w:val="009A5022"/>
    <w:rsid w:val="009A547E"/>
    <w:rsid w:val="009A7026"/>
    <w:rsid w:val="009A7EAD"/>
    <w:rsid w:val="009B0027"/>
    <w:rsid w:val="009B0577"/>
    <w:rsid w:val="009B0753"/>
    <w:rsid w:val="009B078C"/>
    <w:rsid w:val="009B09E1"/>
    <w:rsid w:val="009B124C"/>
    <w:rsid w:val="009B13C5"/>
    <w:rsid w:val="009B212C"/>
    <w:rsid w:val="009B237C"/>
    <w:rsid w:val="009B2520"/>
    <w:rsid w:val="009B2B28"/>
    <w:rsid w:val="009B3115"/>
    <w:rsid w:val="009B3637"/>
    <w:rsid w:val="009B3B51"/>
    <w:rsid w:val="009B4709"/>
    <w:rsid w:val="009B48B9"/>
    <w:rsid w:val="009B490C"/>
    <w:rsid w:val="009B4A7F"/>
    <w:rsid w:val="009B5751"/>
    <w:rsid w:val="009B5A28"/>
    <w:rsid w:val="009B65DA"/>
    <w:rsid w:val="009B6C5D"/>
    <w:rsid w:val="009B6F07"/>
    <w:rsid w:val="009B77C2"/>
    <w:rsid w:val="009B7D7C"/>
    <w:rsid w:val="009C0321"/>
    <w:rsid w:val="009C0941"/>
    <w:rsid w:val="009C0BD8"/>
    <w:rsid w:val="009C0F7F"/>
    <w:rsid w:val="009C1044"/>
    <w:rsid w:val="009C15F5"/>
    <w:rsid w:val="009C187F"/>
    <w:rsid w:val="009C19F7"/>
    <w:rsid w:val="009C1D40"/>
    <w:rsid w:val="009C2231"/>
    <w:rsid w:val="009C244F"/>
    <w:rsid w:val="009C27F8"/>
    <w:rsid w:val="009C31F8"/>
    <w:rsid w:val="009C34A1"/>
    <w:rsid w:val="009C34CE"/>
    <w:rsid w:val="009C35F4"/>
    <w:rsid w:val="009C366A"/>
    <w:rsid w:val="009C3E3C"/>
    <w:rsid w:val="009C4029"/>
    <w:rsid w:val="009C416B"/>
    <w:rsid w:val="009C4474"/>
    <w:rsid w:val="009C5ADE"/>
    <w:rsid w:val="009C5EE7"/>
    <w:rsid w:val="009C6383"/>
    <w:rsid w:val="009C6703"/>
    <w:rsid w:val="009C6F2D"/>
    <w:rsid w:val="009C7103"/>
    <w:rsid w:val="009C7FCA"/>
    <w:rsid w:val="009D0882"/>
    <w:rsid w:val="009D0A76"/>
    <w:rsid w:val="009D1195"/>
    <w:rsid w:val="009D19BB"/>
    <w:rsid w:val="009D1F7F"/>
    <w:rsid w:val="009D248E"/>
    <w:rsid w:val="009D25BA"/>
    <w:rsid w:val="009D26EA"/>
    <w:rsid w:val="009D27C6"/>
    <w:rsid w:val="009D2FCD"/>
    <w:rsid w:val="009D444E"/>
    <w:rsid w:val="009D4C1B"/>
    <w:rsid w:val="009D4C1F"/>
    <w:rsid w:val="009D51F3"/>
    <w:rsid w:val="009D53C4"/>
    <w:rsid w:val="009D55CF"/>
    <w:rsid w:val="009D5C7C"/>
    <w:rsid w:val="009D5D61"/>
    <w:rsid w:val="009D6AEB"/>
    <w:rsid w:val="009D7EE1"/>
    <w:rsid w:val="009E00D1"/>
    <w:rsid w:val="009E06AB"/>
    <w:rsid w:val="009E07CB"/>
    <w:rsid w:val="009E0F66"/>
    <w:rsid w:val="009E19ED"/>
    <w:rsid w:val="009E270B"/>
    <w:rsid w:val="009E3CF1"/>
    <w:rsid w:val="009E3DEC"/>
    <w:rsid w:val="009E3F2E"/>
    <w:rsid w:val="009E3F68"/>
    <w:rsid w:val="009E4D29"/>
    <w:rsid w:val="009E50EC"/>
    <w:rsid w:val="009E5202"/>
    <w:rsid w:val="009E52C1"/>
    <w:rsid w:val="009E5384"/>
    <w:rsid w:val="009E62BE"/>
    <w:rsid w:val="009E6613"/>
    <w:rsid w:val="009E687D"/>
    <w:rsid w:val="009E6D2D"/>
    <w:rsid w:val="009E78F2"/>
    <w:rsid w:val="009E7D5B"/>
    <w:rsid w:val="009F044F"/>
    <w:rsid w:val="009F111E"/>
    <w:rsid w:val="009F142A"/>
    <w:rsid w:val="009F2268"/>
    <w:rsid w:val="009F25DE"/>
    <w:rsid w:val="009F2834"/>
    <w:rsid w:val="009F28AA"/>
    <w:rsid w:val="009F359B"/>
    <w:rsid w:val="009F3711"/>
    <w:rsid w:val="009F4459"/>
    <w:rsid w:val="009F46E4"/>
    <w:rsid w:val="009F75AF"/>
    <w:rsid w:val="009F78DE"/>
    <w:rsid w:val="009F7F36"/>
    <w:rsid w:val="00A004B4"/>
    <w:rsid w:val="00A01498"/>
    <w:rsid w:val="00A01705"/>
    <w:rsid w:val="00A0173B"/>
    <w:rsid w:val="00A01C15"/>
    <w:rsid w:val="00A01E17"/>
    <w:rsid w:val="00A024A6"/>
    <w:rsid w:val="00A028F8"/>
    <w:rsid w:val="00A02A2B"/>
    <w:rsid w:val="00A03620"/>
    <w:rsid w:val="00A03A51"/>
    <w:rsid w:val="00A03B8D"/>
    <w:rsid w:val="00A03EFC"/>
    <w:rsid w:val="00A04132"/>
    <w:rsid w:val="00A04525"/>
    <w:rsid w:val="00A0462D"/>
    <w:rsid w:val="00A04882"/>
    <w:rsid w:val="00A04D07"/>
    <w:rsid w:val="00A04EEF"/>
    <w:rsid w:val="00A04F43"/>
    <w:rsid w:val="00A050C1"/>
    <w:rsid w:val="00A056C4"/>
    <w:rsid w:val="00A05723"/>
    <w:rsid w:val="00A058C1"/>
    <w:rsid w:val="00A05B6D"/>
    <w:rsid w:val="00A062D2"/>
    <w:rsid w:val="00A07963"/>
    <w:rsid w:val="00A07F1D"/>
    <w:rsid w:val="00A10B21"/>
    <w:rsid w:val="00A121CE"/>
    <w:rsid w:val="00A12875"/>
    <w:rsid w:val="00A12941"/>
    <w:rsid w:val="00A12AF5"/>
    <w:rsid w:val="00A12AF6"/>
    <w:rsid w:val="00A12B53"/>
    <w:rsid w:val="00A12C70"/>
    <w:rsid w:val="00A12D84"/>
    <w:rsid w:val="00A13454"/>
    <w:rsid w:val="00A13851"/>
    <w:rsid w:val="00A14361"/>
    <w:rsid w:val="00A14448"/>
    <w:rsid w:val="00A14FE0"/>
    <w:rsid w:val="00A150C7"/>
    <w:rsid w:val="00A155BC"/>
    <w:rsid w:val="00A157FA"/>
    <w:rsid w:val="00A15AA0"/>
    <w:rsid w:val="00A16215"/>
    <w:rsid w:val="00A16A9A"/>
    <w:rsid w:val="00A16C40"/>
    <w:rsid w:val="00A16CBF"/>
    <w:rsid w:val="00A17354"/>
    <w:rsid w:val="00A17438"/>
    <w:rsid w:val="00A175A7"/>
    <w:rsid w:val="00A20146"/>
    <w:rsid w:val="00A20311"/>
    <w:rsid w:val="00A20368"/>
    <w:rsid w:val="00A20586"/>
    <w:rsid w:val="00A206C5"/>
    <w:rsid w:val="00A20BA7"/>
    <w:rsid w:val="00A20F06"/>
    <w:rsid w:val="00A21189"/>
    <w:rsid w:val="00A21519"/>
    <w:rsid w:val="00A2152D"/>
    <w:rsid w:val="00A21533"/>
    <w:rsid w:val="00A21554"/>
    <w:rsid w:val="00A221ED"/>
    <w:rsid w:val="00A2227A"/>
    <w:rsid w:val="00A22897"/>
    <w:rsid w:val="00A229E1"/>
    <w:rsid w:val="00A22D3D"/>
    <w:rsid w:val="00A22E2A"/>
    <w:rsid w:val="00A23E81"/>
    <w:rsid w:val="00A24BD8"/>
    <w:rsid w:val="00A24D16"/>
    <w:rsid w:val="00A24D37"/>
    <w:rsid w:val="00A24F3D"/>
    <w:rsid w:val="00A25544"/>
    <w:rsid w:val="00A25F28"/>
    <w:rsid w:val="00A260E3"/>
    <w:rsid w:val="00A2640D"/>
    <w:rsid w:val="00A265BD"/>
    <w:rsid w:val="00A26D15"/>
    <w:rsid w:val="00A2734C"/>
    <w:rsid w:val="00A27C87"/>
    <w:rsid w:val="00A27ECC"/>
    <w:rsid w:val="00A27EE0"/>
    <w:rsid w:val="00A27FA5"/>
    <w:rsid w:val="00A301A0"/>
    <w:rsid w:val="00A31C39"/>
    <w:rsid w:val="00A31D09"/>
    <w:rsid w:val="00A3237F"/>
    <w:rsid w:val="00A32C6F"/>
    <w:rsid w:val="00A32DEC"/>
    <w:rsid w:val="00A32EE6"/>
    <w:rsid w:val="00A33905"/>
    <w:rsid w:val="00A33A06"/>
    <w:rsid w:val="00A33AA1"/>
    <w:rsid w:val="00A33C37"/>
    <w:rsid w:val="00A33CAE"/>
    <w:rsid w:val="00A34589"/>
    <w:rsid w:val="00A34741"/>
    <w:rsid w:val="00A34F49"/>
    <w:rsid w:val="00A3533C"/>
    <w:rsid w:val="00A35F7C"/>
    <w:rsid w:val="00A35F8D"/>
    <w:rsid w:val="00A368E3"/>
    <w:rsid w:val="00A36B8D"/>
    <w:rsid w:val="00A36D55"/>
    <w:rsid w:val="00A373C7"/>
    <w:rsid w:val="00A373DD"/>
    <w:rsid w:val="00A37764"/>
    <w:rsid w:val="00A37DC5"/>
    <w:rsid w:val="00A37F10"/>
    <w:rsid w:val="00A411DF"/>
    <w:rsid w:val="00A41587"/>
    <w:rsid w:val="00A41820"/>
    <w:rsid w:val="00A418A7"/>
    <w:rsid w:val="00A41A9D"/>
    <w:rsid w:val="00A41DEF"/>
    <w:rsid w:val="00A4292E"/>
    <w:rsid w:val="00A42E53"/>
    <w:rsid w:val="00A44DFB"/>
    <w:rsid w:val="00A4510F"/>
    <w:rsid w:val="00A45263"/>
    <w:rsid w:val="00A4526F"/>
    <w:rsid w:val="00A454E1"/>
    <w:rsid w:val="00A455F5"/>
    <w:rsid w:val="00A45983"/>
    <w:rsid w:val="00A45C87"/>
    <w:rsid w:val="00A46615"/>
    <w:rsid w:val="00A46BE4"/>
    <w:rsid w:val="00A507C7"/>
    <w:rsid w:val="00A512CE"/>
    <w:rsid w:val="00A53001"/>
    <w:rsid w:val="00A5338D"/>
    <w:rsid w:val="00A53678"/>
    <w:rsid w:val="00A5394A"/>
    <w:rsid w:val="00A53C7F"/>
    <w:rsid w:val="00A53F50"/>
    <w:rsid w:val="00A54556"/>
    <w:rsid w:val="00A5457D"/>
    <w:rsid w:val="00A546F6"/>
    <w:rsid w:val="00A546FC"/>
    <w:rsid w:val="00A559A2"/>
    <w:rsid w:val="00A55A5D"/>
    <w:rsid w:val="00A55D80"/>
    <w:rsid w:val="00A565A2"/>
    <w:rsid w:val="00A56A0B"/>
    <w:rsid w:val="00A56A48"/>
    <w:rsid w:val="00A56E37"/>
    <w:rsid w:val="00A56EC7"/>
    <w:rsid w:val="00A57BD8"/>
    <w:rsid w:val="00A60078"/>
    <w:rsid w:val="00A6009D"/>
    <w:rsid w:val="00A603EF"/>
    <w:rsid w:val="00A6065B"/>
    <w:rsid w:val="00A607A6"/>
    <w:rsid w:val="00A61126"/>
    <w:rsid w:val="00A61AA6"/>
    <w:rsid w:val="00A62702"/>
    <w:rsid w:val="00A62AD4"/>
    <w:rsid w:val="00A62F52"/>
    <w:rsid w:val="00A63504"/>
    <w:rsid w:val="00A635D3"/>
    <w:rsid w:val="00A635DA"/>
    <w:rsid w:val="00A637E8"/>
    <w:rsid w:val="00A63B5B"/>
    <w:rsid w:val="00A63C1F"/>
    <w:rsid w:val="00A64064"/>
    <w:rsid w:val="00A64C52"/>
    <w:rsid w:val="00A64D28"/>
    <w:rsid w:val="00A64F53"/>
    <w:rsid w:val="00A65013"/>
    <w:rsid w:val="00A65806"/>
    <w:rsid w:val="00A65C66"/>
    <w:rsid w:val="00A663D0"/>
    <w:rsid w:val="00A66994"/>
    <w:rsid w:val="00A66A83"/>
    <w:rsid w:val="00A66DAA"/>
    <w:rsid w:val="00A6779E"/>
    <w:rsid w:val="00A67A2E"/>
    <w:rsid w:val="00A67C23"/>
    <w:rsid w:val="00A7005C"/>
    <w:rsid w:val="00A7063F"/>
    <w:rsid w:val="00A70C97"/>
    <w:rsid w:val="00A70F58"/>
    <w:rsid w:val="00A7153F"/>
    <w:rsid w:val="00A72155"/>
    <w:rsid w:val="00A72856"/>
    <w:rsid w:val="00A72877"/>
    <w:rsid w:val="00A72BCA"/>
    <w:rsid w:val="00A7324B"/>
    <w:rsid w:val="00A73426"/>
    <w:rsid w:val="00A7360B"/>
    <w:rsid w:val="00A73C90"/>
    <w:rsid w:val="00A7417E"/>
    <w:rsid w:val="00A74339"/>
    <w:rsid w:val="00A743DB"/>
    <w:rsid w:val="00A74506"/>
    <w:rsid w:val="00A75234"/>
    <w:rsid w:val="00A752F7"/>
    <w:rsid w:val="00A75918"/>
    <w:rsid w:val="00A7645F"/>
    <w:rsid w:val="00A7654F"/>
    <w:rsid w:val="00A76665"/>
    <w:rsid w:val="00A769BB"/>
    <w:rsid w:val="00A778A6"/>
    <w:rsid w:val="00A802A2"/>
    <w:rsid w:val="00A81243"/>
    <w:rsid w:val="00A820C7"/>
    <w:rsid w:val="00A8233E"/>
    <w:rsid w:val="00A82EA8"/>
    <w:rsid w:val="00A83120"/>
    <w:rsid w:val="00A8381A"/>
    <w:rsid w:val="00A83A6A"/>
    <w:rsid w:val="00A83B87"/>
    <w:rsid w:val="00A8440B"/>
    <w:rsid w:val="00A848DB"/>
    <w:rsid w:val="00A84F7F"/>
    <w:rsid w:val="00A86416"/>
    <w:rsid w:val="00A86D62"/>
    <w:rsid w:val="00A8705B"/>
    <w:rsid w:val="00A8730B"/>
    <w:rsid w:val="00A8789D"/>
    <w:rsid w:val="00A87A89"/>
    <w:rsid w:val="00A87D0E"/>
    <w:rsid w:val="00A87D73"/>
    <w:rsid w:val="00A9011E"/>
    <w:rsid w:val="00A901DB"/>
    <w:rsid w:val="00A909C9"/>
    <w:rsid w:val="00A90C38"/>
    <w:rsid w:val="00A90C92"/>
    <w:rsid w:val="00A90E7F"/>
    <w:rsid w:val="00A90ED7"/>
    <w:rsid w:val="00A9109B"/>
    <w:rsid w:val="00A911D9"/>
    <w:rsid w:val="00A91681"/>
    <w:rsid w:val="00A916B4"/>
    <w:rsid w:val="00A916FD"/>
    <w:rsid w:val="00A91D32"/>
    <w:rsid w:val="00A91F8A"/>
    <w:rsid w:val="00A92367"/>
    <w:rsid w:val="00A929BE"/>
    <w:rsid w:val="00A92F04"/>
    <w:rsid w:val="00A93B36"/>
    <w:rsid w:val="00A93C62"/>
    <w:rsid w:val="00A94264"/>
    <w:rsid w:val="00A94A0A"/>
    <w:rsid w:val="00A95205"/>
    <w:rsid w:val="00A959DE"/>
    <w:rsid w:val="00A95BDE"/>
    <w:rsid w:val="00A95C27"/>
    <w:rsid w:val="00A96256"/>
    <w:rsid w:val="00A9645C"/>
    <w:rsid w:val="00A97971"/>
    <w:rsid w:val="00AA0524"/>
    <w:rsid w:val="00AA0AED"/>
    <w:rsid w:val="00AA13DB"/>
    <w:rsid w:val="00AA3657"/>
    <w:rsid w:val="00AA3C5D"/>
    <w:rsid w:val="00AA459A"/>
    <w:rsid w:val="00AA46E8"/>
    <w:rsid w:val="00AA4D55"/>
    <w:rsid w:val="00AA4D85"/>
    <w:rsid w:val="00AA55FD"/>
    <w:rsid w:val="00AA59D1"/>
    <w:rsid w:val="00AA5A52"/>
    <w:rsid w:val="00AA6477"/>
    <w:rsid w:val="00AA6CFA"/>
    <w:rsid w:val="00AA6FC9"/>
    <w:rsid w:val="00AA7356"/>
    <w:rsid w:val="00AA74DF"/>
    <w:rsid w:val="00AA78A8"/>
    <w:rsid w:val="00AA7B5E"/>
    <w:rsid w:val="00AB025D"/>
    <w:rsid w:val="00AB087B"/>
    <w:rsid w:val="00AB0DF6"/>
    <w:rsid w:val="00AB10F6"/>
    <w:rsid w:val="00AB14F6"/>
    <w:rsid w:val="00AB19E9"/>
    <w:rsid w:val="00AB1A9E"/>
    <w:rsid w:val="00AB2032"/>
    <w:rsid w:val="00AB2565"/>
    <w:rsid w:val="00AB2CB8"/>
    <w:rsid w:val="00AB2E84"/>
    <w:rsid w:val="00AB2EBA"/>
    <w:rsid w:val="00AB385C"/>
    <w:rsid w:val="00AB3A0B"/>
    <w:rsid w:val="00AB4067"/>
    <w:rsid w:val="00AB47FB"/>
    <w:rsid w:val="00AB4BD0"/>
    <w:rsid w:val="00AB53B4"/>
    <w:rsid w:val="00AB546E"/>
    <w:rsid w:val="00AB5559"/>
    <w:rsid w:val="00AB6062"/>
    <w:rsid w:val="00AB66BC"/>
    <w:rsid w:val="00AB684F"/>
    <w:rsid w:val="00AB6D24"/>
    <w:rsid w:val="00AB6F07"/>
    <w:rsid w:val="00AB7012"/>
    <w:rsid w:val="00AB7A47"/>
    <w:rsid w:val="00AC004D"/>
    <w:rsid w:val="00AC0862"/>
    <w:rsid w:val="00AC0A8C"/>
    <w:rsid w:val="00AC0D55"/>
    <w:rsid w:val="00AC1187"/>
    <w:rsid w:val="00AC20F5"/>
    <w:rsid w:val="00AC2DAE"/>
    <w:rsid w:val="00AC302B"/>
    <w:rsid w:val="00AC320C"/>
    <w:rsid w:val="00AC3345"/>
    <w:rsid w:val="00AC347A"/>
    <w:rsid w:val="00AC4085"/>
    <w:rsid w:val="00AC50C0"/>
    <w:rsid w:val="00AC5BE0"/>
    <w:rsid w:val="00AC5D9F"/>
    <w:rsid w:val="00AC604E"/>
    <w:rsid w:val="00AC617E"/>
    <w:rsid w:val="00AC63D7"/>
    <w:rsid w:val="00AC65AC"/>
    <w:rsid w:val="00AC69B3"/>
    <w:rsid w:val="00AC75D3"/>
    <w:rsid w:val="00AC7F3D"/>
    <w:rsid w:val="00AD0157"/>
    <w:rsid w:val="00AD08A5"/>
    <w:rsid w:val="00AD0F83"/>
    <w:rsid w:val="00AD1024"/>
    <w:rsid w:val="00AD11EC"/>
    <w:rsid w:val="00AD1CA8"/>
    <w:rsid w:val="00AD291A"/>
    <w:rsid w:val="00AD2A79"/>
    <w:rsid w:val="00AD2E27"/>
    <w:rsid w:val="00AD3926"/>
    <w:rsid w:val="00AD48F7"/>
    <w:rsid w:val="00AD4958"/>
    <w:rsid w:val="00AD4BF1"/>
    <w:rsid w:val="00AD55C5"/>
    <w:rsid w:val="00AD56CA"/>
    <w:rsid w:val="00AD5862"/>
    <w:rsid w:val="00AD61A1"/>
    <w:rsid w:val="00AD651A"/>
    <w:rsid w:val="00AD673F"/>
    <w:rsid w:val="00AD764E"/>
    <w:rsid w:val="00AD7890"/>
    <w:rsid w:val="00AD7CAD"/>
    <w:rsid w:val="00AD7CBD"/>
    <w:rsid w:val="00AD7DA0"/>
    <w:rsid w:val="00AE01DC"/>
    <w:rsid w:val="00AE04FE"/>
    <w:rsid w:val="00AE0E5B"/>
    <w:rsid w:val="00AE0E8E"/>
    <w:rsid w:val="00AE0F7E"/>
    <w:rsid w:val="00AE1585"/>
    <w:rsid w:val="00AE1AB4"/>
    <w:rsid w:val="00AE20D3"/>
    <w:rsid w:val="00AE2256"/>
    <w:rsid w:val="00AE27FF"/>
    <w:rsid w:val="00AE321C"/>
    <w:rsid w:val="00AE3332"/>
    <w:rsid w:val="00AE349F"/>
    <w:rsid w:val="00AE39D2"/>
    <w:rsid w:val="00AE3D68"/>
    <w:rsid w:val="00AE3E20"/>
    <w:rsid w:val="00AE46F6"/>
    <w:rsid w:val="00AE4889"/>
    <w:rsid w:val="00AE50AB"/>
    <w:rsid w:val="00AE5D57"/>
    <w:rsid w:val="00AE5E7E"/>
    <w:rsid w:val="00AE5F23"/>
    <w:rsid w:val="00AE5F4F"/>
    <w:rsid w:val="00AE6B8D"/>
    <w:rsid w:val="00AE6CA1"/>
    <w:rsid w:val="00AE71E9"/>
    <w:rsid w:val="00AE7420"/>
    <w:rsid w:val="00AE7FE3"/>
    <w:rsid w:val="00AF0BB5"/>
    <w:rsid w:val="00AF0C79"/>
    <w:rsid w:val="00AF1945"/>
    <w:rsid w:val="00AF1E43"/>
    <w:rsid w:val="00AF21D4"/>
    <w:rsid w:val="00AF2A41"/>
    <w:rsid w:val="00AF2D97"/>
    <w:rsid w:val="00AF382D"/>
    <w:rsid w:val="00AF3C6E"/>
    <w:rsid w:val="00AF3D58"/>
    <w:rsid w:val="00AF4212"/>
    <w:rsid w:val="00AF63EA"/>
    <w:rsid w:val="00AF65EA"/>
    <w:rsid w:val="00AF6947"/>
    <w:rsid w:val="00AF6A39"/>
    <w:rsid w:val="00AF6E92"/>
    <w:rsid w:val="00AF757D"/>
    <w:rsid w:val="00AF79B1"/>
    <w:rsid w:val="00B0076C"/>
    <w:rsid w:val="00B01459"/>
    <w:rsid w:val="00B01522"/>
    <w:rsid w:val="00B01EAC"/>
    <w:rsid w:val="00B0342E"/>
    <w:rsid w:val="00B039DE"/>
    <w:rsid w:val="00B0486A"/>
    <w:rsid w:val="00B049E6"/>
    <w:rsid w:val="00B0531F"/>
    <w:rsid w:val="00B0589B"/>
    <w:rsid w:val="00B05AB9"/>
    <w:rsid w:val="00B06191"/>
    <w:rsid w:val="00B0688B"/>
    <w:rsid w:val="00B06B2A"/>
    <w:rsid w:val="00B06D0E"/>
    <w:rsid w:val="00B06FD7"/>
    <w:rsid w:val="00B07003"/>
    <w:rsid w:val="00B07869"/>
    <w:rsid w:val="00B07D54"/>
    <w:rsid w:val="00B101F8"/>
    <w:rsid w:val="00B10875"/>
    <w:rsid w:val="00B10B24"/>
    <w:rsid w:val="00B10BEA"/>
    <w:rsid w:val="00B10DE1"/>
    <w:rsid w:val="00B1136C"/>
    <w:rsid w:val="00B11482"/>
    <w:rsid w:val="00B1208A"/>
    <w:rsid w:val="00B1227D"/>
    <w:rsid w:val="00B1263E"/>
    <w:rsid w:val="00B129DE"/>
    <w:rsid w:val="00B12EFD"/>
    <w:rsid w:val="00B1312D"/>
    <w:rsid w:val="00B13E88"/>
    <w:rsid w:val="00B14099"/>
    <w:rsid w:val="00B14830"/>
    <w:rsid w:val="00B14B42"/>
    <w:rsid w:val="00B14F3E"/>
    <w:rsid w:val="00B1565F"/>
    <w:rsid w:val="00B1684B"/>
    <w:rsid w:val="00B170BA"/>
    <w:rsid w:val="00B17157"/>
    <w:rsid w:val="00B17AD0"/>
    <w:rsid w:val="00B17BDE"/>
    <w:rsid w:val="00B17CCB"/>
    <w:rsid w:val="00B203C0"/>
    <w:rsid w:val="00B203FC"/>
    <w:rsid w:val="00B2049C"/>
    <w:rsid w:val="00B204F4"/>
    <w:rsid w:val="00B20689"/>
    <w:rsid w:val="00B20787"/>
    <w:rsid w:val="00B20C63"/>
    <w:rsid w:val="00B21530"/>
    <w:rsid w:val="00B217FC"/>
    <w:rsid w:val="00B218BE"/>
    <w:rsid w:val="00B226E7"/>
    <w:rsid w:val="00B23600"/>
    <w:rsid w:val="00B23D29"/>
    <w:rsid w:val="00B24675"/>
    <w:rsid w:val="00B247EE"/>
    <w:rsid w:val="00B24982"/>
    <w:rsid w:val="00B25915"/>
    <w:rsid w:val="00B25CBB"/>
    <w:rsid w:val="00B25D44"/>
    <w:rsid w:val="00B262A7"/>
    <w:rsid w:val="00B268E4"/>
    <w:rsid w:val="00B26C98"/>
    <w:rsid w:val="00B26E8C"/>
    <w:rsid w:val="00B27D26"/>
    <w:rsid w:val="00B300E9"/>
    <w:rsid w:val="00B30652"/>
    <w:rsid w:val="00B30EB9"/>
    <w:rsid w:val="00B30EBF"/>
    <w:rsid w:val="00B30FAF"/>
    <w:rsid w:val="00B3134E"/>
    <w:rsid w:val="00B3160A"/>
    <w:rsid w:val="00B31822"/>
    <w:rsid w:val="00B318A3"/>
    <w:rsid w:val="00B31CBC"/>
    <w:rsid w:val="00B32016"/>
    <w:rsid w:val="00B32CEB"/>
    <w:rsid w:val="00B32DD8"/>
    <w:rsid w:val="00B32E17"/>
    <w:rsid w:val="00B32EE6"/>
    <w:rsid w:val="00B32F9F"/>
    <w:rsid w:val="00B331FF"/>
    <w:rsid w:val="00B3361C"/>
    <w:rsid w:val="00B33D5B"/>
    <w:rsid w:val="00B33E71"/>
    <w:rsid w:val="00B33F96"/>
    <w:rsid w:val="00B34336"/>
    <w:rsid w:val="00B35103"/>
    <w:rsid w:val="00B35670"/>
    <w:rsid w:val="00B360A3"/>
    <w:rsid w:val="00B368D9"/>
    <w:rsid w:val="00B3694B"/>
    <w:rsid w:val="00B36EC3"/>
    <w:rsid w:val="00B3779B"/>
    <w:rsid w:val="00B37998"/>
    <w:rsid w:val="00B40124"/>
    <w:rsid w:val="00B4023C"/>
    <w:rsid w:val="00B40450"/>
    <w:rsid w:val="00B406CA"/>
    <w:rsid w:val="00B4149B"/>
    <w:rsid w:val="00B4172E"/>
    <w:rsid w:val="00B417FE"/>
    <w:rsid w:val="00B41B01"/>
    <w:rsid w:val="00B42222"/>
    <w:rsid w:val="00B42389"/>
    <w:rsid w:val="00B427D4"/>
    <w:rsid w:val="00B42934"/>
    <w:rsid w:val="00B42B8E"/>
    <w:rsid w:val="00B42D13"/>
    <w:rsid w:val="00B43253"/>
    <w:rsid w:val="00B434E5"/>
    <w:rsid w:val="00B4376B"/>
    <w:rsid w:val="00B437BF"/>
    <w:rsid w:val="00B43847"/>
    <w:rsid w:val="00B438C7"/>
    <w:rsid w:val="00B43C85"/>
    <w:rsid w:val="00B44615"/>
    <w:rsid w:val="00B44E62"/>
    <w:rsid w:val="00B452C0"/>
    <w:rsid w:val="00B4586B"/>
    <w:rsid w:val="00B459BB"/>
    <w:rsid w:val="00B45AFF"/>
    <w:rsid w:val="00B45D14"/>
    <w:rsid w:val="00B4714E"/>
    <w:rsid w:val="00B515AA"/>
    <w:rsid w:val="00B51604"/>
    <w:rsid w:val="00B51AFD"/>
    <w:rsid w:val="00B5274F"/>
    <w:rsid w:val="00B52A2B"/>
    <w:rsid w:val="00B5303F"/>
    <w:rsid w:val="00B534F9"/>
    <w:rsid w:val="00B54129"/>
    <w:rsid w:val="00B5460D"/>
    <w:rsid w:val="00B54885"/>
    <w:rsid w:val="00B549E8"/>
    <w:rsid w:val="00B54DFE"/>
    <w:rsid w:val="00B54ED1"/>
    <w:rsid w:val="00B55158"/>
    <w:rsid w:val="00B553CC"/>
    <w:rsid w:val="00B559D4"/>
    <w:rsid w:val="00B55C4D"/>
    <w:rsid w:val="00B56722"/>
    <w:rsid w:val="00B56785"/>
    <w:rsid w:val="00B5683A"/>
    <w:rsid w:val="00B568AD"/>
    <w:rsid w:val="00B568BA"/>
    <w:rsid w:val="00B569B5"/>
    <w:rsid w:val="00B604CD"/>
    <w:rsid w:val="00B60504"/>
    <w:rsid w:val="00B60C1A"/>
    <w:rsid w:val="00B60C53"/>
    <w:rsid w:val="00B60CEB"/>
    <w:rsid w:val="00B61032"/>
    <w:rsid w:val="00B612CA"/>
    <w:rsid w:val="00B615E4"/>
    <w:rsid w:val="00B615FD"/>
    <w:rsid w:val="00B61944"/>
    <w:rsid w:val="00B61C50"/>
    <w:rsid w:val="00B61E7F"/>
    <w:rsid w:val="00B620D9"/>
    <w:rsid w:val="00B622F1"/>
    <w:rsid w:val="00B62580"/>
    <w:rsid w:val="00B62A83"/>
    <w:rsid w:val="00B631C4"/>
    <w:rsid w:val="00B63803"/>
    <w:rsid w:val="00B638B7"/>
    <w:rsid w:val="00B63ADD"/>
    <w:rsid w:val="00B63CF8"/>
    <w:rsid w:val="00B640CF"/>
    <w:rsid w:val="00B647F4"/>
    <w:rsid w:val="00B6540B"/>
    <w:rsid w:val="00B657C4"/>
    <w:rsid w:val="00B65C60"/>
    <w:rsid w:val="00B65FD0"/>
    <w:rsid w:val="00B66365"/>
    <w:rsid w:val="00B6649E"/>
    <w:rsid w:val="00B6655B"/>
    <w:rsid w:val="00B6658D"/>
    <w:rsid w:val="00B66A8A"/>
    <w:rsid w:val="00B66A93"/>
    <w:rsid w:val="00B66C3B"/>
    <w:rsid w:val="00B67215"/>
    <w:rsid w:val="00B67572"/>
    <w:rsid w:val="00B675A9"/>
    <w:rsid w:val="00B6798B"/>
    <w:rsid w:val="00B67F4F"/>
    <w:rsid w:val="00B704E4"/>
    <w:rsid w:val="00B71838"/>
    <w:rsid w:val="00B71855"/>
    <w:rsid w:val="00B71967"/>
    <w:rsid w:val="00B719F2"/>
    <w:rsid w:val="00B71C8B"/>
    <w:rsid w:val="00B72AA4"/>
    <w:rsid w:val="00B72BE4"/>
    <w:rsid w:val="00B72DFC"/>
    <w:rsid w:val="00B72EE0"/>
    <w:rsid w:val="00B730CE"/>
    <w:rsid w:val="00B734DF"/>
    <w:rsid w:val="00B73767"/>
    <w:rsid w:val="00B73D47"/>
    <w:rsid w:val="00B74797"/>
    <w:rsid w:val="00B7537D"/>
    <w:rsid w:val="00B753ED"/>
    <w:rsid w:val="00B7567D"/>
    <w:rsid w:val="00B7580A"/>
    <w:rsid w:val="00B761A2"/>
    <w:rsid w:val="00B7631E"/>
    <w:rsid w:val="00B7670D"/>
    <w:rsid w:val="00B7679F"/>
    <w:rsid w:val="00B771AA"/>
    <w:rsid w:val="00B77424"/>
    <w:rsid w:val="00B777FA"/>
    <w:rsid w:val="00B77E70"/>
    <w:rsid w:val="00B801C8"/>
    <w:rsid w:val="00B8029D"/>
    <w:rsid w:val="00B80772"/>
    <w:rsid w:val="00B80A6E"/>
    <w:rsid w:val="00B80D15"/>
    <w:rsid w:val="00B81C6B"/>
    <w:rsid w:val="00B81D94"/>
    <w:rsid w:val="00B828A7"/>
    <w:rsid w:val="00B83169"/>
    <w:rsid w:val="00B83877"/>
    <w:rsid w:val="00B83BAC"/>
    <w:rsid w:val="00B83D30"/>
    <w:rsid w:val="00B84314"/>
    <w:rsid w:val="00B84363"/>
    <w:rsid w:val="00B84903"/>
    <w:rsid w:val="00B84B09"/>
    <w:rsid w:val="00B84E85"/>
    <w:rsid w:val="00B85185"/>
    <w:rsid w:val="00B85246"/>
    <w:rsid w:val="00B8577D"/>
    <w:rsid w:val="00B85CA4"/>
    <w:rsid w:val="00B85D71"/>
    <w:rsid w:val="00B86254"/>
    <w:rsid w:val="00B8651E"/>
    <w:rsid w:val="00B8660E"/>
    <w:rsid w:val="00B869D1"/>
    <w:rsid w:val="00B87A96"/>
    <w:rsid w:val="00B87D7E"/>
    <w:rsid w:val="00B90098"/>
    <w:rsid w:val="00B90257"/>
    <w:rsid w:val="00B90AF8"/>
    <w:rsid w:val="00B90B5E"/>
    <w:rsid w:val="00B90DD9"/>
    <w:rsid w:val="00B90E3E"/>
    <w:rsid w:val="00B916EE"/>
    <w:rsid w:val="00B91FE2"/>
    <w:rsid w:val="00B92363"/>
    <w:rsid w:val="00B926C4"/>
    <w:rsid w:val="00B9313E"/>
    <w:rsid w:val="00B93237"/>
    <w:rsid w:val="00B93598"/>
    <w:rsid w:val="00B94AEB"/>
    <w:rsid w:val="00B94C9F"/>
    <w:rsid w:val="00B95485"/>
    <w:rsid w:val="00B956B1"/>
    <w:rsid w:val="00B9582B"/>
    <w:rsid w:val="00B95D51"/>
    <w:rsid w:val="00B96DE9"/>
    <w:rsid w:val="00B971ED"/>
    <w:rsid w:val="00B972DF"/>
    <w:rsid w:val="00B97728"/>
    <w:rsid w:val="00B97D0B"/>
    <w:rsid w:val="00BA0491"/>
    <w:rsid w:val="00BA07F6"/>
    <w:rsid w:val="00BA0BB3"/>
    <w:rsid w:val="00BA1230"/>
    <w:rsid w:val="00BA1475"/>
    <w:rsid w:val="00BA1965"/>
    <w:rsid w:val="00BA2214"/>
    <w:rsid w:val="00BA2603"/>
    <w:rsid w:val="00BA261F"/>
    <w:rsid w:val="00BA2B55"/>
    <w:rsid w:val="00BA30DB"/>
    <w:rsid w:val="00BA33B4"/>
    <w:rsid w:val="00BA347B"/>
    <w:rsid w:val="00BA3B5A"/>
    <w:rsid w:val="00BA3B89"/>
    <w:rsid w:val="00BA3DC4"/>
    <w:rsid w:val="00BA46E5"/>
    <w:rsid w:val="00BA4AEA"/>
    <w:rsid w:val="00BA4B3F"/>
    <w:rsid w:val="00BA5ADE"/>
    <w:rsid w:val="00BA5AFF"/>
    <w:rsid w:val="00BA640D"/>
    <w:rsid w:val="00BA67D7"/>
    <w:rsid w:val="00BA6AFF"/>
    <w:rsid w:val="00BA6CBE"/>
    <w:rsid w:val="00BA7133"/>
    <w:rsid w:val="00BA71B3"/>
    <w:rsid w:val="00BA7585"/>
    <w:rsid w:val="00BA7A2D"/>
    <w:rsid w:val="00BA7C46"/>
    <w:rsid w:val="00BA7DB8"/>
    <w:rsid w:val="00BB0296"/>
    <w:rsid w:val="00BB0828"/>
    <w:rsid w:val="00BB188A"/>
    <w:rsid w:val="00BB1B8E"/>
    <w:rsid w:val="00BB1CF8"/>
    <w:rsid w:val="00BB1F37"/>
    <w:rsid w:val="00BB21C5"/>
    <w:rsid w:val="00BB275A"/>
    <w:rsid w:val="00BB30A1"/>
    <w:rsid w:val="00BB3355"/>
    <w:rsid w:val="00BB351F"/>
    <w:rsid w:val="00BB3C1D"/>
    <w:rsid w:val="00BB3FD2"/>
    <w:rsid w:val="00BB40E5"/>
    <w:rsid w:val="00BB470E"/>
    <w:rsid w:val="00BB47C4"/>
    <w:rsid w:val="00BB4ACF"/>
    <w:rsid w:val="00BB506B"/>
    <w:rsid w:val="00BB52EF"/>
    <w:rsid w:val="00BB5537"/>
    <w:rsid w:val="00BB58E8"/>
    <w:rsid w:val="00BB5C74"/>
    <w:rsid w:val="00BB5EF2"/>
    <w:rsid w:val="00BB624B"/>
    <w:rsid w:val="00BB63A9"/>
    <w:rsid w:val="00BB6B2B"/>
    <w:rsid w:val="00BB7117"/>
    <w:rsid w:val="00BB7889"/>
    <w:rsid w:val="00BB79E2"/>
    <w:rsid w:val="00BC0290"/>
    <w:rsid w:val="00BC0901"/>
    <w:rsid w:val="00BC0D52"/>
    <w:rsid w:val="00BC123C"/>
    <w:rsid w:val="00BC1659"/>
    <w:rsid w:val="00BC1ED9"/>
    <w:rsid w:val="00BC1F4B"/>
    <w:rsid w:val="00BC2AA9"/>
    <w:rsid w:val="00BC2BC3"/>
    <w:rsid w:val="00BC3F8A"/>
    <w:rsid w:val="00BC4940"/>
    <w:rsid w:val="00BC4C4B"/>
    <w:rsid w:val="00BC540B"/>
    <w:rsid w:val="00BC5A57"/>
    <w:rsid w:val="00BC5B89"/>
    <w:rsid w:val="00BC5EAD"/>
    <w:rsid w:val="00BC60D9"/>
    <w:rsid w:val="00BC66D9"/>
    <w:rsid w:val="00BC68D9"/>
    <w:rsid w:val="00BC7199"/>
    <w:rsid w:val="00BC7258"/>
    <w:rsid w:val="00BC7714"/>
    <w:rsid w:val="00BC7B46"/>
    <w:rsid w:val="00BC7C5A"/>
    <w:rsid w:val="00BD0178"/>
    <w:rsid w:val="00BD08FD"/>
    <w:rsid w:val="00BD0F27"/>
    <w:rsid w:val="00BD18D7"/>
    <w:rsid w:val="00BD2309"/>
    <w:rsid w:val="00BD235D"/>
    <w:rsid w:val="00BD25CD"/>
    <w:rsid w:val="00BD26D4"/>
    <w:rsid w:val="00BD2FB9"/>
    <w:rsid w:val="00BD36F8"/>
    <w:rsid w:val="00BD3787"/>
    <w:rsid w:val="00BD3846"/>
    <w:rsid w:val="00BD3C58"/>
    <w:rsid w:val="00BD3CF8"/>
    <w:rsid w:val="00BD3EF6"/>
    <w:rsid w:val="00BD3FB1"/>
    <w:rsid w:val="00BD4002"/>
    <w:rsid w:val="00BD449A"/>
    <w:rsid w:val="00BD4C25"/>
    <w:rsid w:val="00BD4D89"/>
    <w:rsid w:val="00BD4DD7"/>
    <w:rsid w:val="00BD4DE6"/>
    <w:rsid w:val="00BD5038"/>
    <w:rsid w:val="00BD5519"/>
    <w:rsid w:val="00BD5651"/>
    <w:rsid w:val="00BD5B84"/>
    <w:rsid w:val="00BD5BF0"/>
    <w:rsid w:val="00BD5D81"/>
    <w:rsid w:val="00BD6572"/>
    <w:rsid w:val="00BD678C"/>
    <w:rsid w:val="00BD6DEF"/>
    <w:rsid w:val="00BD7309"/>
    <w:rsid w:val="00BD7C33"/>
    <w:rsid w:val="00BE072A"/>
    <w:rsid w:val="00BE0AC3"/>
    <w:rsid w:val="00BE0B14"/>
    <w:rsid w:val="00BE0B9D"/>
    <w:rsid w:val="00BE0C54"/>
    <w:rsid w:val="00BE1375"/>
    <w:rsid w:val="00BE18FA"/>
    <w:rsid w:val="00BE1ADE"/>
    <w:rsid w:val="00BE1C19"/>
    <w:rsid w:val="00BE1CF2"/>
    <w:rsid w:val="00BE1F7E"/>
    <w:rsid w:val="00BE22B9"/>
    <w:rsid w:val="00BE2448"/>
    <w:rsid w:val="00BE2A42"/>
    <w:rsid w:val="00BE2BAE"/>
    <w:rsid w:val="00BE3178"/>
    <w:rsid w:val="00BE3609"/>
    <w:rsid w:val="00BE3D6C"/>
    <w:rsid w:val="00BE406F"/>
    <w:rsid w:val="00BE40C9"/>
    <w:rsid w:val="00BE416E"/>
    <w:rsid w:val="00BE4263"/>
    <w:rsid w:val="00BE49A5"/>
    <w:rsid w:val="00BE4B00"/>
    <w:rsid w:val="00BE4CE8"/>
    <w:rsid w:val="00BE4E39"/>
    <w:rsid w:val="00BE50EF"/>
    <w:rsid w:val="00BE55C5"/>
    <w:rsid w:val="00BE55DC"/>
    <w:rsid w:val="00BE5A72"/>
    <w:rsid w:val="00BE5ADF"/>
    <w:rsid w:val="00BE5B01"/>
    <w:rsid w:val="00BE5C44"/>
    <w:rsid w:val="00BE5C53"/>
    <w:rsid w:val="00BE6B31"/>
    <w:rsid w:val="00BE6F5B"/>
    <w:rsid w:val="00BE71BE"/>
    <w:rsid w:val="00BE7356"/>
    <w:rsid w:val="00BE7583"/>
    <w:rsid w:val="00BE7E19"/>
    <w:rsid w:val="00BE7FE1"/>
    <w:rsid w:val="00BF0877"/>
    <w:rsid w:val="00BF0A99"/>
    <w:rsid w:val="00BF14E7"/>
    <w:rsid w:val="00BF249E"/>
    <w:rsid w:val="00BF279D"/>
    <w:rsid w:val="00BF2813"/>
    <w:rsid w:val="00BF295F"/>
    <w:rsid w:val="00BF321E"/>
    <w:rsid w:val="00BF45D0"/>
    <w:rsid w:val="00BF54CF"/>
    <w:rsid w:val="00BF54E8"/>
    <w:rsid w:val="00BF5551"/>
    <w:rsid w:val="00BF5C90"/>
    <w:rsid w:val="00BF5CA4"/>
    <w:rsid w:val="00BF5CC1"/>
    <w:rsid w:val="00BF5FDA"/>
    <w:rsid w:val="00BF64DE"/>
    <w:rsid w:val="00BF650E"/>
    <w:rsid w:val="00BF690D"/>
    <w:rsid w:val="00BF69A1"/>
    <w:rsid w:val="00BF6AD9"/>
    <w:rsid w:val="00BF6B3A"/>
    <w:rsid w:val="00BF6F7B"/>
    <w:rsid w:val="00BF73DD"/>
    <w:rsid w:val="00BF75EE"/>
    <w:rsid w:val="00BF7963"/>
    <w:rsid w:val="00BF7E45"/>
    <w:rsid w:val="00C00986"/>
    <w:rsid w:val="00C00E4B"/>
    <w:rsid w:val="00C01106"/>
    <w:rsid w:val="00C02AC7"/>
    <w:rsid w:val="00C03063"/>
    <w:rsid w:val="00C0346B"/>
    <w:rsid w:val="00C03A7E"/>
    <w:rsid w:val="00C03F37"/>
    <w:rsid w:val="00C03FAD"/>
    <w:rsid w:val="00C04080"/>
    <w:rsid w:val="00C04B35"/>
    <w:rsid w:val="00C04C58"/>
    <w:rsid w:val="00C04F00"/>
    <w:rsid w:val="00C05733"/>
    <w:rsid w:val="00C05F16"/>
    <w:rsid w:val="00C0619B"/>
    <w:rsid w:val="00C06A61"/>
    <w:rsid w:val="00C06B6E"/>
    <w:rsid w:val="00C0713A"/>
    <w:rsid w:val="00C074E6"/>
    <w:rsid w:val="00C07725"/>
    <w:rsid w:val="00C104FC"/>
    <w:rsid w:val="00C1070C"/>
    <w:rsid w:val="00C1084B"/>
    <w:rsid w:val="00C109B1"/>
    <w:rsid w:val="00C10AC9"/>
    <w:rsid w:val="00C11917"/>
    <w:rsid w:val="00C11962"/>
    <w:rsid w:val="00C11C78"/>
    <w:rsid w:val="00C1263C"/>
    <w:rsid w:val="00C127A3"/>
    <w:rsid w:val="00C1388C"/>
    <w:rsid w:val="00C13E8F"/>
    <w:rsid w:val="00C13F38"/>
    <w:rsid w:val="00C140BC"/>
    <w:rsid w:val="00C146A9"/>
    <w:rsid w:val="00C14921"/>
    <w:rsid w:val="00C1497C"/>
    <w:rsid w:val="00C1499C"/>
    <w:rsid w:val="00C14B65"/>
    <w:rsid w:val="00C156A1"/>
    <w:rsid w:val="00C15ADD"/>
    <w:rsid w:val="00C15C18"/>
    <w:rsid w:val="00C15F5C"/>
    <w:rsid w:val="00C1628D"/>
    <w:rsid w:val="00C1637C"/>
    <w:rsid w:val="00C16429"/>
    <w:rsid w:val="00C16562"/>
    <w:rsid w:val="00C166DD"/>
    <w:rsid w:val="00C16EA4"/>
    <w:rsid w:val="00C17C17"/>
    <w:rsid w:val="00C2014E"/>
    <w:rsid w:val="00C20683"/>
    <w:rsid w:val="00C20B99"/>
    <w:rsid w:val="00C21981"/>
    <w:rsid w:val="00C21BC5"/>
    <w:rsid w:val="00C21D1C"/>
    <w:rsid w:val="00C225FB"/>
    <w:rsid w:val="00C22733"/>
    <w:rsid w:val="00C228FB"/>
    <w:rsid w:val="00C22AFF"/>
    <w:rsid w:val="00C22FC5"/>
    <w:rsid w:val="00C22FD2"/>
    <w:rsid w:val="00C23404"/>
    <w:rsid w:val="00C24BE9"/>
    <w:rsid w:val="00C24C4F"/>
    <w:rsid w:val="00C25661"/>
    <w:rsid w:val="00C25726"/>
    <w:rsid w:val="00C25F59"/>
    <w:rsid w:val="00C26272"/>
    <w:rsid w:val="00C26276"/>
    <w:rsid w:val="00C266E3"/>
    <w:rsid w:val="00C26AD6"/>
    <w:rsid w:val="00C26DE3"/>
    <w:rsid w:val="00C27012"/>
    <w:rsid w:val="00C270A3"/>
    <w:rsid w:val="00C27523"/>
    <w:rsid w:val="00C27604"/>
    <w:rsid w:val="00C300A2"/>
    <w:rsid w:val="00C300DC"/>
    <w:rsid w:val="00C300E3"/>
    <w:rsid w:val="00C304DD"/>
    <w:rsid w:val="00C3052E"/>
    <w:rsid w:val="00C30990"/>
    <w:rsid w:val="00C30E50"/>
    <w:rsid w:val="00C31773"/>
    <w:rsid w:val="00C31863"/>
    <w:rsid w:val="00C31BD8"/>
    <w:rsid w:val="00C32B16"/>
    <w:rsid w:val="00C32CB4"/>
    <w:rsid w:val="00C33497"/>
    <w:rsid w:val="00C3489E"/>
    <w:rsid w:val="00C351ED"/>
    <w:rsid w:val="00C353C9"/>
    <w:rsid w:val="00C353F9"/>
    <w:rsid w:val="00C35B47"/>
    <w:rsid w:val="00C365D4"/>
    <w:rsid w:val="00C365D6"/>
    <w:rsid w:val="00C365E5"/>
    <w:rsid w:val="00C3665C"/>
    <w:rsid w:val="00C36DB4"/>
    <w:rsid w:val="00C373D6"/>
    <w:rsid w:val="00C37746"/>
    <w:rsid w:val="00C377FE"/>
    <w:rsid w:val="00C37C5E"/>
    <w:rsid w:val="00C40C26"/>
    <w:rsid w:val="00C4101B"/>
    <w:rsid w:val="00C42899"/>
    <w:rsid w:val="00C43180"/>
    <w:rsid w:val="00C4332B"/>
    <w:rsid w:val="00C43ECD"/>
    <w:rsid w:val="00C44377"/>
    <w:rsid w:val="00C443E1"/>
    <w:rsid w:val="00C44B86"/>
    <w:rsid w:val="00C44C2C"/>
    <w:rsid w:val="00C44E77"/>
    <w:rsid w:val="00C451B5"/>
    <w:rsid w:val="00C45349"/>
    <w:rsid w:val="00C45A08"/>
    <w:rsid w:val="00C45A36"/>
    <w:rsid w:val="00C45EB6"/>
    <w:rsid w:val="00C466DD"/>
    <w:rsid w:val="00C472D5"/>
    <w:rsid w:val="00C47362"/>
    <w:rsid w:val="00C5034E"/>
    <w:rsid w:val="00C50B17"/>
    <w:rsid w:val="00C50D48"/>
    <w:rsid w:val="00C50D67"/>
    <w:rsid w:val="00C50EC7"/>
    <w:rsid w:val="00C50FAD"/>
    <w:rsid w:val="00C51164"/>
    <w:rsid w:val="00C51656"/>
    <w:rsid w:val="00C519FC"/>
    <w:rsid w:val="00C5201F"/>
    <w:rsid w:val="00C52150"/>
    <w:rsid w:val="00C52AF7"/>
    <w:rsid w:val="00C52BBA"/>
    <w:rsid w:val="00C5306E"/>
    <w:rsid w:val="00C5347E"/>
    <w:rsid w:val="00C537E8"/>
    <w:rsid w:val="00C538D6"/>
    <w:rsid w:val="00C53901"/>
    <w:rsid w:val="00C53C4A"/>
    <w:rsid w:val="00C549B9"/>
    <w:rsid w:val="00C5504A"/>
    <w:rsid w:val="00C55280"/>
    <w:rsid w:val="00C5574A"/>
    <w:rsid w:val="00C55CB1"/>
    <w:rsid w:val="00C56AB7"/>
    <w:rsid w:val="00C574DA"/>
    <w:rsid w:val="00C60141"/>
    <w:rsid w:val="00C61B54"/>
    <w:rsid w:val="00C61C3E"/>
    <w:rsid w:val="00C61D72"/>
    <w:rsid w:val="00C62166"/>
    <w:rsid w:val="00C62A21"/>
    <w:rsid w:val="00C63093"/>
    <w:rsid w:val="00C6352B"/>
    <w:rsid w:val="00C6362A"/>
    <w:rsid w:val="00C63E88"/>
    <w:rsid w:val="00C63FE2"/>
    <w:rsid w:val="00C641E3"/>
    <w:rsid w:val="00C64440"/>
    <w:rsid w:val="00C64510"/>
    <w:rsid w:val="00C65089"/>
    <w:rsid w:val="00C650B6"/>
    <w:rsid w:val="00C65535"/>
    <w:rsid w:val="00C662B0"/>
    <w:rsid w:val="00C66365"/>
    <w:rsid w:val="00C66551"/>
    <w:rsid w:val="00C66820"/>
    <w:rsid w:val="00C66AC7"/>
    <w:rsid w:val="00C66C6C"/>
    <w:rsid w:val="00C670C0"/>
    <w:rsid w:val="00C67298"/>
    <w:rsid w:val="00C67467"/>
    <w:rsid w:val="00C67495"/>
    <w:rsid w:val="00C702CE"/>
    <w:rsid w:val="00C704FE"/>
    <w:rsid w:val="00C70733"/>
    <w:rsid w:val="00C70A2E"/>
    <w:rsid w:val="00C70DA9"/>
    <w:rsid w:val="00C71797"/>
    <w:rsid w:val="00C71991"/>
    <w:rsid w:val="00C71E31"/>
    <w:rsid w:val="00C71E97"/>
    <w:rsid w:val="00C722F3"/>
    <w:rsid w:val="00C7261B"/>
    <w:rsid w:val="00C72743"/>
    <w:rsid w:val="00C740C2"/>
    <w:rsid w:val="00C74392"/>
    <w:rsid w:val="00C74640"/>
    <w:rsid w:val="00C74692"/>
    <w:rsid w:val="00C75023"/>
    <w:rsid w:val="00C750DF"/>
    <w:rsid w:val="00C75680"/>
    <w:rsid w:val="00C756CC"/>
    <w:rsid w:val="00C757C3"/>
    <w:rsid w:val="00C75F66"/>
    <w:rsid w:val="00C7639E"/>
    <w:rsid w:val="00C765DA"/>
    <w:rsid w:val="00C766B3"/>
    <w:rsid w:val="00C76843"/>
    <w:rsid w:val="00C76DA0"/>
    <w:rsid w:val="00C76DB4"/>
    <w:rsid w:val="00C7700F"/>
    <w:rsid w:val="00C770DE"/>
    <w:rsid w:val="00C77664"/>
    <w:rsid w:val="00C77762"/>
    <w:rsid w:val="00C77F60"/>
    <w:rsid w:val="00C80492"/>
    <w:rsid w:val="00C8049D"/>
    <w:rsid w:val="00C80743"/>
    <w:rsid w:val="00C80AD3"/>
    <w:rsid w:val="00C80BE1"/>
    <w:rsid w:val="00C80E3D"/>
    <w:rsid w:val="00C80F98"/>
    <w:rsid w:val="00C81101"/>
    <w:rsid w:val="00C814E2"/>
    <w:rsid w:val="00C81767"/>
    <w:rsid w:val="00C82303"/>
    <w:rsid w:val="00C83102"/>
    <w:rsid w:val="00C8354F"/>
    <w:rsid w:val="00C83AD3"/>
    <w:rsid w:val="00C83AFC"/>
    <w:rsid w:val="00C83C72"/>
    <w:rsid w:val="00C83E5D"/>
    <w:rsid w:val="00C850B6"/>
    <w:rsid w:val="00C857A1"/>
    <w:rsid w:val="00C85A3B"/>
    <w:rsid w:val="00C862AB"/>
    <w:rsid w:val="00C86370"/>
    <w:rsid w:val="00C86983"/>
    <w:rsid w:val="00C86E61"/>
    <w:rsid w:val="00C87247"/>
    <w:rsid w:val="00C87C59"/>
    <w:rsid w:val="00C87E8C"/>
    <w:rsid w:val="00C87F36"/>
    <w:rsid w:val="00C90100"/>
    <w:rsid w:val="00C907B5"/>
    <w:rsid w:val="00C9081C"/>
    <w:rsid w:val="00C90D2B"/>
    <w:rsid w:val="00C90EF1"/>
    <w:rsid w:val="00C918A7"/>
    <w:rsid w:val="00C92454"/>
    <w:rsid w:val="00C924B1"/>
    <w:rsid w:val="00C927D7"/>
    <w:rsid w:val="00C929E5"/>
    <w:rsid w:val="00C92AB4"/>
    <w:rsid w:val="00C92C64"/>
    <w:rsid w:val="00C92F52"/>
    <w:rsid w:val="00C92FA2"/>
    <w:rsid w:val="00C92FC5"/>
    <w:rsid w:val="00C930CE"/>
    <w:rsid w:val="00C93267"/>
    <w:rsid w:val="00C9426F"/>
    <w:rsid w:val="00C94319"/>
    <w:rsid w:val="00C94A25"/>
    <w:rsid w:val="00C94AE5"/>
    <w:rsid w:val="00C952AB"/>
    <w:rsid w:val="00C9589B"/>
    <w:rsid w:val="00C95D71"/>
    <w:rsid w:val="00C96CF3"/>
    <w:rsid w:val="00C9723C"/>
    <w:rsid w:val="00C978B3"/>
    <w:rsid w:val="00C97FAF"/>
    <w:rsid w:val="00CA02B3"/>
    <w:rsid w:val="00CA0A6A"/>
    <w:rsid w:val="00CA0B59"/>
    <w:rsid w:val="00CA1006"/>
    <w:rsid w:val="00CA11A4"/>
    <w:rsid w:val="00CA16E1"/>
    <w:rsid w:val="00CA170F"/>
    <w:rsid w:val="00CA1961"/>
    <w:rsid w:val="00CA1A56"/>
    <w:rsid w:val="00CA1A87"/>
    <w:rsid w:val="00CA1D15"/>
    <w:rsid w:val="00CA20C6"/>
    <w:rsid w:val="00CA2A3F"/>
    <w:rsid w:val="00CA2D16"/>
    <w:rsid w:val="00CA3B20"/>
    <w:rsid w:val="00CA41CF"/>
    <w:rsid w:val="00CA444A"/>
    <w:rsid w:val="00CA546B"/>
    <w:rsid w:val="00CA5C37"/>
    <w:rsid w:val="00CA64A4"/>
    <w:rsid w:val="00CB02C8"/>
    <w:rsid w:val="00CB0419"/>
    <w:rsid w:val="00CB0658"/>
    <w:rsid w:val="00CB079A"/>
    <w:rsid w:val="00CB086D"/>
    <w:rsid w:val="00CB233F"/>
    <w:rsid w:val="00CB2E0D"/>
    <w:rsid w:val="00CB3407"/>
    <w:rsid w:val="00CB411E"/>
    <w:rsid w:val="00CB428C"/>
    <w:rsid w:val="00CB4B62"/>
    <w:rsid w:val="00CB53D8"/>
    <w:rsid w:val="00CB5768"/>
    <w:rsid w:val="00CB5F14"/>
    <w:rsid w:val="00CB633A"/>
    <w:rsid w:val="00CB65BA"/>
    <w:rsid w:val="00CB67B4"/>
    <w:rsid w:val="00CB6A80"/>
    <w:rsid w:val="00CB75FF"/>
    <w:rsid w:val="00CB789D"/>
    <w:rsid w:val="00CC0677"/>
    <w:rsid w:val="00CC091D"/>
    <w:rsid w:val="00CC0C48"/>
    <w:rsid w:val="00CC0EA5"/>
    <w:rsid w:val="00CC0EDA"/>
    <w:rsid w:val="00CC121C"/>
    <w:rsid w:val="00CC1376"/>
    <w:rsid w:val="00CC13F8"/>
    <w:rsid w:val="00CC1527"/>
    <w:rsid w:val="00CC199D"/>
    <w:rsid w:val="00CC1B38"/>
    <w:rsid w:val="00CC263E"/>
    <w:rsid w:val="00CC2CEC"/>
    <w:rsid w:val="00CC2DAE"/>
    <w:rsid w:val="00CC2E51"/>
    <w:rsid w:val="00CC3DA5"/>
    <w:rsid w:val="00CC4626"/>
    <w:rsid w:val="00CC4A21"/>
    <w:rsid w:val="00CC5055"/>
    <w:rsid w:val="00CC5880"/>
    <w:rsid w:val="00CC616A"/>
    <w:rsid w:val="00CC7851"/>
    <w:rsid w:val="00CC7AC4"/>
    <w:rsid w:val="00CD008C"/>
    <w:rsid w:val="00CD0390"/>
    <w:rsid w:val="00CD07F3"/>
    <w:rsid w:val="00CD1A19"/>
    <w:rsid w:val="00CD23DC"/>
    <w:rsid w:val="00CD2610"/>
    <w:rsid w:val="00CD29C1"/>
    <w:rsid w:val="00CD2C84"/>
    <w:rsid w:val="00CD3382"/>
    <w:rsid w:val="00CD3C90"/>
    <w:rsid w:val="00CD3CFC"/>
    <w:rsid w:val="00CD3E24"/>
    <w:rsid w:val="00CD5105"/>
    <w:rsid w:val="00CD60E0"/>
    <w:rsid w:val="00CD752E"/>
    <w:rsid w:val="00CD7C20"/>
    <w:rsid w:val="00CE176A"/>
    <w:rsid w:val="00CE1B11"/>
    <w:rsid w:val="00CE1C73"/>
    <w:rsid w:val="00CE235E"/>
    <w:rsid w:val="00CE23EE"/>
    <w:rsid w:val="00CE2D4C"/>
    <w:rsid w:val="00CE3175"/>
    <w:rsid w:val="00CE424A"/>
    <w:rsid w:val="00CE4418"/>
    <w:rsid w:val="00CE45D3"/>
    <w:rsid w:val="00CE4613"/>
    <w:rsid w:val="00CE4A3E"/>
    <w:rsid w:val="00CE4B79"/>
    <w:rsid w:val="00CE55AB"/>
    <w:rsid w:val="00CE57E2"/>
    <w:rsid w:val="00CE629C"/>
    <w:rsid w:val="00CE6B74"/>
    <w:rsid w:val="00CE6D10"/>
    <w:rsid w:val="00CE7437"/>
    <w:rsid w:val="00CF0166"/>
    <w:rsid w:val="00CF02B1"/>
    <w:rsid w:val="00CF0576"/>
    <w:rsid w:val="00CF0952"/>
    <w:rsid w:val="00CF1947"/>
    <w:rsid w:val="00CF1A9F"/>
    <w:rsid w:val="00CF1D32"/>
    <w:rsid w:val="00CF1EC4"/>
    <w:rsid w:val="00CF23E6"/>
    <w:rsid w:val="00CF2E88"/>
    <w:rsid w:val="00CF3208"/>
    <w:rsid w:val="00CF37BD"/>
    <w:rsid w:val="00CF3B12"/>
    <w:rsid w:val="00CF3C9A"/>
    <w:rsid w:val="00CF4D1E"/>
    <w:rsid w:val="00CF4DA7"/>
    <w:rsid w:val="00CF5823"/>
    <w:rsid w:val="00CF605F"/>
    <w:rsid w:val="00CF6487"/>
    <w:rsid w:val="00CF66D3"/>
    <w:rsid w:val="00CF67A6"/>
    <w:rsid w:val="00CF6AE1"/>
    <w:rsid w:val="00CF6EB2"/>
    <w:rsid w:val="00CF6F6E"/>
    <w:rsid w:val="00CF76FB"/>
    <w:rsid w:val="00CF79E6"/>
    <w:rsid w:val="00CF7DB4"/>
    <w:rsid w:val="00D0021B"/>
    <w:rsid w:val="00D00463"/>
    <w:rsid w:val="00D006E2"/>
    <w:rsid w:val="00D00730"/>
    <w:rsid w:val="00D012D7"/>
    <w:rsid w:val="00D01316"/>
    <w:rsid w:val="00D0198A"/>
    <w:rsid w:val="00D0200D"/>
    <w:rsid w:val="00D021AA"/>
    <w:rsid w:val="00D021FA"/>
    <w:rsid w:val="00D02483"/>
    <w:rsid w:val="00D032CD"/>
    <w:rsid w:val="00D034E5"/>
    <w:rsid w:val="00D0350D"/>
    <w:rsid w:val="00D03524"/>
    <w:rsid w:val="00D03721"/>
    <w:rsid w:val="00D037DB"/>
    <w:rsid w:val="00D03EE3"/>
    <w:rsid w:val="00D04576"/>
    <w:rsid w:val="00D05A13"/>
    <w:rsid w:val="00D05C15"/>
    <w:rsid w:val="00D05D04"/>
    <w:rsid w:val="00D06050"/>
    <w:rsid w:val="00D06884"/>
    <w:rsid w:val="00D06B74"/>
    <w:rsid w:val="00D06F6D"/>
    <w:rsid w:val="00D073AB"/>
    <w:rsid w:val="00D0769F"/>
    <w:rsid w:val="00D077ED"/>
    <w:rsid w:val="00D07E89"/>
    <w:rsid w:val="00D07EAF"/>
    <w:rsid w:val="00D105B1"/>
    <w:rsid w:val="00D10854"/>
    <w:rsid w:val="00D10A75"/>
    <w:rsid w:val="00D11035"/>
    <w:rsid w:val="00D1164A"/>
    <w:rsid w:val="00D11B65"/>
    <w:rsid w:val="00D11B72"/>
    <w:rsid w:val="00D1200E"/>
    <w:rsid w:val="00D12714"/>
    <w:rsid w:val="00D1291E"/>
    <w:rsid w:val="00D13260"/>
    <w:rsid w:val="00D13591"/>
    <w:rsid w:val="00D1453F"/>
    <w:rsid w:val="00D14AE2"/>
    <w:rsid w:val="00D153CF"/>
    <w:rsid w:val="00D15C37"/>
    <w:rsid w:val="00D1635D"/>
    <w:rsid w:val="00D16490"/>
    <w:rsid w:val="00D16A01"/>
    <w:rsid w:val="00D17021"/>
    <w:rsid w:val="00D170EA"/>
    <w:rsid w:val="00D17FDD"/>
    <w:rsid w:val="00D2011B"/>
    <w:rsid w:val="00D201D7"/>
    <w:rsid w:val="00D2020A"/>
    <w:rsid w:val="00D20480"/>
    <w:rsid w:val="00D20A32"/>
    <w:rsid w:val="00D21319"/>
    <w:rsid w:val="00D2168E"/>
    <w:rsid w:val="00D2192D"/>
    <w:rsid w:val="00D21D77"/>
    <w:rsid w:val="00D223FD"/>
    <w:rsid w:val="00D23265"/>
    <w:rsid w:val="00D233BB"/>
    <w:rsid w:val="00D2345C"/>
    <w:rsid w:val="00D2418A"/>
    <w:rsid w:val="00D245CD"/>
    <w:rsid w:val="00D24639"/>
    <w:rsid w:val="00D247F2"/>
    <w:rsid w:val="00D24EFA"/>
    <w:rsid w:val="00D2584C"/>
    <w:rsid w:val="00D25895"/>
    <w:rsid w:val="00D25BAB"/>
    <w:rsid w:val="00D25C35"/>
    <w:rsid w:val="00D261C2"/>
    <w:rsid w:val="00D262F7"/>
    <w:rsid w:val="00D2702C"/>
    <w:rsid w:val="00D27043"/>
    <w:rsid w:val="00D270D3"/>
    <w:rsid w:val="00D2727A"/>
    <w:rsid w:val="00D273FE"/>
    <w:rsid w:val="00D276D9"/>
    <w:rsid w:val="00D30188"/>
    <w:rsid w:val="00D306F0"/>
    <w:rsid w:val="00D308A7"/>
    <w:rsid w:val="00D30CDC"/>
    <w:rsid w:val="00D314CA"/>
    <w:rsid w:val="00D315BA"/>
    <w:rsid w:val="00D31A04"/>
    <w:rsid w:val="00D31A25"/>
    <w:rsid w:val="00D31D93"/>
    <w:rsid w:val="00D31E8A"/>
    <w:rsid w:val="00D323FF"/>
    <w:rsid w:val="00D32594"/>
    <w:rsid w:val="00D33D94"/>
    <w:rsid w:val="00D33FBF"/>
    <w:rsid w:val="00D341C4"/>
    <w:rsid w:val="00D341CF"/>
    <w:rsid w:val="00D34607"/>
    <w:rsid w:val="00D3474E"/>
    <w:rsid w:val="00D34D1F"/>
    <w:rsid w:val="00D353BF"/>
    <w:rsid w:val="00D3556A"/>
    <w:rsid w:val="00D35645"/>
    <w:rsid w:val="00D359A0"/>
    <w:rsid w:val="00D35CF8"/>
    <w:rsid w:val="00D36067"/>
    <w:rsid w:val="00D360F7"/>
    <w:rsid w:val="00D361D3"/>
    <w:rsid w:val="00D36489"/>
    <w:rsid w:val="00D36F07"/>
    <w:rsid w:val="00D3717E"/>
    <w:rsid w:val="00D37399"/>
    <w:rsid w:val="00D373E4"/>
    <w:rsid w:val="00D37419"/>
    <w:rsid w:val="00D37569"/>
    <w:rsid w:val="00D37796"/>
    <w:rsid w:val="00D404B9"/>
    <w:rsid w:val="00D40876"/>
    <w:rsid w:val="00D40CCF"/>
    <w:rsid w:val="00D4114E"/>
    <w:rsid w:val="00D4150A"/>
    <w:rsid w:val="00D418C5"/>
    <w:rsid w:val="00D418F9"/>
    <w:rsid w:val="00D4197A"/>
    <w:rsid w:val="00D41C0D"/>
    <w:rsid w:val="00D41D3C"/>
    <w:rsid w:val="00D42DC6"/>
    <w:rsid w:val="00D431AE"/>
    <w:rsid w:val="00D432EA"/>
    <w:rsid w:val="00D4362B"/>
    <w:rsid w:val="00D43DDF"/>
    <w:rsid w:val="00D44244"/>
    <w:rsid w:val="00D4430E"/>
    <w:rsid w:val="00D44325"/>
    <w:rsid w:val="00D44B41"/>
    <w:rsid w:val="00D44E57"/>
    <w:rsid w:val="00D45110"/>
    <w:rsid w:val="00D4523B"/>
    <w:rsid w:val="00D4625B"/>
    <w:rsid w:val="00D46A7E"/>
    <w:rsid w:val="00D47738"/>
    <w:rsid w:val="00D50775"/>
    <w:rsid w:val="00D50D2C"/>
    <w:rsid w:val="00D50DC2"/>
    <w:rsid w:val="00D5148F"/>
    <w:rsid w:val="00D520A2"/>
    <w:rsid w:val="00D52517"/>
    <w:rsid w:val="00D5292B"/>
    <w:rsid w:val="00D52ED1"/>
    <w:rsid w:val="00D53651"/>
    <w:rsid w:val="00D541AE"/>
    <w:rsid w:val="00D5461A"/>
    <w:rsid w:val="00D54975"/>
    <w:rsid w:val="00D54A38"/>
    <w:rsid w:val="00D54D05"/>
    <w:rsid w:val="00D55C43"/>
    <w:rsid w:val="00D56476"/>
    <w:rsid w:val="00D56482"/>
    <w:rsid w:val="00D57E26"/>
    <w:rsid w:val="00D600EE"/>
    <w:rsid w:val="00D60191"/>
    <w:rsid w:val="00D60194"/>
    <w:rsid w:val="00D6030E"/>
    <w:rsid w:val="00D606BD"/>
    <w:rsid w:val="00D6162E"/>
    <w:rsid w:val="00D61B3E"/>
    <w:rsid w:val="00D625B0"/>
    <w:rsid w:val="00D626D4"/>
    <w:rsid w:val="00D62774"/>
    <w:rsid w:val="00D62990"/>
    <w:rsid w:val="00D63042"/>
    <w:rsid w:val="00D645BA"/>
    <w:rsid w:val="00D645D9"/>
    <w:rsid w:val="00D64876"/>
    <w:rsid w:val="00D657A2"/>
    <w:rsid w:val="00D65AF6"/>
    <w:rsid w:val="00D66478"/>
    <w:rsid w:val="00D664F8"/>
    <w:rsid w:val="00D666B1"/>
    <w:rsid w:val="00D668B9"/>
    <w:rsid w:val="00D67092"/>
    <w:rsid w:val="00D677B8"/>
    <w:rsid w:val="00D70351"/>
    <w:rsid w:val="00D71191"/>
    <w:rsid w:val="00D7179B"/>
    <w:rsid w:val="00D719BF"/>
    <w:rsid w:val="00D71A47"/>
    <w:rsid w:val="00D72696"/>
    <w:rsid w:val="00D72CF3"/>
    <w:rsid w:val="00D72D22"/>
    <w:rsid w:val="00D72ED0"/>
    <w:rsid w:val="00D731D0"/>
    <w:rsid w:val="00D7338F"/>
    <w:rsid w:val="00D737EA"/>
    <w:rsid w:val="00D74293"/>
    <w:rsid w:val="00D74B6E"/>
    <w:rsid w:val="00D74CCB"/>
    <w:rsid w:val="00D7562D"/>
    <w:rsid w:val="00D75F30"/>
    <w:rsid w:val="00D7650B"/>
    <w:rsid w:val="00D76F16"/>
    <w:rsid w:val="00D772C7"/>
    <w:rsid w:val="00D7738B"/>
    <w:rsid w:val="00D77DB3"/>
    <w:rsid w:val="00D80166"/>
    <w:rsid w:val="00D808F3"/>
    <w:rsid w:val="00D80BDF"/>
    <w:rsid w:val="00D82A73"/>
    <w:rsid w:val="00D82C86"/>
    <w:rsid w:val="00D83411"/>
    <w:rsid w:val="00D83878"/>
    <w:rsid w:val="00D83F12"/>
    <w:rsid w:val="00D84920"/>
    <w:rsid w:val="00D8493E"/>
    <w:rsid w:val="00D84DA8"/>
    <w:rsid w:val="00D85235"/>
    <w:rsid w:val="00D85556"/>
    <w:rsid w:val="00D856DA"/>
    <w:rsid w:val="00D85F09"/>
    <w:rsid w:val="00D86B37"/>
    <w:rsid w:val="00D86F58"/>
    <w:rsid w:val="00D87065"/>
    <w:rsid w:val="00D87267"/>
    <w:rsid w:val="00D87CA8"/>
    <w:rsid w:val="00D9022B"/>
    <w:rsid w:val="00D9038E"/>
    <w:rsid w:val="00D915BE"/>
    <w:rsid w:val="00D91A7F"/>
    <w:rsid w:val="00D91C68"/>
    <w:rsid w:val="00D91E89"/>
    <w:rsid w:val="00D91EB6"/>
    <w:rsid w:val="00D92118"/>
    <w:rsid w:val="00D921CC"/>
    <w:rsid w:val="00D92488"/>
    <w:rsid w:val="00D9259D"/>
    <w:rsid w:val="00D92D3C"/>
    <w:rsid w:val="00D93198"/>
    <w:rsid w:val="00D932E0"/>
    <w:rsid w:val="00D93300"/>
    <w:rsid w:val="00D9482E"/>
    <w:rsid w:val="00D950C3"/>
    <w:rsid w:val="00D958D1"/>
    <w:rsid w:val="00D96346"/>
    <w:rsid w:val="00D9647F"/>
    <w:rsid w:val="00D96651"/>
    <w:rsid w:val="00D96758"/>
    <w:rsid w:val="00D96A7B"/>
    <w:rsid w:val="00D96B05"/>
    <w:rsid w:val="00D96BB9"/>
    <w:rsid w:val="00D96EA2"/>
    <w:rsid w:val="00D96F63"/>
    <w:rsid w:val="00D972A0"/>
    <w:rsid w:val="00D97876"/>
    <w:rsid w:val="00DA01D2"/>
    <w:rsid w:val="00DA0360"/>
    <w:rsid w:val="00DA0DE0"/>
    <w:rsid w:val="00DA0FE0"/>
    <w:rsid w:val="00DA17A9"/>
    <w:rsid w:val="00DA1BFA"/>
    <w:rsid w:val="00DA1BFE"/>
    <w:rsid w:val="00DA1F38"/>
    <w:rsid w:val="00DA1FB0"/>
    <w:rsid w:val="00DA2295"/>
    <w:rsid w:val="00DA25F6"/>
    <w:rsid w:val="00DA2795"/>
    <w:rsid w:val="00DA2959"/>
    <w:rsid w:val="00DA2D80"/>
    <w:rsid w:val="00DA3416"/>
    <w:rsid w:val="00DA3DF3"/>
    <w:rsid w:val="00DA416A"/>
    <w:rsid w:val="00DA48A4"/>
    <w:rsid w:val="00DA5A7B"/>
    <w:rsid w:val="00DA5C33"/>
    <w:rsid w:val="00DA5F20"/>
    <w:rsid w:val="00DA5F9F"/>
    <w:rsid w:val="00DA61A0"/>
    <w:rsid w:val="00DA643C"/>
    <w:rsid w:val="00DA6D6A"/>
    <w:rsid w:val="00DA6E88"/>
    <w:rsid w:val="00DB05FD"/>
    <w:rsid w:val="00DB103E"/>
    <w:rsid w:val="00DB1635"/>
    <w:rsid w:val="00DB1BA1"/>
    <w:rsid w:val="00DB215C"/>
    <w:rsid w:val="00DB262A"/>
    <w:rsid w:val="00DB3037"/>
    <w:rsid w:val="00DB3211"/>
    <w:rsid w:val="00DB3B7C"/>
    <w:rsid w:val="00DB42C4"/>
    <w:rsid w:val="00DB4493"/>
    <w:rsid w:val="00DB47BA"/>
    <w:rsid w:val="00DB4FB7"/>
    <w:rsid w:val="00DB52B7"/>
    <w:rsid w:val="00DB549E"/>
    <w:rsid w:val="00DB557F"/>
    <w:rsid w:val="00DB55C1"/>
    <w:rsid w:val="00DB5911"/>
    <w:rsid w:val="00DB5E0B"/>
    <w:rsid w:val="00DB6129"/>
    <w:rsid w:val="00DB622B"/>
    <w:rsid w:val="00DB63FE"/>
    <w:rsid w:val="00DB692A"/>
    <w:rsid w:val="00DB6DEB"/>
    <w:rsid w:val="00DB6F48"/>
    <w:rsid w:val="00DB72AF"/>
    <w:rsid w:val="00DB72BE"/>
    <w:rsid w:val="00DB75A3"/>
    <w:rsid w:val="00DB7C75"/>
    <w:rsid w:val="00DB7F5C"/>
    <w:rsid w:val="00DC09A3"/>
    <w:rsid w:val="00DC0D48"/>
    <w:rsid w:val="00DC0E1A"/>
    <w:rsid w:val="00DC167C"/>
    <w:rsid w:val="00DC18EE"/>
    <w:rsid w:val="00DC1EDC"/>
    <w:rsid w:val="00DC1F4A"/>
    <w:rsid w:val="00DC2143"/>
    <w:rsid w:val="00DC2290"/>
    <w:rsid w:val="00DC28B0"/>
    <w:rsid w:val="00DC2CA4"/>
    <w:rsid w:val="00DC2DEF"/>
    <w:rsid w:val="00DC3141"/>
    <w:rsid w:val="00DC334E"/>
    <w:rsid w:val="00DC37B6"/>
    <w:rsid w:val="00DC3D0B"/>
    <w:rsid w:val="00DC3E3B"/>
    <w:rsid w:val="00DC455B"/>
    <w:rsid w:val="00DC5476"/>
    <w:rsid w:val="00DC6206"/>
    <w:rsid w:val="00DC636F"/>
    <w:rsid w:val="00DC6992"/>
    <w:rsid w:val="00DC74E5"/>
    <w:rsid w:val="00DC7825"/>
    <w:rsid w:val="00DC7A6B"/>
    <w:rsid w:val="00DD0089"/>
    <w:rsid w:val="00DD0215"/>
    <w:rsid w:val="00DD0479"/>
    <w:rsid w:val="00DD193D"/>
    <w:rsid w:val="00DD1C02"/>
    <w:rsid w:val="00DD1DDF"/>
    <w:rsid w:val="00DD2001"/>
    <w:rsid w:val="00DD2186"/>
    <w:rsid w:val="00DD26EB"/>
    <w:rsid w:val="00DD30C1"/>
    <w:rsid w:val="00DD331B"/>
    <w:rsid w:val="00DD35C6"/>
    <w:rsid w:val="00DD3718"/>
    <w:rsid w:val="00DD375A"/>
    <w:rsid w:val="00DD4076"/>
    <w:rsid w:val="00DD4376"/>
    <w:rsid w:val="00DD4B09"/>
    <w:rsid w:val="00DD4CC3"/>
    <w:rsid w:val="00DD4E98"/>
    <w:rsid w:val="00DD52A0"/>
    <w:rsid w:val="00DD5841"/>
    <w:rsid w:val="00DD65E8"/>
    <w:rsid w:val="00DD69F0"/>
    <w:rsid w:val="00DD6BAE"/>
    <w:rsid w:val="00DD6F7F"/>
    <w:rsid w:val="00DD6F87"/>
    <w:rsid w:val="00DD7B28"/>
    <w:rsid w:val="00DD7F12"/>
    <w:rsid w:val="00DD7F1E"/>
    <w:rsid w:val="00DE02C9"/>
    <w:rsid w:val="00DE0704"/>
    <w:rsid w:val="00DE1140"/>
    <w:rsid w:val="00DE116C"/>
    <w:rsid w:val="00DE1772"/>
    <w:rsid w:val="00DE1D5A"/>
    <w:rsid w:val="00DE1F1B"/>
    <w:rsid w:val="00DE285E"/>
    <w:rsid w:val="00DE5F11"/>
    <w:rsid w:val="00DE5F33"/>
    <w:rsid w:val="00DE6548"/>
    <w:rsid w:val="00DE6B82"/>
    <w:rsid w:val="00DE6CDA"/>
    <w:rsid w:val="00DE6F9D"/>
    <w:rsid w:val="00DE6FF8"/>
    <w:rsid w:val="00DE738F"/>
    <w:rsid w:val="00DE7561"/>
    <w:rsid w:val="00DE79DF"/>
    <w:rsid w:val="00DE7CAC"/>
    <w:rsid w:val="00DE7F5A"/>
    <w:rsid w:val="00DF08ED"/>
    <w:rsid w:val="00DF0B05"/>
    <w:rsid w:val="00DF0F0B"/>
    <w:rsid w:val="00DF127D"/>
    <w:rsid w:val="00DF1DB8"/>
    <w:rsid w:val="00DF2702"/>
    <w:rsid w:val="00DF2AA5"/>
    <w:rsid w:val="00DF2BE7"/>
    <w:rsid w:val="00DF3366"/>
    <w:rsid w:val="00DF3516"/>
    <w:rsid w:val="00DF3B37"/>
    <w:rsid w:val="00DF3B5C"/>
    <w:rsid w:val="00DF473B"/>
    <w:rsid w:val="00DF48B6"/>
    <w:rsid w:val="00DF4B8A"/>
    <w:rsid w:val="00DF4DC0"/>
    <w:rsid w:val="00DF5071"/>
    <w:rsid w:val="00DF50FD"/>
    <w:rsid w:val="00DF541F"/>
    <w:rsid w:val="00DF5447"/>
    <w:rsid w:val="00DF548A"/>
    <w:rsid w:val="00DF6133"/>
    <w:rsid w:val="00DF6CBB"/>
    <w:rsid w:val="00DF78B0"/>
    <w:rsid w:val="00E005B0"/>
    <w:rsid w:val="00E009E2"/>
    <w:rsid w:val="00E00AE9"/>
    <w:rsid w:val="00E0191C"/>
    <w:rsid w:val="00E01F2A"/>
    <w:rsid w:val="00E024A4"/>
    <w:rsid w:val="00E037A8"/>
    <w:rsid w:val="00E03C48"/>
    <w:rsid w:val="00E0404F"/>
    <w:rsid w:val="00E040B8"/>
    <w:rsid w:val="00E04535"/>
    <w:rsid w:val="00E04610"/>
    <w:rsid w:val="00E06BA2"/>
    <w:rsid w:val="00E06FA8"/>
    <w:rsid w:val="00E06FCF"/>
    <w:rsid w:val="00E07049"/>
    <w:rsid w:val="00E0770E"/>
    <w:rsid w:val="00E1093B"/>
    <w:rsid w:val="00E111D7"/>
    <w:rsid w:val="00E12448"/>
    <w:rsid w:val="00E12724"/>
    <w:rsid w:val="00E1300D"/>
    <w:rsid w:val="00E1339F"/>
    <w:rsid w:val="00E1349B"/>
    <w:rsid w:val="00E1357B"/>
    <w:rsid w:val="00E14067"/>
    <w:rsid w:val="00E1466A"/>
    <w:rsid w:val="00E1469F"/>
    <w:rsid w:val="00E1565E"/>
    <w:rsid w:val="00E15835"/>
    <w:rsid w:val="00E15F5C"/>
    <w:rsid w:val="00E16673"/>
    <w:rsid w:val="00E16EF5"/>
    <w:rsid w:val="00E17085"/>
    <w:rsid w:val="00E1713A"/>
    <w:rsid w:val="00E173F0"/>
    <w:rsid w:val="00E17AFD"/>
    <w:rsid w:val="00E209CB"/>
    <w:rsid w:val="00E20AED"/>
    <w:rsid w:val="00E20C93"/>
    <w:rsid w:val="00E20DBB"/>
    <w:rsid w:val="00E215B0"/>
    <w:rsid w:val="00E2229F"/>
    <w:rsid w:val="00E22617"/>
    <w:rsid w:val="00E22843"/>
    <w:rsid w:val="00E22C0D"/>
    <w:rsid w:val="00E22D20"/>
    <w:rsid w:val="00E22F8A"/>
    <w:rsid w:val="00E23669"/>
    <w:rsid w:val="00E24602"/>
    <w:rsid w:val="00E249A5"/>
    <w:rsid w:val="00E24C6E"/>
    <w:rsid w:val="00E24FD0"/>
    <w:rsid w:val="00E25280"/>
    <w:rsid w:val="00E256FF"/>
    <w:rsid w:val="00E26044"/>
    <w:rsid w:val="00E264AD"/>
    <w:rsid w:val="00E26A95"/>
    <w:rsid w:val="00E27091"/>
    <w:rsid w:val="00E30113"/>
    <w:rsid w:val="00E3096C"/>
    <w:rsid w:val="00E31533"/>
    <w:rsid w:val="00E317A3"/>
    <w:rsid w:val="00E31BBF"/>
    <w:rsid w:val="00E31C15"/>
    <w:rsid w:val="00E3265E"/>
    <w:rsid w:val="00E32ADC"/>
    <w:rsid w:val="00E32DCA"/>
    <w:rsid w:val="00E33686"/>
    <w:rsid w:val="00E339D7"/>
    <w:rsid w:val="00E33D95"/>
    <w:rsid w:val="00E34411"/>
    <w:rsid w:val="00E34B76"/>
    <w:rsid w:val="00E351B7"/>
    <w:rsid w:val="00E35ED5"/>
    <w:rsid w:val="00E35EF8"/>
    <w:rsid w:val="00E3635D"/>
    <w:rsid w:val="00E36434"/>
    <w:rsid w:val="00E36738"/>
    <w:rsid w:val="00E36EEB"/>
    <w:rsid w:val="00E371F8"/>
    <w:rsid w:val="00E37A0F"/>
    <w:rsid w:val="00E37BDC"/>
    <w:rsid w:val="00E40C5A"/>
    <w:rsid w:val="00E40F4C"/>
    <w:rsid w:val="00E41424"/>
    <w:rsid w:val="00E41606"/>
    <w:rsid w:val="00E41746"/>
    <w:rsid w:val="00E419AD"/>
    <w:rsid w:val="00E41A3A"/>
    <w:rsid w:val="00E42614"/>
    <w:rsid w:val="00E427DE"/>
    <w:rsid w:val="00E44004"/>
    <w:rsid w:val="00E441AE"/>
    <w:rsid w:val="00E44AC5"/>
    <w:rsid w:val="00E44BFB"/>
    <w:rsid w:val="00E4677E"/>
    <w:rsid w:val="00E468BC"/>
    <w:rsid w:val="00E46D04"/>
    <w:rsid w:val="00E475E6"/>
    <w:rsid w:val="00E477DE"/>
    <w:rsid w:val="00E47CF0"/>
    <w:rsid w:val="00E5082E"/>
    <w:rsid w:val="00E50BF9"/>
    <w:rsid w:val="00E51ADE"/>
    <w:rsid w:val="00E51F66"/>
    <w:rsid w:val="00E52279"/>
    <w:rsid w:val="00E52759"/>
    <w:rsid w:val="00E5276B"/>
    <w:rsid w:val="00E531D2"/>
    <w:rsid w:val="00E53368"/>
    <w:rsid w:val="00E53B40"/>
    <w:rsid w:val="00E53E68"/>
    <w:rsid w:val="00E5464F"/>
    <w:rsid w:val="00E54772"/>
    <w:rsid w:val="00E54B4E"/>
    <w:rsid w:val="00E54BDB"/>
    <w:rsid w:val="00E54FDD"/>
    <w:rsid w:val="00E55059"/>
    <w:rsid w:val="00E55700"/>
    <w:rsid w:val="00E559DA"/>
    <w:rsid w:val="00E55ECB"/>
    <w:rsid w:val="00E56949"/>
    <w:rsid w:val="00E56B84"/>
    <w:rsid w:val="00E56D63"/>
    <w:rsid w:val="00E56F28"/>
    <w:rsid w:val="00E57066"/>
    <w:rsid w:val="00E571EB"/>
    <w:rsid w:val="00E57532"/>
    <w:rsid w:val="00E6081C"/>
    <w:rsid w:val="00E60F19"/>
    <w:rsid w:val="00E61149"/>
    <w:rsid w:val="00E61164"/>
    <w:rsid w:val="00E6178F"/>
    <w:rsid w:val="00E61848"/>
    <w:rsid w:val="00E61A1D"/>
    <w:rsid w:val="00E6271E"/>
    <w:rsid w:val="00E62971"/>
    <w:rsid w:val="00E62A6D"/>
    <w:rsid w:val="00E62FDE"/>
    <w:rsid w:val="00E63362"/>
    <w:rsid w:val="00E63EB6"/>
    <w:rsid w:val="00E64568"/>
    <w:rsid w:val="00E647D6"/>
    <w:rsid w:val="00E647DF"/>
    <w:rsid w:val="00E64F18"/>
    <w:rsid w:val="00E65649"/>
    <w:rsid w:val="00E660B7"/>
    <w:rsid w:val="00E66514"/>
    <w:rsid w:val="00E6664B"/>
    <w:rsid w:val="00E66695"/>
    <w:rsid w:val="00E6674E"/>
    <w:rsid w:val="00E66F6D"/>
    <w:rsid w:val="00E67053"/>
    <w:rsid w:val="00E6716B"/>
    <w:rsid w:val="00E672BD"/>
    <w:rsid w:val="00E6730C"/>
    <w:rsid w:val="00E67477"/>
    <w:rsid w:val="00E7140A"/>
    <w:rsid w:val="00E7147E"/>
    <w:rsid w:val="00E717EE"/>
    <w:rsid w:val="00E7204A"/>
    <w:rsid w:val="00E72241"/>
    <w:rsid w:val="00E72F30"/>
    <w:rsid w:val="00E72F49"/>
    <w:rsid w:val="00E7315B"/>
    <w:rsid w:val="00E73773"/>
    <w:rsid w:val="00E73C27"/>
    <w:rsid w:val="00E73D7E"/>
    <w:rsid w:val="00E742A1"/>
    <w:rsid w:val="00E74782"/>
    <w:rsid w:val="00E7499C"/>
    <w:rsid w:val="00E7524B"/>
    <w:rsid w:val="00E75CB1"/>
    <w:rsid w:val="00E75EBC"/>
    <w:rsid w:val="00E76032"/>
    <w:rsid w:val="00E760BD"/>
    <w:rsid w:val="00E767A7"/>
    <w:rsid w:val="00E76823"/>
    <w:rsid w:val="00E76A2D"/>
    <w:rsid w:val="00E76AE6"/>
    <w:rsid w:val="00E76B5F"/>
    <w:rsid w:val="00E80E48"/>
    <w:rsid w:val="00E81D13"/>
    <w:rsid w:val="00E81E75"/>
    <w:rsid w:val="00E8267F"/>
    <w:rsid w:val="00E82DB6"/>
    <w:rsid w:val="00E8311C"/>
    <w:rsid w:val="00E831A2"/>
    <w:rsid w:val="00E833D0"/>
    <w:rsid w:val="00E8362C"/>
    <w:rsid w:val="00E83B19"/>
    <w:rsid w:val="00E83BD0"/>
    <w:rsid w:val="00E83C28"/>
    <w:rsid w:val="00E83F10"/>
    <w:rsid w:val="00E84E26"/>
    <w:rsid w:val="00E850F4"/>
    <w:rsid w:val="00E863AE"/>
    <w:rsid w:val="00E86663"/>
    <w:rsid w:val="00E917FE"/>
    <w:rsid w:val="00E9190A"/>
    <w:rsid w:val="00E9202C"/>
    <w:rsid w:val="00E9296B"/>
    <w:rsid w:val="00E92E87"/>
    <w:rsid w:val="00E93AB4"/>
    <w:rsid w:val="00E9423B"/>
    <w:rsid w:val="00E94963"/>
    <w:rsid w:val="00E951A8"/>
    <w:rsid w:val="00E954DE"/>
    <w:rsid w:val="00E95BD8"/>
    <w:rsid w:val="00E95D3F"/>
    <w:rsid w:val="00E95ED1"/>
    <w:rsid w:val="00E96738"/>
    <w:rsid w:val="00E96C84"/>
    <w:rsid w:val="00E96E2A"/>
    <w:rsid w:val="00E96ECF"/>
    <w:rsid w:val="00E970A9"/>
    <w:rsid w:val="00E973C6"/>
    <w:rsid w:val="00E9763B"/>
    <w:rsid w:val="00E97A87"/>
    <w:rsid w:val="00E97CF1"/>
    <w:rsid w:val="00E97F71"/>
    <w:rsid w:val="00EA00D7"/>
    <w:rsid w:val="00EA05E9"/>
    <w:rsid w:val="00EA0BCA"/>
    <w:rsid w:val="00EA0F5F"/>
    <w:rsid w:val="00EA133F"/>
    <w:rsid w:val="00EA161F"/>
    <w:rsid w:val="00EA16CB"/>
    <w:rsid w:val="00EA1F1D"/>
    <w:rsid w:val="00EA2591"/>
    <w:rsid w:val="00EA2676"/>
    <w:rsid w:val="00EA2CA0"/>
    <w:rsid w:val="00EA3AE1"/>
    <w:rsid w:val="00EA3B2A"/>
    <w:rsid w:val="00EA491D"/>
    <w:rsid w:val="00EA4AD4"/>
    <w:rsid w:val="00EA5230"/>
    <w:rsid w:val="00EA5A7B"/>
    <w:rsid w:val="00EA6FB8"/>
    <w:rsid w:val="00EA7580"/>
    <w:rsid w:val="00EA79CF"/>
    <w:rsid w:val="00EA7D37"/>
    <w:rsid w:val="00EB026D"/>
    <w:rsid w:val="00EB0587"/>
    <w:rsid w:val="00EB10E5"/>
    <w:rsid w:val="00EB1494"/>
    <w:rsid w:val="00EB1C7C"/>
    <w:rsid w:val="00EB21AB"/>
    <w:rsid w:val="00EB26BA"/>
    <w:rsid w:val="00EB2907"/>
    <w:rsid w:val="00EB2CD8"/>
    <w:rsid w:val="00EB36CB"/>
    <w:rsid w:val="00EB3F89"/>
    <w:rsid w:val="00EB410A"/>
    <w:rsid w:val="00EB45D4"/>
    <w:rsid w:val="00EB546A"/>
    <w:rsid w:val="00EB57FB"/>
    <w:rsid w:val="00EB5E1A"/>
    <w:rsid w:val="00EB5EEB"/>
    <w:rsid w:val="00EB60EC"/>
    <w:rsid w:val="00EB63BF"/>
    <w:rsid w:val="00EB64F7"/>
    <w:rsid w:val="00EB6CEB"/>
    <w:rsid w:val="00EB7201"/>
    <w:rsid w:val="00EB7633"/>
    <w:rsid w:val="00EB7717"/>
    <w:rsid w:val="00EB7AB9"/>
    <w:rsid w:val="00EC043A"/>
    <w:rsid w:val="00EC0659"/>
    <w:rsid w:val="00EC0DAF"/>
    <w:rsid w:val="00EC12A7"/>
    <w:rsid w:val="00EC12A9"/>
    <w:rsid w:val="00EC1363"/>
    <w:rsid w:val="00EC29FB"/>
    <w:rsid w:val="00EC2EEB"/>
    <w:rsid w:val="00EC30CF"/>
    <w:rsid w:val="00EC322A"/>
    <w:rsid w:val="00EC3382"/>
    <w:rsid w:val="00EC3517"/>
    <w:rsid w:val="00EC3796"/>
    <w:rsid w:val="00EC41BB"/>
    <w:rsid w:val="00EC420C"/>
    <w:rsid w:val="00EC4338"/>
    <w:rsid w:val="00EC496E"/>
    <w:rsid w:val="00EC4E00"/>
    <w:rsid w:val="00EC4FC9"/>
    <w:rsid w:val="00EC5B9F"/>
    <w:rsid w:val="00EC5C2C"/>
    <w:rsid w:val="00EC6205"/>
    <w:rsid w:val="00EC6279"/>
    <w:rsid w:val="00EC64C6"/>
    <w:rsid w:val="00EC6A27"/>
    <w:rsid w:val="00EC6A43"/>
    <w:rsid w:val="00EC6B8A"/>
    <w:rsid w:val="00EC6E41"/>
    <w:rsid w:val="00EC6ED1"/>
    <w:rsid w:val="00EC708D"/>
    <w:rsid w:val="00EC73A6"/>
    <w:rsid w:val="00EC7FC6"/>
    <w:rsid w:val="00ED03CC"/>
    <w:rsid w:val="00ED0797"/>
    <w:rsid w:val="00ED0BF7"/>
    <w:rsid w:val="00ED108E"/>
    <w:rsid w:val="00ED1106"/>
    <w:rsid w:val="00ED1514"/>
    <w:rsid w:val="00ED2040"/>
    <w:rsid w:val="00ED2CBC"/>
    <w:rsid w:val="00ED36A4"/>
    <w:rsid w:val="00ED4219"/>
    <w:rsid w:val="00ED4248"/>
    <w:rsid w:val="00ED48EA"/>
    <w:rsid w:val="00ED4998"/>
    <w:rsid w:val="00ED4FDE"/>
    <w:rsid w:val="00ED5AE9"/>
    <w:rsid w:val="00ED5BEB"/>
    <w:rsid w:val="00ED5D9D"/>
    <w:rsid w:val="00ED6649"/>
    <w:rsid w:val="00ED6F19"/>
    <w:rsid w:val="00ED74D9"/>
    <w:rsid w:val="00ED7559"/>
    <w:rsid w:val="00ED7C36"/>
    <w:rsid w:val="00EE005F"/>
    <w:rsid w:val="00EE04B1"/>
    <w:rsid w:val="00EE0FF6"/>
    <w:rsid w:val="00EE1291"/>
    <w:rsid w:val="00EE1615"/>
    <w:rsid w:val="00EE1831"/>
    <w:rsid w:val="00EE2168"/>
    <w:rsid w:val="00EE29BC"/>
    <w:rsid w:val="00EE30E8"/>
    <w:rsid w:val="00EE34FE"/>
    <w:rsid w:val="00EE36F1"/>
    <w:rsid w:val="00EE377E"/>
    <w:rsid w:val="00EE389A"/>
    <w:rsid w:val="00EE3CBD"/>
    <w:rsid w:val="00EE3CC7"/>
    <w:rsid w:val="00EE4220"/>
    <w:rsid w:val="00EE4286"/>
    <w:rsid w:val="00EE4521"/>
    <w:rsid w:val="00EE4DFC"/>
    <w:rsid w:val="00EE5008"/>
    <w:rsid w:val="00EE5FF5"/>
    <w:rsid w:val="00EE6475"/>
    <w:rsid w:val="00EE69D3"/>
    <w:rsid w:val="00EE6B82"/>
    <w:rsid w:val="00EE6CF9"/>
    <w:rsid w:val="00EE6D71"/>
    <w:rsid w:val="00EE6EBC"/>
    <w:rsid w:val="00EE734A"/>
    <w:rsid w:val="00EE787C"/>
    <w:rsid w:val="00EF0B63"/>
    <w:rsid w:val="00EF0E5E"/>
    <w:rsid w:val="00EF10AB"/>
    <w:rsid w:val="00EF187D"/>
    <w:rsid w:val="00EF1DA1"/>
    <w:rsid w:val="00EF2463"/>
    <w:rsid w:val="00EF2919"/>
    <w:rsid w:val="00EF297D"/>
    <w:rsid w:val="00EF2D2B"/>
    <w:rsid w:val="00EF2FFE"/>
    <w:rsid w:val="00EF30F3"/>
    <w:rsid w:val="00EF31E9"/>
    <w:rsid w:val="00EF3458"/>
    <w:rsid w:val="00EF4D1E"/>
    <w:rsid w:val="00EF51E2"/>
    <w:rsid w:val="00EF52D9"/>
    <w:rsid w:val="00EF58CC"/>
    <w:rsid w:val="00EF5D8E"/>
    <w:rsid w:val="00EF5E43"/>
    <w:rsid w:val="00EF5F55"/>
    <w:rsid w:val="00EF6501"/>
    <w:rsid w:val="00EF657D"/>
    <w:rsid w:val="00EF6BCB"/>
    <w:rsid w:val="00EF6E39"/>
    <w:rsid w:val="00EF6EA3"/>
    <w:rsid w:val="00EF7856"/>
    <w:rsid w:val="00F00170"/>
    <w:rsid w:val="00F00FAF"/>
    <w:rsid w:val="00F0120A"/>
    <w:rsid w:val="00F015F4"/>
    <w:rsid w:val="00F018C0"/>
    <w:rsid w:val="00F02047"/>
    <w:rsid w:val="00F02377"/>
    <w:rsid w:val="00F02A05"/>
    <w:rsid w:val="00F02B83"/>
    <w:rsid w:val="00F02CB9"/>
    <w:rsid w:val="00F0351C"/>
    <w:rsid w:val="00F04447"/>
    <w:rsid w:val="00F05581"/>
    <w:rsid w:val="00F0597B"/>
    <w:rsid w:val="00F059C0"/>
    <w:rsid w:val="00F060D0"/>
    <w:rsid w:val="00F06168"/>
    <w:rsid w:val="00F06194"/>
    <w:rsid w:val="00F06500"/>
    <w:rsid w:val="00F07578"/>
    <w:rsid w:val="00F07CCA"/>
    <w:rsid w:val="00F104E0"/>
    <w:rsid w:val="00F106E7"/>
    <w:rsid w:val="00F10888"/>
    <w:rsid w:val="00F10D85"/>
    <w:rsid w:val="00F10E94"/>
    <w:rsid w:val="00F10EB4"/>
    <w:rsid w:val="00F10ECA"/>
    <w:rsid w:val="00F10F5A"/>
    <w:rsid w:val="00F11242"/>
    <w:rsid w:val="00F114B1"/>
    <w:rsid w:val="00F11667"/>
    <w:rsid w:val="00F1184E"/>
    <w:rsid w:val="00F11997"/>
    <w:rsid w:val="00F11C7F"/>
    <w:rsid w:val="00F12035"/>
    <w:rsid w:val="00F12076"/>
    <w:rsid w:val="00F1211E"/>
    <w:rsid w:val="00F121A2"/>
    <w:rsid w:val="00F129CB"/>
    <w:rsid w:val="00F12A1E"/>
    <w:rsid w:val="00F12EA2"/>
    <w:rsid w:val="00F133B7"/>
    <w:rsid w:val="00F13595"/>
    <w:rsid w:val="00F13672"/>
    <w:rsid w:val="00F13A5D"/>
    <w:rsid w:val="00F13AF4"/>
    <w:rsid w:val="00F13BCF"/>
    <w:rsid w:val="00F13C35"/>
    <w:rsid w:val="00F13CEC"/>
    <w:rsid w:val="00F14198"/>
    <w:rsid w:val="00F14560"/>
    <w:rsid w:val="00F1462F"/>
    <w:rsid w:val="00F148F2"/>
    <w:rsid w:val="00F14BC6"/>
    <w:rsid w:val="00F14CDB"/>
    <w:rsid w:val="00F15494"/>
    <w:rsid w:val="00F15520"/>
    <w:rsid w:val="00F15906"/>
    <w:rsid w:val="00F15C85"/>
    <w:rsid w:val="00F15D25"/>
    <w:rsid w:val="00F161A3"/>
    <w:rsid w:val="00F16817"/>
    <w:rsid w:val="00F17072"/>
    <w:rsid w:val="00F20036"/>
    <w:rsid w:val="00F201F4"/>
    <w:rsid w:val="00F202F4"/>
    <w:rsid w:val="00F20657"/>
    <w:rsid w:val="00F210CC"/>
    <w:rsid w:val="00F2131A"/>
    <w:rsid w:val="00F22069"/>
    <w:rsid w:val="00F22224"/>
    <w:rsid w:val="00F22350"/>
    <w:rsid w:val="00F223F3"/>
    <w:rsid w:val="00F2243D"/>
    <w:rsid w:val="00F224A2"/>
    <w:rsid w:val="00F22981"/>
    <w:rsid w:val="00F22A66"/>
    <w:rsid w:val="00F22E8E"/>
    <w:rsid w:val="00F23246"/>
    <w:rsid w:val="00F2391B"/>
    <w:rsid w:val="00F23BCE"/>
    <w:rsid w:val="00F23F20"/>
    <w:rsid w:val="00F247B2"/>
    <w:rsid w:val="00F2485A"/>
    <w:rsid w:val="00F24B68"/>
    <w:rsid w:val="00F24BC8"/>
    <w:rsid w:val="00F250AA"/>
    <w:rsid w:val="00F253C8"/>
    <w:rsid w:val="00F254AF"/>
    <w:rsid w:val="00F25856"/>
    <w:rsid w:val="00F2651F"/>
    <w:rsid w:val="00F2681C"/>
    <w:rsid w:val="00F26B3A"/>
    <w:rsid w:val="00F26E03"/>
    <w:rsid w:val="00F272C1"/>
    <w:rsid w:val="00F27B43"/>
    <w:rsid w:val="00F306D8"/>
    <w:rsid w:val="00F30DEF"/>
    <w:rsid w:val="00F3106B"/>
    <w:rsid w:val="00F31681"/>
    <w:rsid w:val="00F31687"/>
    <w:rsid w:val="00F317A6"/>
    <w:rsid w:val="00F31D94"/>
    <w:rsid w:val="00F31F42"/>
    <w:rsid w:val="00F32097"/>
    <w:rsid w:val="00F322C2"/>
    <w:rsid w:val="00F324F6"/>
    <w:rsid w:val="00F325CD"/>
    <w:rsid w:val="00F3263B"/>
    <w:rsid w:val="00F33044"/>
    <w:rsid w:val="00F3350D"/>
    <w:rsid w:val="00F338F6"/>
    <w:rsid w:val="00F34474"/>
    <w:rsid w:val="00F350C6"/>
    <w:rsid w:val="00F358E6"/>
    <w:rsid w:val="00F35CD2"/>
    <w:rsid w:val="00F36449"/>
    <w:rsid w:val="00F36DA7"/>
    <w:rsid w:val="00F371A9"/>
    <w:rsid w:val="00F377D1"/>
    <w:rsid w:val="00F37F66"/>
    <w:rsid w:val="00F40EF6"/>
    <w:rsid w:val="00F41115"/>
    <w:rsid w:val="00F411DC"/>
    <w:rsid w:val="00F414B9"/>
    <w:rsid w:val="00F41697"/>
    <w:rsid w:val="00F41CC2"/>
    <w:rsid w:val="00F423C2"/>
    <w:rsid w:val="00F42FD1"/>
    <w:rsid w:val="00F43144"/>
    <w:rsid w:val="00F43997"/>
    <w:rsid w:val="00F43A55"/>
    <w:rsid w:val="00F43FE9"/>
    <w:rsid w:val="00F44666"/>
    <w:rsid w:val="00F4474C"/>
    <w:rsid w:val="00F45732"/>
    <w:rsid w:val="00F4581B"/>
    <w:rsid w:val="00F45922"/>
    <w:rsid w:val="00F45995"/>
    <w:rsid w:val="00F45C5A"/>
    <w:rsid w:val="00F4602B"/>
    <w:rsid w:val="00F46835"/>
    <w:rsid w:val="00F46C7A"/>
    <w:rsid w:val="00F46DEB"/>
    <w:rsid w:val="00F47853"/>
    <w:rsid w:val="00F47FC8"/>
    <w:rsid w:val="00F503FA"/>
    <w:rsid w:val="00F507C7"/>
    <w:rsid w:val="00F50A2C"/>
    <w:rsid w:val="00F50E1C"/>
    <w:rsid w:val="00F516BB"/>
    <w:rsid w:val="00F5199B"/>
    <w:rsid w:val="00F51BE6"/>
    <w:rsid w:val="00F51D52"/>
    <w:rsid w:val="00F51DA4"/>
    <w:rsid w:val="00F51E25"/>
    <w:rsid w:val="00F53137"/>
    <w:rsid w:val="00F534DF"/>
    <w:rsid w:val="00F53641"/>
    <w:rsid w:val="00F5368E"/>
    <w:rsid w:val="00F53AFB"/>
    <w:rsid w:val="00F543E9"/>
    <w:rsid w:val="00F54B2C"/>
    <w:rsid w:val="00F550BE"/>
    <w:rsid w:val="00F55797"/>
    <w:rsid w:val="00F55823"/>
    <w:rsid w:val="00F55994"/>
    <w:rsid w:val="00F559C2"/>
    <w:rsid w:val="00F55F30"/>
    <w:rsid w:val="00F560C0"/>
    <w:rsid w:val="00F56311"/>
    <w:rsid w:val="00F56418"/>
    <w:rsid w:val="00F564AC"/>
    <w:rsid w:val="00F56BF0"/>
    <w:rsid w:val="00F56E11"/>
    <w:rsid w:val="00F5775D"/>
    <w:rsid w:val="00F57D88"/>
    <w:rsid w:val="00F604D1"/>
    <w:rsid w:val="00F60F33"/>
    <w:rsid w:val="00F612E5"/>
    <w:rsid w:val="00F61348"/>
    <w:rsid w:val="00F6176A"/>
    <w:rsid w:val="00F62A41"/>
    <w:rsid w:val="00F62F3B"/>
    <w:rsid w:val="00F62FEC"/>
    <w:rsid w:val="00F6322D"/>
    <w:rsid w:val="00F6325E"/>
    <w:rsid w:val="00F632CE"/>
    <w:rsid w:val="00F638A0"/>
    <w:rsid w:val="00F648CA"/>
    <w:rsid w:val="00F649FF"/>
    <w:rsid w:val="00F64AD2"/>
    <w:rsid w:val="00F64B5D"/>
    <w:rsid w:val="00F65B52"/>
    <w:rsid w:val="00F65E6C"/>
    <w:rsid w:val="00F65F2E"/>
    <w:rsid w:val="00F66647"/>
    <w:rsid w:val="00F66737"/>
    <w:rsid w:val="00F66C82"/>
    <w:rsid w:val="00F66E14"/>
    <w:rsid w:val="00F66E2E"/>
    <w:rsid w:val="00F66F72"/>
    <w:rsid w:val="00F67093"/>
    <w:rsid w:val="00F671AE"/>
    <w:rsid w:val="00F67292"/>
    <w:rsid w:val="00F67453"/>
    <w:rsid w:val="00F6759B"/>
    <w:rsid w:val="00F67A61"/>
    <w:rsid w:val="00F67B8F"/>
    <w:rsid w:val="00F67CAE"/>
    <w:rsid w:val="00F67FE6"/>
    <w:rsid w:val="00F7032F"/>
    <w:rsid w:val="00F70A03"/>
    <w:rsid w:val="00F715B1"/>
    <w:rsid w:val="00F71738"/>
    <w:rsid w:val="00F71995"/>
    <w:rsid w:val="00F71E8D"/>
    <w:rsid w:val="00F7231B"/>
    <w:rsid w:val="00F7238D"/>
    <w:rsid w:val="00F724B1"/>
    <w:rsid w:val="00F7289A"/>
    <w:rsid w:val="00F72D6E"/>
    <w:rsid w:val="00F72E44"/>
    <w:rsid w:val="00F73110"/>
    <w:rsid w:val="00F732A2"/>
    <w:rsid w:val="00F739AD"/>
    <w:rsid w:val="00F7449F"/>
    <w:rsid w:val="00F74524"/>
    <w:rsid w:val="00F74C3E"/>
    <w:rsid w:val="00F75C51"/>
    <w:rsid w:val="00F75DA9"/>
    <w:rsid w:val="00F76436"/>
    <w:rsid w:val="00F764E1"/>
    <w:rsid w:val="00F7683C"/>
    <w:rsid w:val="00F76BCB"/>
    <w:rsid w:val="00F76CC7"/>
    <w:rsid w:val="00F76D67"/>
    <w:rsid w:val="00F771E6"/>
    <w:rsid w:val="00F77935"/>
    <w:rsid w:val="00F81070"/>
    <w:rsid w:val="00F811C7"/>
    <w:rsid w:val="00F8141F"/>
    <w:rsid w:val="00F820BC"/>
    <w:rsid w:val="00F82804"/>
    <w:rsid w:val="00F82F74"/>
    <w:rsid w:val="00F83B6F"/>
    <w:rsid w:val="00F841B4"/>
    <w:rsid w:val="00F8421C"/>
    <w:rsid w:val="00F844E1"/>
    <w:rsid w:val="00F8480C"/>
    <w:rsid w:val="00F8492C"/>
    <w:rsid w:val="00F85DFC"/>
    <w:rsid w:val="00F86522"/>
    <w:rsid w:val="00F86A64"/>
    <w:rsid w:val="00F86A73"/>
    <w:rsid w:val="00F86D3E"/>
    <w:rsid w:val="00F879D3"/>
    <w:rsid w:val="00F87D42"/>
    <w:rsid w:val="00F87E19"/>
    <w:rsid w:val="00F87E97"/>
    <w:rsid w:val="00F87F05"/>
    <w:rsid w:val="00F87F8E"/>
    <w:rsid w:val="00F902FB"/>
    <w:rsid w:val="00F902FC"/>
    <w:rsid w:val="00F920FB"/>
    <w:rsid w:val="00F9222C"/>
    <w:rsid w:val="00F9289E"/>
    <w:rsid w:val="00F928E9"/>
    <w:rsid w:val="00F92DC8"/>
    <w:rsid w:val="00F93145"/>
    <w:rsid w:val="00F934A2"/>
    <w:rsid w:val="00F93567"/>
    <w:rsid w:val="00F94A0E"/>
    <w:rsid w:val="00F94C8C"/>
    <w:rsid w:val="00F95192"/>
    <w:rsid w:val="00F955CD"/>
    <w:rsid w:val="00F95E2B"/>
    <w:rsid w:val="00F96699"/>
    <w:rsid w:val="00F96947"/>
    <w:rsid w:val="00F96C7E"/>
    <w:rsid w:val="00FA11CF"/>
    <w:rsid w:val="00FA131B"/>
    <w:rsid w:val="00FA1641"/>
    <w:rsid w:val="00FA1CF3"/>
    <w:rsid w:val="00FA1E77"/>
    <w:rsid w:val="00FA1ED4"/>
    <w:rsid w:val="00FA2254"/>
    <w:rsid w:val="00FA27F1"/>
    <w:rsid w:val="00FA2AFF"/>
    <w:rsid w:val="00FA2D25"/>
    <w:rsid w:val="00FA2E25"/>
    <w:rsid w:val="00FA3050"/>
    <w:rsid w:val="00FA343D"/>
    <w:rsid w:val="00FA372E"/>
    <w:rsid w:val="00FA39B0"/>
    <w:rsid w:val="00FA4495"/>
    <w:rsid w:val="00FA4C4E"/>
    <w:rsid w:val="00FA518C"/>
    <w:rsid w:val="00FA51AD"/>
    <w:rsid w:val="00FA54E4"/>
    <w:rsid w:val="00FA5DD8"/>
    <w:rsid w:val="00FA604A"/>
    <w:rsid w:val="00FA7965"/>
    <w:rsid w:val="00FA79C9"/>
    <w:rsid w:val="00FA7C0E"/>
    <w:rsid w:val="00FA7FAD"/>
    <w:rsid w:val="00FB03B3"/>
    <w:rsid w:val="00FB04BC"/>
    <w:rsid w:val="00FB0650"/>
    <w:rsid w:val="00FB085D"/>
    <w:rsid w:val="00FB131A"/>
    <w:rsid w:val="00FB207E"/>
    <w:rsid w:val="00FB2480"/>
    <w:rsid w:val="00FB24F9"/>
    <w:rsid w:val="00FB28AE"/>
    <w:rsid w:val="00FB2A4F"/>
    <w:rsid w:val="00FB3719"/>
    <w:rsid w:val="00FB40BE"/>
    <w:rsid w:val="00FB418D"/>
    <w:rsid w:val="00FB42E7"/>
    <w:rsid w:val="00FB4377"/>
    <w:rsid w:val="00FB4ACD"/>
    <w:rsid w:val="00FB4C0B"/>
    <w:rsid w:val="00FB4E26"/>
    <w:rsid w:val="00FB5269"/>
    <w:rsid w:val="00FB5790"/>
    <w:rsid w:val="00FB592F"/>
    <w:rsid w:val="00FB59C9"/>
    <w:rsid w:val="00FB5C72"/>
    <w:rsid w:val="00FB6231"/>
    <w:rsid w:val="00FB6537"/>
    <w:rsid w:val="00FB669F"/>
    <w:rsid w:val="00FB6E9A"/>
    <w:rsid w:val="00FB727D"/>
    <w:rsid w:val="00FB7571"/>
    <w:rsid w:val="00FC0E15"/>
    <w:rsid w:val="00FC0F86"/>
    <w:rsid w:val="00FC0FA1"/>
    <w:rsid w:val="00FC12EA"/>
    <w:rsid w:val="00FC1AA8"/>
    <w:rsid w:val="00FC1BA3"/>
    <w:rsid w:val="00FC1F1D"/>
    <w:rsid w:val="00FC2783"/>
    <w:rsid w:val="00FC30A6"/>
    <w:rsid w:val="00FC31B8"/>
    <w:rsid w:val="00FC3410"/>
    <w:rsid w:val="00FC3D79"/>
    <w:rsid w:val="00FC425D"/>
    <w:rsid w:val="00FC43C2"/>
    <w:rsid w:val="00FC45FD"/>
    <w:rsid w:val="00FC46BE"/>
    <w:rsid w:val="00FC4C6E"/>
    <w:rsid w:val="00FC4FAC"/>
    <w:rsid w:val="00FC5234"/>
    <w:rsid w:val="00FC5781"/>
    <w:rsid w:val="00FC584A"/>
    <w:rsid w:val="00FC5A8C"/>
    <w:rsid w:val="00FC5AB1"/>
    <w:rsid w:val="00FC61C8"/>
    <w:rsid w:val="00FC6205"/>
    <w:rsid w:val="00FC65E2"/>
    <w:rsid w:val="00FC691B"/>
    <w:rsid w:val="00FC6D5F"/>
    <w:rsid w:val="00FC6D8A"/>
    <w:rsid w:val="00FC7D96"/>
    <w:rsid w:val="00FC7EC9"/>
    <w:rsid w:val="00FD0316"/>
    <w:rsid w:val="00FD04AD"/>
    <w:rsid w:val="00FD04DC"/>
    <w:rsid w:val="00FD0DB5"/>
    <w:rsid w:val="00FD1026"/>
    <w:rsid w:val="00FD151E"/>
    <w:rsid w:val="00FD224D"/>
    <w:rsid w:val="00FD297D"/>
    <w:rsid w:val="00FD2B09"/>
    <w:rsid w:val="00FD3D06"/>
    <w:rsid w:val="00FD3E4A"/>
    <w:rsid w:val="00FD518B"/>
    <w:rsid w:val="00FD5706"/>
    <w:rsid w:val="00FD5AA0"/>
    <w:rsid w:val="00FD5E5B"/>
    <w:rsid w:val="00FD6A1F"/>
    <w:rsid w:val="00FD6DC4"/>
    <w:rsid w:val="00FD6E19"/>
    <w:rsid w:val="00FD6F39"/>
    <w:rsid w:val="00FD728F"/>
    <w:rsid w:val="00FD733B"/>
    <w:rsid w:val="00FD767D"/>
    <w:rsid w:val="00FD7F89"/>
    <w:rsid w:val="00FE001D"/>
    <w:rsid w:val="00FE0102"/>
    <w:rsid w:val="00FE0368"/>
    <w:rsid w:val="00FE0C25"/>
    <w:rsid w:val="00FE17BB"/>
    <w:rsid w:val="00FE1947"/>
    <w:rsid w:val="00FE1EA9"/>
    <w:rsid w:val="00FE1FDE"/>
    <w:rsid w:val="00FE20A7"/>
    <w:rsid w:val="00FE27A5"/>
    <w:rsid w:val="00FE2BCB"/>
    <w:rsid w:val="00FE2E2B"/>
    <w:rsid w:val="00FE301C"/>
    <w:rsid w:val="00FE3596"/>
    <w:rsid w:val="00FE3A53"/>
    <w:rsid w:val="00FE41D4"/>
    <w:rsid w:val="00FE4583"/>
    <w:rsid w:val="00FE46EB"/>
    <w:rsid w:val="00FE4FCD"/>
    <w:rsid w:val="00FE5502"/>
    <w:rsid w:val="00FE5D89"/>
    <w:rsid w:val="00FE5E9B"/>
    <w:rsid w:val="00FE62C4"/>
    <w:rsid w:val="00FE761B"/>
    <w:rsid w:val="00FE78D4"/>
    <w:rsid w:val="00FE7B06"/>
    <w:rsid w:val="00FE7EEB"/>
    <w:rsid w:val="00FF07DA"/>
    <w:rsid w:val="00FF0800"/>
    <w:rsid w:val="00FF0F2B"/>
    <w:rsid w:val="00FF1876"/>
    <w:rsid w:val="00FF1C52"/>
    <w:rsid w:val="00FF1F3F"/>
    <w:rsid w:val="00FF2C3F"/>
    <w:rsid w:val="00FF2C87"/>
    <w:rsid w:val="00FF327A"/>
    <w:rsid w:val="00FF32A7"/>
    <w:rsid w:val="00FF37C7"/>
    <w:rsid w:val="00FF3DCD"/>
    <w:rsid w:val="00FF3F3F"/>
    <w:rsid w:val="00FF4175"/>
    <w:rsid w:val="00FF4255"/>
    <w:rsid w:val="00FF46DB"/>
    <w:rsid w:val="00FF4CA1"/>
    <w:rsid w:val="00FF570D"/>
    <w:rsid w:val="00FF6046"/>
    <w:rsid w:val="00FF6B77"/>
    <w:rsid w:val="00FF6D4F"/>
    <w:rsid w:val="00FF705F"/>
    <w:rsid w:val="0C1D4B8D"/>
    <w:rsid w:val="13ED52BF"/>
    <w:rsid w:val="2EED30C6"/>
    <w:rsid w:val="4A6AD59F"/>
    <w:rsid w:val="56DF8240"/>
    <w:rsid w:val="5AC0CDEF"/>
    <w:rsid w:val="65769D8C"/>
    <w:rsid w:val="7515298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324F3"/>
  <w15:docId w15:val="{6047514B-1206-4AE5-9E79-63877BC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FAF"/>
    <w:rPr>
      <w:sz w:val="20"/>
    </w:rPr>
  </w:style>
  <w:style w:type="paragraph" w:styleId="Heading1">
    <w:name w:val="heading 1"/>
    <w:basedOn w:val="Normal"/>
    <w:next w:val="Normal"/>
    <w:link w:val="Heading1Char"/>
    <w:uiPriority w:val="9"/>
    <w:qFormat/>
    <w:rsid w:val="0078796B"/>
    <w:pPr>
      <w:keepNext/>
      <w:keepLines/>
      <w:spacing w:before="120" w:after="0" w:line="360" w:lineRule="auto"/>
      <w:outlineLvl w:val="0"/>
    </w:pPr>
    <w:rPr>
      <w:rFonts w:eastAsiaTheme="majorEastAsia" w:cstheme="majorBidi"/>
      <w:b/>
      <w:bCs/>
      <w:color w:val="548DD4" w:themeColor="text2" w:themeTint="99"/>
      <w:sz w:val="32"/>
      <w:szCs w:val="28"/>
    </w:rPr>
  </w:style>
  <w:style w:type="paragraph" w:styleId="Heading2">
    <w:name w:val="heading 2"/>
    <w:basedOn w:val="Normal"/>
    <w:next w:val="Normal"/>
    <w:link w:val="Heading2Char"/>
    <w:uiPriority w:val="9"/>
    <w:unhideWhenUsed/>
    <w:qFormat/>
    <w:rsid w:val="00471418"/>
    <w:pPr>
      <w:keepNext/>
      <w:keepLines/>
      <w:spacing w:before="200" w:after="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471418"/>
    <w:pPr>
      <w:keepNext/>
      <w:keepLines/>
      <w:spacing w:before="200" w:after="0"/>
      <w:outlineLvl w:val="2"/>
    </w:pPr>
    <w:rPr>
      <w:rFonts w:eastAsiaTheme="majorEastAsia" w:cstheme="majorBidi"/>
      <w:b/>
      <w:bCs/>
      <w:color w:val="1F497D" w:themeColor="text2"/>
      <w:sz w:val="28"/>
    </w:rPr>
  </w:style>
  <w:style w:type="paragraph" w:styleId="Heading4">
    <w:name w:val="heading 4"/>
    <w:basedOn w:val="Normal"/>
    <w:next w:val="Normal"/>
    <w:link w:val="Heading4Char"/>
    <w:uiPriority w:val="9"/>
    <w:unhideWhenUsed/>
    <w:qFormat/>
    <w:rsid w:val="00140C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6B"/>
    <w:rPr>
      <w:rFonts w:eastAsiaTheme="majorEastAsia" w:cstheme="majorBidi"/>
      <w:b/>
      <w:bCs/>
      <w:color w:val="548DD4" w:themeColor="text2" w:themeTint="99"/>
      <w:sz w:val="32"/>
      <w:szCs w:val="28"/>
    </w:rPr>
  </w:style>
  <w:style w:type="paragraph" w:styleId="Title">
    <w:name w:val="Title"/>
    <w:basedOn w:val="Normal"/>
    <w:next w:val="Normal"/>
    <w:link w:val="TitleChar"/>
    <w:uiPriority w:val="10"/>
    <w:qFormat/>
    <w:rsid w:val="005A2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3EC"/>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9135B2"/>
    <w:pPr>
      <w:spacing w:after="0" w:line="240" w:lineRule="auto"/>
    </w:pPr>
    <w:rPr>
      <w:szCs w:val="20"/>
    </w:rPr>
  </w:style>
  <w:style w:type="character" w:customStyle="1" w:styleId="EndnoteTextChar">
    <w:name w:val="Endnote Text Char"/>
    <w:basedOn w:val="DefaultParagraphFont"/>
    <w:link w:val="EndnoteText"/>
    <w:uiPriority w:val="99"/>
    <w:semiHidden/>
    <w:rsid w:val="009135B2"/>
    <w:rPr>
      <w:sz w:val="20"/>
      <w:szCs w:val="20"/>
    </w:rPr>
  </w:style>
  <w:style w:type="character" w:styleId="EndnoteReference">
    <w:name w:val="endnote reference"/>
    <w:uiPriority w:val="99"/>
    <w:semiHidden/>
    <w:unhideWhenUsed/>
    <w:rsid w:val="009135B2"/>
    <w:rPr>
      <w:vertAlign w:val="superscript"/>
    </w:rPr>
  </w:style>
  <w:style w:type="character" w:styleId="CommentReference">
    <w:name w:val="annotation reference"/>
    <w:basedOn w:val="DefaultParagraphFont"/>
    <w:uiPriority w:val="99"/>
    <w:unhideWhenUsed/>
    <w:rsid w:val="009135B2"/>
    <w:rPr>
      <w:sz w:val="16"/>
      <w:szCs w:val="16"/>
    </w:rPr>
  </w:style>
  <w:style w:type="paragraph" w:styleId="CommentText">
    <w:name w:val="annotation text"/>
    <w:basedOn w:val="Normal"/>
    <w:link w:val="CommentTextChar"/>
    <w:uiPriority w:val="99"/>
    <w:unhideWhenUsed/>
    <w:rsid w:val="009135B2"/>
    <w:pPr>
      <w:spacing w:line="240" w:lineRule="auto"/>
    </w:pPr>
    <w:rPr>
      <w:szCs w:val="20"/>
    </w:rPr>
  </w:style>
  <w:style w:type="character" w:customStyle="1" w:styleId="CommentTextChar">
    <w:name w:val="Comment Text Char"/>
    <w:basedOn w:val="DefaultParagraphFont"/>
    <w:link w:val="CommentText"/>
    <w:uiPriority w:val="99"/>
    <w:rsid w:val="009135B2"/>
    <w:rPr>
      <w:sz w:val="20"/>
      <w:szCs w:val="20"/>
    </w:rPr>
  </w:style>
  <w:style w:type="paragraph" w:styleId="BalloonText">
    <w:name w:val="Balloon Text"/>
    <w:basedOn w:val="Normal"/>
    <w:link w:val="BalloonTextChar"/>
    <w:uiPriority w:val="99"/>
    <w:semiHidden/>
    <w:unhideWhenUsed/>
    <w:rsid w:val="0091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B2"/>
    <w:rPr>
      <w:rFonts w:ascii="Tahoma" w:hAnsi="Tahoma" w:cs="Tahoma"/>
      <w:sz w:val="16"/>
      <w:szCs w:val="16"/>
    </w:rPr>
  </w:style>
  <w:style w:type="character" w:customStyle="1" w:styleId="Heading2Char">
    <w:name w:val="Heading 2 Char"/>
    <w:basedOn w:val="DefaultParagraphFont"/>
    <w:link w:val="Heading2"/>
    <w:uiPriority w:val="9"/>
    <w:rsid w:val="00471418"/>
    <w:rPr>
      <w:rFonts w:eastAsiaTheme="majorEastAsia" w:cstheme="majorBidi"/>
      <w:b/>
      <w:bCs/>
      <w:color w:val="1F497D" w:themeColor="text2"/>
      <w:sz w:val="28"/>
      <w:szCs w:val="26"/>
    </w:rPr>
  </w:style>
  <w:style w:type="paragraph" w:styleId="ListParagraph">
    <w:name w:val="List Paragraph"/>
    <w:basedOn w:val="Normal"/>
    <w:link w:val="ListParagraphChar"/>
    <w:uiPriority w:val="34"/>
    <w:qFormat/>
    <w:rsid w:val="00BE7E19"/>
    <w:pPr>
      <w:ind w:left="720"/>
      <w:contextualSpacing/>
    </w:pPr>
  </w:style>
  <w:style w:type="paragraph" w:styleId="TOCHeading">
    <w:name w:val="TOC Heading"/>
    <w:basedOn w:val="Heading1"/>
    <w:next w:val="Normal"/>
    <w:uiPriority w:val="39"/>
    <w:semiHidden/>
    <w:unhideWhenUsed/>
    <w:qFormat/>
    <w:rsid w:val="00DC1F4A"/>
    <w:pPr>
      <w:outlineLvl w:val="9"/>
    </w:pPr>
    <w:rPr>
      <w:lang w:val="en-US" w:eastAsia="ja-JP"/>
    </w:rPr>
  </w:style>
  <w:style w:type="paragraph" w:styleId="TOC1">
    <w:name w:val="toc 1"/>
    <w:basedOn w:val="Normal"/>
    <w:next w:val="Normal"/>
    <w:autoRedefine/>
    <w:uiPriority w:val="39"/>
    <w:unhideWhenUsed/>
    <w:rsid w:val="0091450A"/>
    <w:pPr>
      <w:tabs>
        <w:tab w:val="right" w:leader="dot" w:pos="9016"/>
      </w:tabs>
      <w:spacing w:after="100" w:line="240" w:lineRule="auto"/>
    </w:pPr>
  </w:style>
  <w:style w:type="paragraph" w:styleId="TOC2">
    <w:name w:val="toc 2"/>
    <w:basedOn w:val="Normal"/>
    <w:next w:val="Normal"/>
    <w:autoRedefine/>
    <w:uiPriority w:val="39"/>
    <w:unhideWhenUsed/>
    <w:rsid w:val="00DC1F4A"/>
    <w:pPr>
      <w:spacing w:after="100"/>
      <w:ind w:left="220"/>
    </w:pPr>
  </w:style>
  <w:style w:type="character" w:styleId="Hyperlink">
    <w:name w:val="Hyperlink"/>
    <w:basedOn w:val="DefaultParagraphFont"/>
    <w:uiPriority w:val="99"/>
    <w:unhideWhenUsed/>
    <w:rsid w:val="00DC1F4A"/>
    <w:rPr>
      <w:color w:val="0000FF" w:themeColor="hyperlink"/>
      <w:u w:val="single"/>
    </w:rPr>
  </w:style>
  <w:style w:type="paragraph" w:styleId="Header">
    <w:name w:val="header"/>
    <w:basedOn w:val="Normal"/>
    <w:link w:val="HeaderChar"/>
    <w:uiPriority w:val="99"/>
    <w:unhideWhenUsed/>
    <w:rsid w:val="0096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E6"/>
  </w:style>
  <w:style w:type="paragraph" w:styleId="Footer">
    <w:name w:val="footer"/>
    <w:basedOn w:val="Normal"/>
    <w:link w:val="FooterChar"/>
    <w:uiPriority w:val="99"/>
    <w:unhideWhenUsed/>
    <w:rsid w:val="00964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E6"/>
  </w:style>
  <w:style w:type="table" w:styleId="TableGrid">
    <w:name w:val="Table Grid"/>
    <w:basedOn w:val="TableNormal"/>
    <w:uiPriority w:val="39"/>
    <w:rsid w:val="0004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2EE0"/>
    <w:rPr>
      <w:b/>
      <w:bCs/>
    </w:rPr>
  </w:style>
  <w:style w:type="character" w:customStyle="1" w:styleId="CommentSubjectChar">
    <w:name w:val="Comment Subject Char"/>
    <w:basedOn w:val="CommentTextChar"/>
    <w:link w:val="CommentSubject"/>
    <w:uiPriority w:val="99"/>
    <w:semiHidden/>
    <w:rsid w:val="00B72EE0"/>
    <w:rPr>
      <w:b/>
      <w:bCs/>
      <w:sz w:val="20"/>
      <w:szCs w:val="20"/>
    </w:rPr>
  </w:style>
  <w:style w:type="table" w:styleId="ColorfulGrid-Accent1">
    <w:name w:val="Colorful Grid Accent 1"/>
    <w:basedOn w:val="TableNormal"/>
    <w:uiPriority w:val="73"/>
    <w:rsid w:val="003255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3255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474D5E"/>
    <w:rPr>
      <w:rFonts w:ascii="Times New Roman" w:hAnsi="Times New Roman" w:cs="Times New Roman"/>
      <w:sz w:val="24"/>
      <w:szCs w:val="24"/>
    </w:rPr>
  </w:style>
  <w:style w:type="character" w:customStyle="1" w:styleId="ListParagraphChar">
    <w:name w:val="List Paragraph Char"/>
    <w:link w:val="ListParagraph"/>
    <w:uiPriority w:val="34"/>
    <w:rsid w:val="0058337E"/>
  </w:style>
  <w:style w:type="paragraph" w:customStyle="1" w:styleId="Tablenormal0">
    <w:name w:val="Table normal"/>
    <w:basedOn w:val="Normal"/>
    <w:qFormat/>
    <w:rsid w:val="00231068"/>
    <w:pPr>
      <w:keepLines/>
      <w:spacing w:before="40" w:after="0" w:line="240" w:lineRule="auto"/>
    </w:pPr>
    <w:rPr>
      <w:rFonts w:ascii="Sylfaen" w:eastAsia="Calibri" w:hAnsi="Sylfaen" w:cs="Tahoma"/>
      <w:sz w:val="21"/>
      <w:szCs w:val="20"/>
      <w:lang w:eastAsia="en-NZ"/>
    </w:rPr>
  </w:style>
  <w:style w:type="paragraph" w:customStyle="1" w:styleId="Tableheader">
    <w:name w:val="Table header"/>
    <w:basedOn w:val="Tablenormal0"/>
    <w:qFormat/>
    <w:rsid w:val="00231068"/>
    <w:pPr>
      <w:keepNext/>
      <w:spacing w:before="80"/>
    </w:pPr>
    <w:rPr>
      <w:rFonts w:ascii="Museo Slab 500" w:eastAsiaTheme="minorHAnsi" w:hAnsi="Museo Slab 500" w:cstheme="minorBidi"/>
      <w:color w:val="FFFFFF" w:themeColor="background1"/>
      <w:szCs w:val="21"/>
      <w:lang w:val="en-US" w:eastAsia="en-US"/>
    </w:rPr>
  </w:style>
  <w:style w:type="paragraph" w:styleId="Revision">
    <w:name w:val="Revision"/>
    <w:hidden/>
    <w:uiPriority w:val="99"/>
    <w:semiHidden/>
    <w:rsid w:val="00237CD6"/>
    <w:pPr>
      <w:spacing w:after="0" w:line="240" w:lineRule="auto"/>
    </w:pPr>
  </w:style>
  <w:style w:type="table" w:customStyle="1" w:styleId="TableGrid2">
    <w:name w:val="Table Grid2"/>
    <w:basedOn w:val="TableNormal"/>
    <w:next w:val="TableGrid"/>
    <w:uiPriority w:val="59"/>
    <w:rsid w:val="007A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406C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406C7"/>
    <w:rPr>
      <w:rFonts w:ascii="Lucida Grande" w:hAnsi="Lucida Grande" w:cs="Lucida Grande"/>
      <w:sz w:val="24"/>
      <w:szCs w:val="24"/>
    </w:rPr>
  </w:style>
  <w:style w:type="character" w:styleId="FollowedHyperlink">
    <w:name w:val="FollowedHyperlink"/>
    <w:basedOn w:val="DefaultParagraphFont"/>
    <w:uiPriority w:val="99"/>
    <w:semiHidden/>
    <w:unhideWhenUsed/>
    <w:rsid w:val="0007790B"/>
    <w:rPr>
      <w:color w:val="800080" w:themeColor="followedHyperlink"/>
      <w:u w:val="single"/>
    </w:rPr>
  </w:style>
  <w:style w:type="paragraph" w:customStyle="1" w:styleId="EndNoteBibliographyTitle">
    <w:name w:val="EndNote Bibliography Title"/>
    <w:basedOn w:val="Normal"/>
    <w:link w:val="EndNoteBibliographyTitleChar"/>
    <w:rsid w:val="00AC75D3"/>
    <w:pPr>
      <w:spacing w:after="0"/>
      <w:jc w:val="center"/>
    </w:pPr>
    <w:rPr>
      <w:rFonts w:ascii="Cambria" w:hAnsi="Cambria"/>
      <w:noProof/>
      <w:sz w:val="28"/>
      <w:lang w:val="en-US"/>
    </w:rPr>
  </w:style>
  <w:style w:type="character" w:customStyle="1" w:styleId="EndNoteBibliographyTitleChar">
    <w:name w:val="EndNote Bibliography Title Char"/>
    <w:basedOn w:val="ListParagraphChar"/>
    <w:link w:val="EndNoteBibliographyTitle"/>
    <w:rsid w:val="00AC75D3"/>
    <w:rPr>
      <w:rFonts w:ascii="Cambria" w:hAnsi="Cambria"/>
      <w:noProof/>
      <w:sz w:val="28"/>
      <w:lang w:val="en-US"/>
    </w:rPr>
  </w:style>
  <w:style w:type="paragraph" w:customStyle="1" w:styleId="EndNoteBibliography">
    <w:name w:val="EndNote Bibliography"/>
    <w:basedOn w:val="Normal"/>
    <w:link w:val="EndNoteBibliographyChar"/>
    <w:rsid w:val="00AC75D3"/>
    <w:pPr>
      <w:spacing w:line="240" w:lineRule="auto"/>
    </w:pPr>
    <w:rPr>
      <w:rFonts w:ascii="Cambria" w:hAnsi="Cambria"/>
      <w:noProof/>
      <w:sz w:val="28"/>
      <w:lang w:val="en-US"/>
    </w:rPr>
  </w:style>
  <w:style w:type="character" w:customStyle="1" w:styleId="EndNoteBibliographyChar">
    <w:name w:val="EndNote Bibliography Char"/>
    <w:basedOn w:val="ListParagraphChar"/>
    <w:link w:val="EndNoteBibliography"/>
    <w:rsid w:val="00AC75D3"/>
    <w:rPr>
      <w:rFonts w:ascii="Cambria" w:hAnsi="Cambria"/>
      <w:noProof/>
      <w:sz w:val="28"/>
      <w:lang w:val="en-US"/>
    </w:rPr>
  </w:style>
  <w:style w:type="paragraph" w:customStyle="1" w:styleId="TableParagraph">
    <w:name w:val="Table Paragraph"/>
    <w:basedOn w:val="Normal"/>
    <w:uiPriority w:val="1"/>
    <w:qFormat/>
    <w:rsid w:val="006230A6"/>
    <w:pPr>
      <w:widowControl w:val="0"/>
      <w:spacing w:after="0" w:line="240" w:lineRule="auto"/>
      <w:ind w:left="103"/>
    </w:pPr>
    <w:rPr>
      <w:rFonts w:ascii="Calibri" w:eastAsia="Calibri" w:hAnsi="Calibri" w:cs="Calibri"/>
      <w:lang w:val="en-US"/>
    </w:rPr>
  </w:style>
  <w:style w:type="paragraph" w:styleId="BodyText">
    <w:name w:val="Body Text"/>
    <w:basedOn w:val="Normal"/>
    <w:link w:val="BodyTextChar"/>
    <w:uiPriority w:val="1"/>
    <w:qFormat/>
    <w:rsid w:val="00243193"/>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43193"/>
    <w:rPr>
      <w:rFonts w:ascii="Calibri" w:eastAsia="Calibri" w:hAnsi="Calibri" w:cs="Calibri"/>
      <w:lang w:val="en-US"/>
    </w:rPr>
  </w:style>
  <w:style w:type="paragraph" w:customStyle="1" w:styleId="Tablebullet">
    <w:name w:val="Table bullet"/>
    <w:basedOn w:val="BodyText"/>
    <w:link w:val="TablebulletChar"/>
    <w:qFormat/>
    <w:rsid w:val="00140CB8"/>
    <w:pPr>
      <w:keepLines/>
      <w:widowControl/>
      <w:numPr>
        <w:numId w:val="39"/>
      </w:numPr>
      <w:ind w:left="295" w:hanging="284"/>
    </w:pPr>
    <w:rPr>
      <w:rFonts w:eastAsiaTheme="minorEastAsia"/>
      <w:szCs w:val="20"/>
      <w:lang w:val="en-AU"/>
    </w:rPr>
  </w:style>
  <w:style w:type="character" w:customStyle="1" w:styleId="TablebulletChar">
    <w:name w:val="Table bullet Char"/>
    <w:basedOn w:val="BodyTextChar"/>
    <w:link w:val="Tablebullet"/>
    <w:rsid w:val="00140CB8"/>
    <w:rPr>
      <w:rFonts w:ascii="Calibri" w:eastAsiaTheme="minorEastAsia" w:hAnsi="Calibri" w:cs="Calibri"/>
      <w:sz w:val="20"/>
      <w:szCs w:val="20"/>
      <w:lang w:val="en-AU"/>
    </w:rPr>
  </w:style>
  <w:style w:type="character" w:customStyle="1" w:styleId="Heading4Char">
    <w:name w:val="Heading 4 Char"/>
    <w:basedOn w:val="DefaultParagraphFont"/>
    <w:link w:val="Heading4"/>
    <w:uiPriority w:val="9"/>
    <w:rsid w:val="00140CB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FB4377"/>
    <w:rPr>
      <w:b/>
      <w:bCs/>
    </w:rPr>
  </w:style>
  <w:style w:type="table" w:customStyle="1" w:styleId="TableGrid3">
    <w:name w:val="Table Grid3"/>
    <w:basedOn w:val="TableNormal"/>
    <w:next w:val="TableGrid"/>
    <w:uiPriority w:val="59"/>
    <w:rsid w:val="0064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12E6"/>
    <w:pPr>
      <w:spacing w:after="0" w:line="240" w:lineRule="auto"/>
    </w:pPr>
    <w:rPr>
      <w:szCs w:val="20"/>
    </w:rPr>
  </w:style>
  <w:style w:type="character" w:customStyle="1" w:styleId="FootnoteTextChar">
    <w:name w:val="Footnote Text Char"/>
    <w:basedOn w:val="DefaultParagraphFont"/>
    <w:link w:val="FootnoteText"/>
    <w:uiPriority w:val="99"/>
    <w:semiHidden/>
    <w:rsid w:val="007D12E6"/>
    <w:rPr>
      <w:sz w:val="20"/>
      <w:szCs w:val="20"/>
    </w:rPr>
  </w:style>
  <w:style w:type="character" w:styleId="FootnoteReference">
    <w:name w:val="footnote reference"/>
    <w:basedOn w:val="DefaultParagraphFont"/>
    <w:uiPriority w:val="99"/>
    <w:semiHidden/>
    <w:unhideWhenUsed/>
    <w:rsid w:val="007D12E6"/>
    <w:rPr>
      <w:vertAlign w:val="superscript"/>
    </w:rPr>
  </w:style>
  <w:style w:type="character" w:customStyle="1" w:styleId="Heading3Char">
    <w:name w:val="Heading 3 Char"/>
    <w:basedOn w:val="DefaultParagraphFont"/>
    <w:link w:val="Heading3"/>
    <w:uiPriority w:val="9"/>
    <w:rsid w:val="00471418"/>
    <w:rPr>
      <w:rFonts w:eastAsiaTheme="majorEastAsia" w:cstheme="majorBidi"/>
      <w:b/>
      <w:bCs/>
      <w:color w:val="1F497D" w:themeColor="text2"/>
      <w:sz w:val="28"/>
    </w:rPr>
  </w:style>
  <w:style w:type="paragraph" w:styleId="TOC3">
    <w:name w:val="toc 3"/>
    <w:basedOn w:val="Normal"/>
    <w:next w:val="Normal"/>
    <w:autoRedefine/>
    <w:uiPriority w:val="39"/>
    <w:unhideWhenUsed/>
    <w:rsid w:val="00DB103E"/>
    <w:pPr>
      <w:spacing w:after="100"/>
      <w:ind w:left="440"/>
    </w:pPr>
  </w:style>
  <w:style w:type="character" w:styleId="Emphasis">
    <w:name w:val="Emphasis"/>
    <w:basedOn w:val="DefaultParagraphFont"/>
    <w:uiPriority w:val="20"/>
    <w:qFormat/>
    <w:rsid w:val="004F47DD"/>
    <w:rPr>
      <w:i/>
      <w:iCs/>
    </w:rPr>
  </w:style>
  <w:style w:type="character" w:customStyle="1" w:styleId="UnresolvedMention1">
    <w:name w:val="Unresolved Mention1"/>
    <w:basedOn w:val="DefaultParagraphFont"/>
    <w:uiPriority w:val="99"/>
    <w:semiHidden/>
    <w:unhideWhenUsed/>
    <w:rsid w:val="00F24BC8"/>
    <w:rPr>
      <w:color w:val="605E5C"/>
      <w:shd w:val="clear" w:color="auto" w:fill="E1DFDD"/>
    </w:rPr>
  </w:style>
  <w:style w:type="table" w:styleId="ListTable4-Accent5">
    <w:name w:val="List Table 4 Accent 5"/>
    <w:basedOn w:val="TableNormal"/>
    <w:uiPriority w:val="49"/>
    <w:rsid w:val="00CC61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0135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3D02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024F"/>
    <w:rPr>
      <w:rFonts w:eastAsiaTheme="minorEastAsia"/>
      <w:color w:val="5A5A5A" w:themeColor="text1" w:themeTint="A5"/>
      <w:spacing w:val="15"/>
    </w:rPr>
  </w:style>
  <w:style w:type="character" w:styleId="PlaceholderText">
    <w:name w:val="Placeholder Text"/>
    <w:basedOn w:val="DefaultParagraphFont"/>
    <w:uiPriority w:val="99"/>
    <w:semiHidden/>
    <w:rsid w:val="005E0AA5"/>
    <w:rPr>
      <w:color w:val="808080"/>
    </w:rPr>
  </w:style>
  <w:style w:type="character" w:customStyle="1" w:styleId="UnresolvedMention2">
    <w:name w:val="Unresolved Mention2"/>
    <w:basedOn w:val="DefaultParagraphFont"/>
    <w:uiPriority w:val="99"/>
    <w:semiHidden/>
    <w:unhideWhenUsed/>
    <w:rsid w:val="00C74692"/>
    <w:rPr>
      <w:color w:val="605E5C"/>
      <w:shd w:val="clear" w:color="auto" w:fill="E1DFDD"/>
    </w:rPr>
  </w:style>
  <w:style w:type="character" w:customStyle="1" w:styleId="normaltextrun">
    <w:name w:val="normaltextrun"/>
    <w:basedOn w:val="DefaultParagraphFont"/>
    <w:rsid w:val="006C19D1"/>
  </w:style>
  <w:style w:type="paragraph" w:customStyle="1" w:styleId="paragraph">
    <w:name w:val="paragraph"/>
    <w:basedOn w:val="Normal"/>
    <w:rsid w:val="006C19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4B0AC3"/>
    <w:pPr>
      <w:spacing w:after="0" w:line="240" w:lineRule="auto"/>
    </w:pPr>
    <w:rPr>
      <w:rFonts w:eastAsiaTheme="minorEastAsia"/>
      <w:lang w:val="en" w:eastAsia="en-GB"/>
    </w:rPr>
  </w:style>
  <w:style w:type="character" w:customStyle="1" w:styleId="NoSpacingChar">
    <w:name w:val="No Spacing Char"/>
    <w:basedOn w:val="DefaultParagraphFont"/>
    <w:link w:val="NoSpacing"/>
    <w:uiPriority w:val="1"/>
    <w:rsid w:val="004B0AC3"/>
    <w:rPr>
      <w:rFonts w:eastAsiaTheme="minorEastAsia"/>
      <w:lang w:val="en" w:eastAsia="en-GB"/>
    </w:rPr>
  </w:style>
  <w:style w:type="character" w:customStyle="1" w:styleId="UnresolvedMention3">
    <w:name w:val="Unresolved Mention3"/>
    <w:basedOn w:val="DefaultParagraphFont"/>
    <w:uiPriority w:val="99"/>
    <w:semiHidden/>
    <w:unhideWhenUsed/>
    <w:rsid w:val="00E427DE"/>
    <w:rPr>
      <w:color w:val="605E5C"/>
      <w:shd w:val="clear" w:color="auto" w:fill="E1DFDD"/>
    </w:rPr>
  </w:style>
  <w:style w:type="paragraph" w:customStyle="1" w:styleId="mcntmcntmsolistparagraph2">
    <w:name w:val="mcntmcntmsolistparagraph2"/>
    <w:basedOn w:val="Normal"/>
    <w:rsid w:val="004D2D5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cntmsonormal">
    <w:name w:val="mcntmsonormal"/>
    <w:basedOn w:val="Normal"/>
    <w:rsid w:val="00F3209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5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608">
      <w:bodyDiv w:val="1"/>
      <w:marLeft w:val="0"/>
      <w:marRight w:val="0"/>
      <w:marTop w:val="0"/>
      <w:marBottom w:val="0"/>
      <w:divBdr>
        <w:top w:val="none" w:sz="0" w:space="0" w:color="auto"/>
        <w:left w:val="none" w:sz="0" w:space="0" w:color="auto"/>
        <w:bottom w:val="none" w:sz="0" w:space="0" w:color="auto"/>
        <w:right w:val="none" w:sz="0" w:space="0" w:color="auto"/>
      </w:divBdr>
      <w:divsChild>
        <w:div w:id="1294628549">
          <w:marLeft w:val="0"/>
          <w:marRight w:val="0"/>
          <w:marTop w:val="0"/>
          <w:marBottom w:val="0"/>
          <w:divBdr>
            <w:top w:val="none" w:sz="0" w:space="0" w:color="auto"/>
            <w:left w:val="none" w:sz="0" w:space="0" w:color="auto"/>
            <w:bottom w:val="none" w:sz="0" w:space="0" w:color="auto"/>
            <w:right w:val="none" w:sz="0" w:space="0" w:color="auto"/>
          </w:divBdr>
          <w:divsChild>
            <w:div w:id="251672214">
              <w:marLeft w:val="0"/>
              <w:marRight w:val="0"/>
              <w:marTop w:val="0"/>
              <w:marBottom w:val="0"/>
              <w:divBdr>
                <w:top w:val="none" w:sz="0" w:space="0" w:color="auto"/>
                <w:left w:val="none" w:sz="0" w:space="0" w:color="auto"/>
                <w:bottom w:val="none" w:sz="0" w:space="0" w:color="auto"/>
                <w:right w:val="none" w:sz="0" w:space="0" w:color="auto"/>
              </w:divBdr>
              <w:divsChild>
                <w:div w:id="1213495228">
                  <w:marLeft w:val="0"/>
                  <w:marRight w:val="0"/>
                  <w:marTop w:val="0"/>
                  <w:marBottom w:val="0"/>
                  <w:divBdr>
                    <w:top w:val="none" w:sz="0" w:space="0" w:color="auto"/>
                    <w:left w:val="none" w:sz="0" w:space="0" w:color="auto"/>
                    <w:bottom w:val="none" w:sz="0" w:space="0" w:color="auto"/>
                    <w:right w:val="none" w:sz="0" w:space="0" w:color="auto"/>
                  </w:divBdr>
                </w:div>
              </w:divsChild>
            </w:div>
            <w:div w:id="397287268">
              <w:marLeft w:val="0"/>
              <w:marRight w:val="0"/>
              <w:marTop w:val="0"/>
              <w:marBottom w:val="0"/>
              <w:divBdr>
                <w:top w:val="none" w:sz="0" w:space="0" w:color="auto"/>
                <w:left w:val="none" w:sz="0" w:space="0" w:color="auto"/>
                <w:bottom w:val="none" w:sz="0" w:space="0" w:color="auto"/>
                <w:right w:val="none" w:sz="0" w:space="0" w:color="auto"/>
              </w:divBdr>
              <w:divsChild>
                <w:div w:id="1911623151">
                  <w:marLeft w:val="0"/>
                  <w:marRight w:val="0"/>
                  <w:marTop w:val="0"/>
                  <w:marBottom w:val="0"/>
                  <w:divBdr>
                    <w:top w:val="none" w:sz="0" w:space="0" w:color="auto"/>
                    <w:left w:val="none" w:sz="0" w:space="0" w:color="auto"/>
                    <w:bottom w:val="none" w:sz="0" w:space="0" w:color="auto"/>
                    <w:right w:val="none" w:sz="0" w:space="0" w:color="auto"/>
                  </w:divBdr>
                </w:div>
              </w:divsChild>
            </w:div>
            <w:div w:id="774180793">
              <w:marLeft w:val="0"/>
              <w:marRight w:val="0"/>
              <w:marTop w:val="0"/>
              <w:marBottom w:val="0"/>
              <w:divBdr>
                <w:top w:val="none" w:sz="0" w:space="0" w:color="auto"/>
                <w:left w:val="none" w:sz="0" w:space="0" w:color="auto"/>
                <w:bottom w:val="none" w:sz="0" w:space="0" w:color="auto"/>
                <w:right w:val="none" w:sz="0" w:space="0" w:color="auto"/>
              </w:divBdr>
              <w:divsChild>
                <w:div w:id="1098600722">
                  <w:marLeft w:val="0"/>
                  <w:marRight w:val="0"/>
                  <w:marTop w:val="0"/>
                  <w:marBottom w:val="0"/>
                  <w:divBdr>
                    <w:top w:val="none" w:sz="0" w:space="0" w:color="auto"/>
                    <w:left w:val="none" w:sz="0" w:space="0" w:color="auto"/>
                    <w:bottom w:val="none" w:sz="0" w:space="0" w:color="auto"/>
                    <w:right w:val="none" w:sz="0" w:space="0" w:color="auto"/>
                  </w:divBdr>
                </w:div>
              </w:divsChild>
            </w:div>
            <w:div w:id="1656102261">
              <w:marLeft w:val="0"/>
              <w:marRight w:val="0"/>
              <w:marTop w:val="0"/>
              <w:marBottom w:val="0"/>
              <w:divBdr>
                <w:top w:val="none" w:sz="0" w:space="0" w:color="auto"/>
                <w:left w:val="none" w:sz="0" w:space="0" w:color="auto"/>
                <w:bottom w:val="none" w:sz="0" w:space="0" w:color="auto"/>
                <w:right w:val="none" w:sz="0" w:space="0" w:color="auto"/>
              </w:divBdr>
              <w:divsChild>
                <w:div w:id="1559710971">
                  <w:marLeft w:val="0"/>
                  <w:marRight w:val="0"/>
                  <w:marTop w:val="0"/>
                  <w:marBottom w:val="0"/>
                  <w:divBdr>
                    <w:top w:val="none" w:sz="0" w:space="0" w:color="auto"/>
                    <w:left w:val="none" w:sz="0" w:space="0" w:color="auto"/>
                    <w:bottom w:val="none" w:sz="0" w:space="0" w:color="auto"/>
                    <w:right w:val="none" w:sz="0" w:space="0" w:color="auto"/>
                  </w:divBdr>
                </w:div>
              </w:divsChild>
            </w:div>
            <w:div w:id="1886065409">
              <w:marLeft w:val="0"/>
              <w:marRight w:val="0"/>
              <w:marTop w:val="0"/>
              <w:marBottom w:val="0"/>
              <w:divBdr>
                <w:top w:val="none" w:sz="0" w:space="0" w:color="auto"/>
                <w:left w:val="none" w:sz="0" w:space="0" w:color="auto"/>
                <w:bottom w:val="none" w:sz="0" w:space="0" w:color="auto"/>
                <w:right w:val="none" w:sz="0" w:space="0" w:color="auto"/>
              </w:divBdr>
              <w:divsChild>
                <w:div w:id="11938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5024">
      <w:bodyDiv w:val="1"/>
      <w:marLeft w:val="0"/>
      <w:marRight w:val="0"/>
      <w:marTop w:val="0"/>
      <w:marBottom w:val="0"/>
      <w:divBdr>
        <w:top w:val="none" w:sz="0" w:space="0" w:color="auto"/>
        <w:left w:val="none" w:sz="0" w:space="0" w:color="auto"/>
        <w:bottom w:val="none" w:sz="0" w:space="0" w:color="auto"/>
        <w:right w:val="none" w:sz="0" w:space="0" w:color="auto"/>
      </w:divBdr>
      <w:divsChild>
        <w:div w:id="1770153743">
          <w:marLeft w:val="720"/>
          <w:marRight w:val="0"/>
          <w:marTop w:val="0"/>
          <w:marBottom w:val="0"/>
          <w:divBdr>
            <w:top w:val="none" w:sz="0" w:space="0" w:color="auto"/>
            <w:left w:val="none" w:sz="0" w:space="0" w:color="auto"/>
            <w:bottom w:val="none" w:sz="0" w:space="0" w:color="auto"/>
            <w:right w:val="none" w:sz="0" w:space="0" w:color="auto"/>
          </w:divBdr>
        </w:div>
        <w:div w:id="1060862340">
          <w:marLeft w:val="720"/>
          <w:marRight w:val="0"/>
          <w:marTop w:val="0"/>
          <w:marBottom w:val="0"/>
          <w:divBdr>
            <w:top w:val="none" w:sz="0" w:space="0" w:color="auto"/>
            <w:left w:val="none" w:sz="0" w:space="0" w:color="auto"/>
            <w:bottom w:val="none" w:sz="0" w:space="0" w:color="auto"/>
            <w:right w:val="none" w:sz="0" w:space="0" w:color="auto"/>
          </w:divBdr>
        </w:div>
        <w:div w:id="2016493061">
          <w:marLeft w:val="720"/>
          <w:marRight w:val="0"/>
          <w:marTop w:val="0"/>
          <w:marBottom w:val="0"/>
          <w:divBdr>
            <w:top w:val="none" w:sz="0" w:space="0" w:color="auto"/>
            <w:left w:val="none" w:sz="0" w:space="0" w:color="auto"/>
            <w:bottom w:val="none" w:sz="0" w:space="0" w:color="auto"/>
            <w:right w:val="none" w:sz="0" w:space="0" w:color="auto"/>
          </w:divBdr>
        </w:div>
        <w:div w:id="1293290933">
          <w:marLeft w:val="720"/>
          <w:marRight w:val="0"/>
          <w:marTop w:val="0"/>
          <w:marBottom w:val="0"/>
          <w:divBdr>
            <w:top w:val="none" w:sz="0" w:space="0" w:color="auto"/>
            <w:left w:val="none" w:sz="0" w:space="0" w:color="auto"/>
            <w:bottom w:val="none" w:sz="0" w:space="0" w:color="auto"/>
            <w:right w:val="none" w:sz="0" w:space="0" w:color="auto"/>
          </w:divBdr>
        </w:div>
        <w:div w:id="1941986247">
          <w:marLeft w:val="720"/>
          <w:marRight w:val="0"/>
          <w:marTop w:val="0"/>
          <w:marBottom w:val="0"/>
          <w:divBdr>
            <w:top w:val="none" w:sz="0" w:space="0" w:color="auto"/>
            <w:left w:val="none" w:sz="0" w:space="0" w:color="auto"/>
            <w:bottom w:val="none" w:sz="0" w:space="0" w:color="auto"/>
            <w:right w:val="none" w:sz="0" w:space="0" w:color="auto"/>
          </w:divBdr>
        </w:div>
      </w:divsChild>
    </w:div>
    <w:div w:id="66196340">
      <w:bodyDiv w:val="1"/>
      <w:marLeft w:val="0"/>
      <w:marRight w:val="0"/>
      <w:marTop w:val="0"/>
      <w:marBottom w:val="0"/>
      <w:divBdr>
        <w:top w:val="none" w:sz="0" w:space="0" w:color="auto"/>
        <w:left w:val="none" w:sz="0" w:space="0" w:color="auto"/>
        <w:bottom w:val="none" w:sz="0" w:space="0" w:color="auto"/>
        <w:right w:val="none" w:sz="0" w:space="0" w:color="auto"/>
      </w:divBdr>
      <w:divsChild>
        <w:div w:id="264579071">
          <w:marLeft w:val="0"/>
          <w:marRight w:val="0"/>
          <w:marTop w:val="0"/>
          <w:marBottom w:val="0"/>
          <w:divBdr>
            <w:top w:val="none" w:sz="0" w:space="0" w:color="auto"/>
            <w:left w:val="none" w:sz="0" w:space="0" w:color="auto"/>
            <w:bottom w:val="none" w:sz="0" w:space="0" w:color="auto"/>
            <w:right w:val="none" w:sz="0" w:space="0" w:color="auto"/>
          </w:divBdr>
          <w:divsChild>
            <w:div w:id="364255995">
              <w:marLeft w:val="0"/>
              <w:marRight w:val="0"/>
              <w:marTop w:val="0"/>
              <w:marBottom w:val="0"/>
              <w:divBdr>
                <w:top w:val="none" w:sz="0" w:space="0" w:color="auto"/>
                <w:left w:val="none" w:sz="0" w:space="0" w:color="auto"/>
                <w:bottom w:val="none" w:sz="0" w:space="0" w:color="auto"/>
                <w:right w:val="none" w:sz="0" w:space="0" w:color="auto"/>
              </w:divBdr>
              <w:divsChild>
                <w:div w:id="891036268">
                  <w:marLeft w:val="0"/>
                  <w:marRight w:val="0"/>
                  <w:marTop w:val="0"/>
                  <w:marBottom w:val="0"/>
                  <w:divBdr>
                    <w:top w:val="none" w:sz="0" w:space="0" w:color="auto"/>
                    <w:left w:val="none" w:sz="0" w:space="0" w:color="auto"/>
                    <w:bottom w:val="none" w:sz="0" w:space="0" w:color="auto"/>
                    <w:right w:val="none" w:sz="0" w:space="0" w:color="auto"/>
                  </w:divBdr>
                  <w:divsChild>
                    <w:div w:id="15828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727">
      <w:bodyDiv w:val="1"/>
      <w:marLeft w:val="0"/>
      <w:marRight w:val="0"/>
      <w:marTop w:val="0"/>
      <w:marBottom w:val="0"/>
      <w:divBdr>
        <w:top w:val="none" w:sz="0" w:space="0" w:color="auto"/>
        <w:left w:val="none" w:sz="0" w:space="0" w:color="auto"/>
        <w:bottom w:val="none" w:sz="0" w:space="0" w:color="auto"/>
        <w:right w:val="none" w:sz="0" w:space="0" w:color="auto"/>
      </w:divBdr>
      <w:divsChild>
        <w:div w:id="433063780">
          <w:marLeft w:val="0"/>
          <w:marRight w:val="0"/>
          <w:marTop w:val="0"/>
          <w:marBottom w:val="0"/>
          <w:divBdr>
            <w:top w:val="none" w:sz="0" w:space="0" w:color="auto"/>
            <w:left w:val="none" w:sz="0" w:space="0" w:color="auto"/>
            <w:bottom w:val="none" w:sz="0" w:space="0" w:color="auto"/>
            <w:right w:val="none" w:sz="0" w:space="0" w:color="auto"/>
          </w:divBdr>
          <w:divsChild>
            <w:div w:id="232198803">
              <w:marLeft w:val="0"/>
              <w:marRight w:val="0"/>
              <w:marTop w:val="0"/>
              <w:marBottom w:val="0"/>
              <w:divBdr>
                <w:top w:val="none" w:sz="0" w:space="0" w:color="auto"/>
                <w:left w:val="none" w:sz="0" w:space="0" w:color="auto"/>
                <w:bottom w:val="none" w:sz="0" w:space="0" w:color="auto"/>
                <w:right w:val="none" w:sz="0" w:space="0" w:color="auto"/>
              </w:divBdr>
              <w:divsChild>
                <w:div w:id="1512329716">
                  <w:marLeft w:val="0"/>
                  <w:marRight w:val="0"/>
                  <w:marTop w:val="0"/>
                  <w:marBottom w:val="0"/>
                  <w:divBdr>
                    <w:top w:val="none" w:sz="0" w:space="0" w:color="auto"/>
                    <w:left w:val="none" w:sz="0" w:space="0" w:color="auto"/>
                    <w:bottom w:val="none" w:sz="0" w:space="0" w:color="auto"/>
                    <w:right w:val="none" w:sz="0" w:space="0" w:color="auto"/>
                  </w:divBdr>
                  <w:divsChild>
                    <w:div w:id="9980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7151">
      <w:bodyDiv w:val="1"/>
      <w:marLeft w:val="0"/>
      <w:marRight w:val="0"/>
      <w:marTop w:val="0"/>
      <w:marBottom w:val="0"/>
      <w:divBdr>
        <w:top w:val="none" w:sz="0" w:space="0" w:color="auto"/>
        <w:left w:val="none" w:sz="0" w:space="0" w:color="auto"/>
        <w:bottom w:val="none" w:sz="0" w:space="0" w:color="auto"/>
        <w:right w:val="none" w:sz="0" w:space="0" w:color="auto"/>
      </w:divBdr>
    </w:div>
    <w:div w:id="176579262">
      <w:bodyDiv w:val="1"/>
      <w:marLeft w:val="0"/>
      <w:marRight w:val="0"/>
      <w:marTop w:val="0"/>
      <w:marBottom w:val="0"/>
      <w:divBdr>
        <w:top w:val="none" w:sz="0" w:space="0" w:color="auto"/>
        <w:left w:val="none" w:sz="0" w:space="0" w:color="auto"/>
        <w:bottom w:val="none" w:sz="0" w:space="0" w:color="auto"/>
        <w:right w:val="none" w:sz="0" w:space="0" w:color="auto"/>
      </w:divBdr>
    </w:div>
    <w:div w:id="212079222">
      <w:bodyDiv w:val="1"/>
      <w:marLeft w:val="0"/>
      <w:marRight w:val="0"/>
      <w:marTop w:val="0"/>
      <w:marBottom w:val="0"/>
      <w:divBdr>
        <w:top w:val="none" w:sz="0" w:space="0" w:color="auto"/>
        <w:left w:val="none" w:sz="0" w:space="0" w:color="auto"/>
        <w:bottom w:val="none" w:sz="0" w:space="0" w:color="auto"/>
        <w:right w:val="none" w:sz="0" w:space="0" w:color="auto"/>
      </w:divBdr>
      <w:divsChild>
        <w:div w:id="881747141">
          <w:marLeft w:val="0"/>
          <w:marRight w:val="0"/>
          <w:marTop w:val="0"/>
          <w:marBottom w:val="0"/>
          <w:divBdr>
            <w:top w:val="none" w:sz="0" w:space="0" w:color="auto"/>
            <w:left w:val="none" w:sz="0" w:space="0" w:color="auto"/>
            <w:bottom w:val="none" w:sz="0" w:space="0" w:color="auto"/>
            <w:right w:val="none" w:sz="0" w:space="0" w:color="auto"/>
          </w:divBdr>
          <w:divsChild>
            <w:div w:id="2004778711">
              <w:marLeft w:val="0"/>
              <w:marRight w:val="0"/>
              <w:marTop w:val="0"/>
              <w:marBottom w:val="0"/>
              <w:divBdr>
                <w:top w:val="none" w:sz="0" w:space="0" w:color="auto"/>
                <w:left w:val="none" w:sz="0" w:space="0" w:color="auto"/>
                <w:bottom w:val="none" w:sz="0" w:space="0" w:color="auto"/>
                <w:right w:val="none" w:sz="0" w:space="0" w:color="auto"/>
              </w:divBdr>
              <w:divsChild>
                <w:div w:id="1134327813">
                  <w:marLeft w:val="0"/>
                  <w:marRight w:val="0"/>
                  <w:marTop w:val="0"/>
                  <w:marBottom w:val="0"/>
                  <w:divBdr>
                    <w:top w:val="none" w:sz="0" w:space="0" w:color="auto"/>
                    <w:left w:val="none" w:sz="0" w:space="0" w:color="auto"/>
                    <w:bottom w:val="none" w:sz="0" w:space="0" w:color="auto"/>
                    <w:right w:val="none" w:sz="0" w:space="0" w:color="auto"/>
                  </w:divBdr>
                  <w:divsChild>
                    <w:div w:id="1537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8344">
      <w:bodyDiv w:val="1"/>
      <w:marLeft w:val="0"/>
      <w:marRight w:val="0"/>
      <w:marTop w:val="0"/>
      <w:marBottom w:val="0"/>
      <w:divBdr>
        <w:top w:val="none" w:sz="0" w:space="0" w:color="auto"/>
        <w:left w:val="none" w:sz="0" w:space="0" w:color="auto"/>
        <w:bottom w:val="none" w:sz="0" w:space="0" w:color="auto"/>
        <w:right w:val="none" w:sz="0" w:space="0" w:color="auto"/>
      </w:divBdr>
    </w:div>
    <w:div w:id="249658545">
      <w:bodyDiv w:val="1"/>
      <w:marLeft w:val="0"/>
      <w:marRight w:val="0"/>
      <w:marTop w:val="0"/>
      <w:marBottom w:val="0"/>
      <w:divBdr>
        <w:top w:val="none" w:sz="0" w:space="0" w:color="auto"/>
        <w:left w:val="none" w:sz="0" w:space="0" w:color="auto"/>
        <w:bottom w:val="none" w:sz="0" w:space="0" w:color="auto"/>
        <w:right w:val="none" w:sz="0" w:space="0" w:color="auto"/>
      </w:divBdr>
    </w:div>
    <w:div w:id="291446606">
      <w:bodyDiv w:val="1"/>
      <w:marLeft w:val="0"/>
      <w:marRight w:val="0"/>
      <w:marTop w:val="0"/>
      <w:marBottom w:val="0"/>
      <w:divBdr>
        <w:top w:val="none" w:sz="0" w:space="0" w:color="auto"/>
        <w:left w:val="none" w:sz="0" w:space="0" w:color="auto"/>
        <w:bottom w:val="none" w:sz="0" w:space="0" w:color="auto"/>
        <w:right w:val="none" w:sz="0" w:space="0" w:color="auto"/>
      </w:divBdr>
      <w:divsChild>
        <w:div w:id="1435248830">
          <w:marLeft w:val="0"/>
          <w:marRight w:val="0"/>
          <w:marTop w:val="0"/>
          <w:marBottom w:val="0"/>
          <w:divBdr>
            <w:top w:val="none" w:sz="0" w:space="0" w:color="auto"/>
            <w:left w:val="none" w:sz="0" w:space="0" w:color="auto"/>
            <w:bottom w:val="none" w:sz="0" w:space="0" w:color="auto"/>
            <w:right w:val="none" w:sz="0" w:space="0" w:color="auto"/>
          </w:divBdr>
        </w:div>
      </w:divsChild>
    </w:div>
    <w:div w:id="310064027">
      <w:bodyDiv w:val="1"/>
      <w:marLeft w:val="0"/>
      <w:marRight w:val="0"/>
      <w:marTop w:val="0"/>
      <w:marBottom w:val="0"/>
      <w:divBdr>
        <w:top w:val="none" w:sz="0" w:space="0" w:color="auto"/>
        <w:left w:val="none" w:sz="0" w:space="0" w:color="auto"/>
        <w:bottom w:val="none" w:sz="0" w:space="0" w:color="auto"/>
        <w:right w:val="none" w:sz="0" w:space="0" w:color="auto"/>
      </w:divBdr>
    </w:div>
    <w:div w:id="337735785">
      <w:bodyDiv w:val="1"/>
      <w:marLeft w:val="0"/>
      <w:marRight w:val="0"/>
      <w:marTop w:val="0"/>
      <w:marBottom w:val="0"/>
      <w:divBdr>
        <w:top w:val="none" w:sz="0" w:space="0" w:color="auto"/>
        <w:left w:val="none" w:sz="0" w:space="0" w:color="auto"/>
        <w:bottom w:val="none" w:sz="0" w:space="0" w:color="auto"/>
        <w:right w:val="none" w:sz="0" w:space="0" w:color="auto"/>
      </w:divBdr>
    </w:div>
    <w:div w:id="341277328">
      <w:bodyDiv w:val="1"/>
      <w:marLeft w:val="0"/>
      <w:marRight w:val="0"/>
      <w:marTop w:val="0"/>
      <w:marBottom w:val="0"/>
      <w:divBdr>
        <w:top w:val="none" w:sz="0" w:space="0" w:color="auto"/>
        <w:left w:val="none" w:sz="0" w:space="0" w:color="auto"/>
        <w:bottom w:val="none" w:sz="0" w:space="0" w:color="auto"/>
        <w:right w:val="none" w:sz="0" w:space="0" w:color="auto"/>
      </w:divBdr>
    </w:div>
    <w:div w:id="343677753">
      <w:bodyDiv w:val="1"/>
      <w:marLeft w:val="0"/>
      <w:marRight w:val="0"/>
      <w:marTop w:val="0"/>
      <w:marBottom w:val="0"/>
      <w:divBdr>
        <w:top w:val="none" w:sz="0" w:space="0" w:color="auto"/>
        <w:left w:val="none" w:sz="0" w:space="0" w:color="auto"/>
        <w:bottom w:val="none" w:sz="0" w:space="0" w:color="auto"/>
        <w:right w:val="none" w:sz="0" w:space="0" w:color="auto"/>
      </w:divBdr>
      <w:divsChild>
        <w:div w:id="1234199175">
          <w:marLeft w:val="0"/>
          <w:marRight w:val="0"/>
          <w:marTop w:val="0"/>
          <w:marBottom w:val="0"/>
          <w:divBdr>
            <w:top w:val="none" w:sz="0" w:space="0" w:color="auto"/>
            <w:left w:val="none" w:sz="0" w:space="0" w:color="auto"/>
            <w:bottom w:val="none" w:sz="0" w:space="0" w:color="auto"/>
            <w:right w:val="none" w:sz="0" w:space="0" w:color="auto"/>
          </w:divBdr>
        </w:div>
        <w:div w:id="2064140059">
          <w:marLeft w:val="0"/>
          <w:marRight w:val="0"/>
          <w:marTop w:val="0"/>
          <w:marBottom w:val="0"/>
          <w:divBdr>
            <w:top w:val="none" w:sz="0" w:space="0" w:color="auto"/>
            <w:left w:val="none" w:sz="0" w:space="0" w:color="auto"/>
            <w:bottom w:val="none" w:sz="0" w:space="0" w:color="auto"/>
            <w:right w:val="none" w:sz="0" w:space="0" w:color="auto"/>
          </w:divBdr>
        </w:div>
        <w:div w:id="2064600036">
          <w:marLeft w:val="0"/>
          <w:marRight w:val="0"/>
          <w:marTop w:val="0"/>
          <w:marBottom w:val="0"/>
          <w:divBdr>
            <w:top w:val="none" w:sz="0" w:space="0" w:color="auto"/>
            <w:left w:val="none" w:sz="0" w:space="0" w:color="auto"/>
            <w:bottom w:val="none" w:sz="0" w:space="0" w:color="auto"/>
            <w:right w:val="none" w:sz="0" w:space="0" w:color="auto"/>
          </w:divBdr>
        </w:div>
      </w:divsChild>
    </w:div>
    <w:div w:id="343747570">
      <w:bodyDiv w:val="1"/>
      <w:marLeft w:val="0"/>
      <w:marRight w:val="0"/>
      <w:marTop w:val="0"/>
      <w:marBottom w:val="0"/>
      <w:divBdr>
        <w:top w:val="none" w:sz="0" w:space="0" w:color="auto"/>
        <w:left w:val="none" w:sz="0" w:space="0" w:color="auto"/>
        <w:bottom w:val="none" w:sz="0" w:space="0" w:color="auto"/>
        <w:right w:val="none" w:sz="0" w:space="0" w:color="auto"/>
      </w:divBdr>
      <w:divsChild>
        <w:div w:id="1915582663">
          <w:marLeft w:val="0"/>
          <w:marRight w:val="0"/>
          <w:marTop w:val="0"/>
          <w:marBottom w:val="0"/>
          <w:divBdr>
            <w:top w:val="none" w:sz="0" w:space="0" w:color="auto"/>
            <w:left w:val="none" w:sz="0" w:space="0" w:color="auto"/>
            <w:bottom w:val="none" w:sz="0" w:space="0" w:color="auto"/>
            <w:right w:val="none" w:sz="0" w:space="0" w:color="auto"/>
          </w:divBdr>
          <w:divsChild>
            <w:div w:id="1779905035">
              <w:marLeft w:val="0"/>
              <w:marRight w:val="0"/>
              <w:marTop w:val="0"/>
              <w:marBottom w:val="0"/>
              <w:divBdr>
                <w:top w:val="none" w:sz="0" w:space="0" w:color="auto"/>
                <w:left w:val="none" w:sz="0" w:space="0" w:color="auto"/>
                <w:bottom w:val="none" w:sz="0" w:space="0" w:color="auto"/>
                <w:right w:val="none" w:sz="0" w:space="0" w:color="auto"/>
              </w:divBdr>
              <w:divsChild>
                <w:div w:id="868761867">
                  <w:marLeft w:val="0"/>
                  <w:marRight w:val="0"/>
                  <w:marTop w:val="0"/>
                  <w:marBottom w:val="0"/>
                  <w:divBdr>
                    <w:top w:val="none" w:sz="0" w:space="0" w:color="auto"/>
                    <w:left w:val="none" w:sz="0" w:space="0" w:color="auto"/>
                    <w:bottom w:val="none" w:sz="0" w:space="0" w:color="auto"/>
                    <w:right w:val="none" w:sz="0" w:space="0" w:color="auto"/>
                  </w:divBdr>
                  <w:divsChild>
                    <w:div w:id="111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8624">
      <w:bodyDiv w:val="1"/>
      <w:marLeft w:val="0"/>
      <w:marRight w:val="0"/>
      <w:marTop w:val="0"/>
      <w:marBottom w:val="0"/>
      <w:divBdr>
        <w:top w:val="none" w:sz="0" w:space="0" w:color="auto"/>
        <w:left w:val="none" w:sz="0" w:space="0" w:color="auto"/>
        <w:bottom w:val="none" w:sz="0" w:space="0" w:color="auto"/>
        <w:right w:val="none" w:sz="0" w:space="0" w:color="auto"/>
      </w:divBdr>
      <w:divsChild>
        <w:div w:id="2025745336">
          <w:marLeft w:val="0"/>
          <w:marRight w:val="0"/>
          <w:marTop w:val="0"/>
          <w:marBottom w:val="0"/>
          <w:divBdr>
            <w:top w:val="none" w:sz="0" w:space="0" w:color="auto"/>
            <w:left w:val="none" w:sz="0" w:space="0" w:color="auto"/>
            <w:bottom w:val="none" w:sz="0" w:space="0" w:color="auto"/>
            <w:right w:val="none" w:sz="0" w:space="0" w:color="auto"/>
          </w:divBdr>
          <w:divsChild>
            <w:div w:id="1458912383">
              <w:marLeft w:val="0"/>
              <w:marRight w:val="0"/>
              <w:marTop w:val="0"/>
              <w:marBottom w:val="0"/>
              <w:divBdr>
                <w:top w:val="none" w:sz="0" w:space="0" w:color="auto"/>
                <w:left w:val="none" w:sz="0" w:space="0" w:color="auto"/>
                <w:bottom w:val="none" w:sz="0" w:space="0" w:color="auto"/>
                <w:right w:val="none" w:sz="0" w:space="0" w:color="auto"/>
              </w:divBdr>
              <w:divsChild>
                <w:div w:id="248736190">
                  <w:marLeft w:val="0"/>
                  <w:marRight w:val="0"/>
                  <w:marTop w:val="0"/>
                  <w:marBottom w:val="0"/>
                  <w:divBdr>
                    <w:top w:val="none" w:sz="0" w:space="0" w:color="auto"/>
                    <w:left w:val="none" w:sz="0" w:space="0" w:color="auto"/>
                    <w:bottom w:val="none" w:sz="0" w:space="0" w:color="auto"/>
                    <w:right w:val="none" w:sz="0" w:space="0" w:color="auto"/>
                  </w:divBdr>
                  <w:divsChild>
                    <w:div w:id="5336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3489">
      <w:bodyDiv w:val="1"/>
      <w:marLeft w:val="0"/>
      <w:marRight w:val="0"/>
      <w:marTop w:val="0"/>
      <w:marBottom w:val="0"/>
      <w:divBdr>
        <w:top w:val="none" w:sz="0" w:space="0" w:color="auto"/>
        <w:left w:val="none" w:sz="0" w:space="0" w:color="auto"/>
        <w:bottom w:val="none" w:sz="0" w:space="0" w:color="auto"/>
        <w:right w:val="none" w:sz="0" w:space="0" w:color="auto"/>
      </w:divBdr>
    </w:div>
    <w:div w:id="364868083">
      <w:bodyDiv w:val="1"/>
      <w:marLeft w:val="0"/>
      <w:marRight w:val="0"/>
      <w:marTop w:val="0"/>
      <w:marBottom w:val="0"/>
      <w:divBdr>
        <w:top w:val="none" w:sz="0" w:space="0" w:color="auto"/>
        <w:left w:val="none" w:sz="0" w:space="0" w:color="auto"/>
        <w:bottom w:val="none" w:sz="0" w:space="0" w:color="auto"/>
        <w:right w:val="none" w:sz="0" w:space="0" w:color="auto"/>
      </w:divBdr>
    </w:div>
    <w:div w:id="366681549">
      <w:bodyDiv w:val="1"/>
      <w:marLeft w:val="0"/>
      <w:marRight w:val="0"/>
      <w:marTop w:val="0"/>
      <w:marBottom w:val="0"/>
      <w:divBdr>
        <w:top w:val="none" w:sz="0" w:space="0" w:color="auto"/>
        <w:left w:val="none" w:sz="0" w:space="0" w:color="auto"/>
        <w:bottom w:val="none" w:sz="0" w:space="0" w:color="auto"/>
        <w:right w:val="none" w:sz="0" w:space="0" w:color="auto"/>
      </w:divBdr>
      <w:divsChild>
        <w:div w:id="268582800">
          <w:marLeft w:val="0"/>
          <w:marRight w:val="0"/>
          <w:marTop w:val="0"/>
          <w:marBottom w:val="0"/>
          <w:divBdr>
            <w:top w:val="single" w:sz="2" w:space="0" w:color="81CC83"/>
            <w:left w:val="single" w:sz="6" w:space="0" w:color="81CC83"/>
            <w:bottom w:val="single" w:sz="6" w:space="0" w:color="81CC83"/>
            <w:right w:val="single" w:sz="6" w:space="0" w:color="81CC83"/>
          </w:divBdr>
          <w:divsChild>
            <w:div w:id="2051681967">
              <w:marLeft w:val="225"/>
              <w:marRight w:val="0"/>
              <w:marTop w:val="0"/>
              <w:marBottom w:val="0"/>
              <w:divBdr>
                <w:top w:val="none" w:sz="0" w:space="0" w:color="auto"/>
                <w:left w:val="none" w:sz="0" w:space="0" w:color="auto"/>
                <w:bottom w:val="none" w:sz="0" w:space="0" w:color="auto"/>
                <w:right w:val="none" w:sz="0" w:space="0" w:color="auto"/>
              </w:divBdr>
              <w:divsChild>
                <w:div w:id="12238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4088">
      <w:bodyDiv w:val="1"/>
      <w:marLeft w:val="0"/>
      <w:marRight w:val="0"/>
      <w:marTop w:val="0"/>
      <w:marBottom w:val="0"/>
      <w:divBdr>
        <w:top w:val="none" w:sz="0" w:space="0" w:color="auto"/>
        <w:left w:val="none" w:sz="0" w:space="0" w:color="auto"/>
        <w:bottom w:val="none" w:sz="0" w:space="0" w:color="auto"/>
        <w:right w:val="none" w:sz="0" w:space="0" w:color="auto"/>
      </w:divBdr>
    </w:div>
    <w:div w:id="504327473">
      <w:bodyDiv w:val="1"/>
      <w:marLeft w:val="0"/>
      <w:marRight w:val="0"/>
      <w:marTop w:val="0"/>
      <w:marBottom w:val="0"/>
      <w:divBdr>
        <w:top w:val="none" w:sz="0" w:space="0" w:color="auto"/>
        <w:left w:val="none" w:sz="0" w:space="0" w:color="auto"/>
        <w:bottom w:val="none" w:sz="0" w:space="0" w:color="auto"/>
        <w:right w:val="none" w:sz="0" w:space="0" w:color="auto"/>
      </w:divBdr>
    </w:div>
    <w:div w:id="507908834">
      <w:bodyDiv w:val="1"/>
      <w:marLeft w:val="0"/>
      <w:marRight w:val="0"/>
      <w:marTop w:val="0"/>
      <w:marBottom w:val="0"/>
      <w:divBdr>
        <w:top w:val="none" w:sz="0" w:space="0" w:color="auto"/>
        <w:left w:val="none" w:sz="0" w:space="0" w:color="auto"/>
        <w:bottom w:val="none" w:sz="0" w:space="0" w:color="auto"/>
        <w:right w:val="none" w:sz="0" w:space="0" w:color="auto"/>
      </w:divBdr>
    </w:div>
    <w:div w:id="524947669">
      <w:bodyDiv w:val="1"/>
      <w:marLeft w:val="0"/>
      <w:marRight w:val="0"/>
      <w:marTop w:val="0"/>
      <w:marBottom w:val="0"/>
      <w:divBdr>
        <w:top w:val="none" w:sz="0" w:space="0" w:color="auto"/>
        <w:left w:val="none" w:sz="0" w:space="0" w:color="auto"/>
        <w:bottom w:val="none" w:sz="0" w:space="0" w:color="auto"/>
        <w:right w:val="none" w:sz="0" w:space="0" w:color="auto"/>
      </w:divBdr>
      <w:divsChild>
        <w:div w:id="859507990">
          <w:marLeft w:val="0"/>
          <w:marRight w:val="0"/>
          <w:marTop w:val="0"/>
          <w:marBottom w:val="0"/>
          <w:divBdr>
            <w:top w:val="none" w:sz="0" w:space="0" w:color="auto"/>
            <w:left w:val="none" w:sz="0" w:space="0" w:color="auto"/>
            <w:bottom w:val="none" w:sz="0" w:space="0" w:color="auto"/>
            <w:right w:val="none" w:sz="0" w:space="0" w:color="auto"/>
          </w:divBdr>
          <w:divsChild>
            <w:div w:id="1677540007">
              <w:marLeft w:val="0"/>
              <w:marRight w:val="0"/>
              <w:marTop w:val="0"/>
              <w:marBottom w:val="0"/>
              <w:divBdr>
                <w:top w:val="none" w:sz="0" w:space="0" w:color="auto"/>
                <w:left w:val="none" w:sz="0" w:space="0" w:color="auto"/>
                <w:bottom w:val="none" w:sz="0" w:space="0" w:color="auto"/>
                <w:right w:val="none" w:sz="0" w:space="0" w:color="auto"/>
              </w:divBdr>
              <w:divsChild>
                <w:div w:id="1906527303">
                  <w:marLeft w:val="0"/>
                  <w:marRight w:val="0"/>
                  <w:marTop w:val="0"/>
                  <w:marBottom w:val="0"/>
                  <w:divBdr>
                    <w:top w:val="none" w:sz="0" w:space="0" w:color="auto"/>
                    <w:left w:val="none" w:sz="0" w:space="0" w:color="auto"/>
                    <w:bottom w:val="none" w:sz="0" w:space="0" w:color="auto"/>
                    <w:right w:val="none" w:sz="0" w:space="0" w:color="auto"/>
                  </w:divBdr>
                  <w:divsChild>
                    <w:div w:id="67504952">
                      <w:marLeft w:val="0"/>
                      <w:marRight w:val="0"/>
                      <w:marTop w:val="0"/>
                      <w:marBottom w:val="0"/>
                      <w:divBdr>
                        <w:top w:val="none" w:sz="0" w:space="0" w:color="auto"/>
                        <w:left w:val="none" w:sz="0" w:space="0" w:color="auto"/>
                        <w:bottom w:val="none" w:sz="0" w:space="0" w:color="auto"/>
                        <w:right w:val="none" w:sz="0" w:space="0" w:color="auto"/>
                      </w:divBdr>
                      <w:divsChild>
                        <w:div w:id="2065642086">
                          <w:marLeft w:val="0"/>
                          <w:marRight w:val="0"/>
                          <w:marTop w:val="0"/>
                          <w:marBottom w:val="0"/>
                          <w:divBdr>
                            <w:top w:val="none" w:sz="0" w:space="0" w:color="auto"/>
                            <w:left w:val="none" w:sz="0" w:space="0" w:color="auto"/>
                            <w:bottom w:val="none" w:sz="0" w:space="0" w:color="auto"/>
                            <w:right w:val="none" w:sz="0" w:space="0" w:color="auto"/>
                          </w:divBdr>
                          <w:divsChild>
                            <w:div w:id="579028016">
                              <w:marLeft w:val="0"/>
                              <w:marRight w:val="0"/>
                              <w:marTop w:val="0"/>
                              <w:marBottom w:val="0"/>
                              <w:divBdr>
                                <w:top w:val="none" w:sz="0" w:space="0" w:color="auto"/>
                                <w:left w:val="none" w:sz="0" w:space="0" w:color="auto"/>
                                <w:bottom w:val="none" w:sz="0" w:space="0" w:color="auto"/>
                                <w:right w:val="none" w:sz="0" w:space="0" w:color="auto"/>
                              </w:divBdr>
                              <w:divsChild>
                                <w:div w:id="80421204">
                                  <w:marLeft w:val="0"/>
                                  <w:marRight w:val="0"/>
                                  <w:marTop w:val="0"/>
                                  <w:marBottom w:val="0"/>
                                  <w:divBdr>
                                    <w:top w:val="none" w:sz="0" w:space="0" w:color="auto"/>
                                    <w:left w:val="none" w:sz="0" w:space="0" w:color="auto"/>
                                    <w:bottom w:val="none" w:sz="0" w:space="0" w:color="auto"/>
                                    <w:right w:val="none" w:sz="0" w:space="0" w:color="auto"/>
                                  </w:divBdr>
                                </w:div>
                                <w:div w:id="1187870892">
                                  <w:marLeft w:val="0"/>
                                  <w:marRight w:val="0"/>
                                  <w:marTop w:val="0"/>
                                  <w:marBottom w:val="0"/>
                                  <w:divBdr>
                                    <w:top w:val="none" w:sz="0" w:space="0" w:color="auto"/>
                                    <w:left w:val="none" w:sz="0" w:space="0" w:color="auto"/>
                                    <w:bottom w:val="none" w:sz="0" w:space="0" w:color="auto"/>
                                    <w:right w:val="none" w:sz="0" w:space="0" w:color="auto"/>
                                  </w:divBdr>
                                </w:div>
                                <w:div w:id="21048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37243">
      <w:bodyDiv w:val="1"/>
      <w:marLeft w:val="0"/>
      <w:marRight w:val="0"/>
      <w:marTop w:val="0"/>
      <w:marBottom w:val="0"/>
      <w:divBdr>
        <w:top w:val="none" w:sz="0" w:space="0" w:color="auto"/>
        <w:left w:val="none" w:sz="0" w:space="0" w:color="auto"/>
        <w:bottom w:val="none" w:sz="0" w:space="0" w:color="auto"/>
        <w:right w:val="none" w:sz="0" w:space="0" w:color="auto"/>
      </w:divBdr>
      <w:divsChild>
        <w:div w:id="36126698">
          <w:marLeft w:val="0"/>
          <w:marRight w:val="0"/>
          <w:marTop w:val="0"/>
          <w:marBottom w:val="0"/>
          <w:divBdr>
            <w:top w:val="none" w:sz="0" w:space="0" w:color="auto"/>
            <w:left w:val="none" w:sz="0" w:space="0" w:color="auto"/>
            <w:bottom w:val="none" w:sz="0" w:space="0" w:color="auto"/>
            <w:right w:val="none" w:sz="0" w:space="0" w:color="auto"/>
          </w:divBdr>
        </w:div>
      </w:divsChild>
    </w:div>
    <w:div w:id="562524475">
      <w:bodyDiv w:val="1"/>
      <w:marLeft w:val="0"/>
      <w:marRight w:val="0"/>
      <w:marTop w:val="0"/>
      <w:marBottom w:val="0"/>
      <w:divBdr>
        <w:top w:val="none" w:sz="0" w:space="0" w:color="auto"/>
        <w:left w:val="none" w:sz="0" w:space="0" w:color="auto"/>
        <w:bottom w:val="none" w:sz="0" w:space="0" w:color="auto"/>
        <w:right w:val="none" w:sz="0" w:space="0" w:color="auto"/>
      </w:divBdr>
      <w:divsChild>
        <w:div w:id="443305523">
          <w:marLeft w:val="0"/>
          <w:marRight w:val="0"/>
          <w:marTop w:val="0"/>
          <w:marBottom w:val="0"/>
          <w:divBdr>
            <w:top w:val="none" w:sz="0" w:space="0" w:color="auto"/>
            <w:left w:val="none" w:sz="0" w:space="0" w:color="auto"/>
            <w:bottom w:val="none" w:sz="0" w:space="0" w:color="auto"/>
            <w:right w:val="none" w:sz="0" w:space="0" w:color="auto"/>
          </w:divBdr>
          <w:divsChild>
            <w:div w:id="979379884">
              <w:marLeft w:val="0"/>
              <w:marRight w:val="0"/>
              <w:marTop w:val="0"/>
              <w:marBottom w:val="0"/>
              <w:divBdr>
                <w:top w:val="none" w:sz="0" w:space="0" w:color="auto"/>
                <w:left w:val="none" w:sz="0" w:space="0" w:color="auto"/>
                <w:bottom w:val="none" w:sz="0" w:space="0" w:color="auto"/>
                <w:right w:val="none" w:sz="0" w:space="0" w:color="auto"/>
              </w:divBdr>
              <w:divsChild>
                <w:div w:id="556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4020">
      <w:bodyDiv w:val="1"/>
      <w:marLeft w:val="0"/>
      <w:marRight w:val="0"/>
      <w:marTop w:val="0"/>
      <w:marBottom w:val="0"/>
      <w:divBdr>
        <w:top w:val="none" w:sz="0" w:space="0" w:color="auto"/>
        <w:left w:val="none" w:sz="0" w:space="0" w:color="auto"/>
        <w:bottom w:val="none" w:sz="0" w:space="0" w:color="auto"/>
        <w:right w:val="none" w:sz="0" w:space="0" w:color="auto"/>
      </w:divBdr>
    </w:div>
    <w:div w:id="572739035">
      <w:bodyDiv w:val="1"/>
      <w:marLeft w:val="0"/>
      <w:marRight w:val="0"/>
      <w:marTop w:val="0"/>
      <w:marBottom w:val="0"/>
      <w:divBdr>
        <w:top w:val="none" w:sz="0" w:space="0" w:color="auto"/>
        <w:left w:val="none" w:sz="0" w:space="0" w:color="auto"/>
        <w:bottom w:val="none" w:sz="0" w:space="0" w:color="auto"/>
        <w:right w:val="none" w:sz="0" w:space="0" w:color="auto"/>
      </w:divBdr>
      <w:divsChild>
        <w:div w:id="397630982">
          <w:marLeft w:val="0"/>
          <w:marRight w:val="0"/>
          <w:marTop w:val="0"/>
          <w:marBottom w:val="0"/>
          <w:divBdr>
            <w:top w:val="none" w:sz="0" w:space="0" w:color="auto"/>
            <w:left w:val="none" w:sz="0" w:space="0" w:color="auto"/>
            <w:bottom w:val="none" w:sz="0" w:space="0" w:color="auto"/>
            <w:right w:val="none" w:sz="0" w:space="0" w:color="auto"/>
          </w:divBdr>
          <w:divsChild>
            <w:div w:id="1710688347">
              <w:marLeft w:val="0"/>
              <w:marRight w:val="0"/>
              <w:marTop w:val="0"/>
              <w:marBottom w:val="0"/>
              <w:divBdr>
                <w:top w:val="none" w:sz="0" w:space="0" w:color="auto"/>
                <w:left w:val="none" w:sz="0" w:space="0" w:color="auto"/>
                <w:bottom w:val="none" w:sz="0" w:space="0" w:color="auto"/>
                <w:right w:val="none" w:sz="0" w:space="0" w:color="auto"/>
              </w:divBdr>
              <w:divsChild>
                <w:div w:id="253633044">
                  <w:marLeft w:val="0"/>
                  <w:marRight w:val="0"/>
                  <w:marTop w:val="0"/>
                  <w:marBottom w:val="0"/>
                  <w:divBdr>
                    <w:top w:val="none" w:sz="0" w:space="0" w:color="auto"/>
                    <w:left w:val="none" w:sz="0" w:space="0" w:color="auto"/>
                    <w:bottom w:val="none" w:sz="0" w:space="0" w:color="auto"/>
                    <w:right w:val="none" w:sz="0" w:space="0" w:color="auto"/>
                  </w:divBdr>
                  <w:divsChild>
                    <w:div w:id="1225069056">
                      <w:marLeft w:val="0"/>
                      <w:marRight w:val="0"/>
                      <w:marTop w:val="0"/>
                      <w:marBottom w:val="0"/>
                      <w:divBdr>
                        <w:top w:val="none" w:sz="0" w:space="0" w:color="auto"/>
                        <w:left w:val="none" w:sz="0" w:space="0" w:color="auto"/>
                        <w:bottom w:val="none" w:sz="0" w:space="0" w:color="auto"/>
                        <w:right w:val="none" w:sz="0" w:space="0" w:color="auto"/>
                      </w:divBdr>
                      <w:divsChild>
                        <w:div w:id="1954481684">
                          <w:marLeft w:val="0"/>
                          <w:marRight w:val="0"/>
                          <w:marTop w:val="0"/>
                          <w:marBottom w:val="0"/>
                          <w:divBdr>
                            <w:top w:val="none" w:sz="0" w:space="0" w:color="auto"/>
                            <w:left w:val="none" w:sz="0" w:space="0" w:color="auto"/>
                            <w:bottom w:val="none" w:sz="0" w:space="0" w:color="auto"/>
                            <w:right w:val="none" w:sz="0" w:space="0" w:color="auto"/>
                          </w:divBdr>
                          <w:divsChild>
                            <w:div w:id="151140966">
                              <w:marLeft w:val="0"/>
                              <w:marRight w:val="0"/>
                              <w:marTop w:val="0"/>
                              <w:marBottom w:val="0"/>
                              <w:divBdr>
                                <w:top w:val="none" w:sz="0" w:space="0" w:color="auto"/>
                                <w:left w:val="none" w:sz="0" w:space="0" w:color="auto"/>
                                <w:bottom w:val="none" w:sz="0" w:space="0" w:color="auto"/>
                                <w:right w:val="none" w:sz="0" w:space="0" w:color="auto"/>
                              </w:divBdr>
                              <w:divsChild>
                                <w:div w:id="11402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86447">
      <w:bodyDiv w:val="1"/>
      <w:marLeft w:val="0"/>
      <w:marRight w:val="0"/>
      <w:marTop w:val="0"/>
      <w:marBottom w:val="0"/>
      <w:divBdr>
        <w:top w:val="none" w:sz="0" w:space="0" w:color="auto"/>
        <w:left w:val="none" w:sz="0" w:space="0" w:color="auto"/>
        <w:bottom w:val="none" w:sz="0" w:space="0" w:color="auto"/>
        <w:right w:val="none" w:sz="0" w:space="0" w:color="auto"/>
      </w:divBdr>
      <w:divsChild>
        <w:div w:id="778985653">
          <w:marLeft w:val="0"/>
          <w:marRight w:val="0"/>
          <w:marTop w:val="0"/>
          <w:marBottom w:val="0"/>
          <w:divBdr>
            <w:top w:val="none" w:sz="0" w:space="0" w:color="auto"/>
            <w:left w:val="none" w:sz="0" w:space="0" w:color="auto"/>
            <w:bottom w:val="none" w:sz="0" w:space="0" w:color="auto"/>
            <w:right w:val="none" w:sz="0" w:space="0" w:color="auto"/>
          </w:divBdr>
          <w:divsChild>
            <w:div w:id="11689758">
              <w:marLeft w:val="0"/>
              <w:marRight w:val="0"/>
              <w:marTop w:val="0"/>
              <w:marBottom w:val="0"/>
              <w:divBdr>
                <w:top w:val="none" w:sz="0" w:space="0" w:color="auto"/>
                <w:left w:val="none" w:sz="0" w:space="0" w:color="auto"/>
                <w:bottom w:val="none" w:sz="0" w:space="0" w:color="auto"/>
                <w:right w:val="none" w:sz="0" w:space="0" w:color="auto"/>
              </w:divBdr>
              <w:divsChild>
                <w:div w:id="1237477336">
                  <w:marLeft w:val="0"/>
                  <w:marRight w:val="0"/>
                  <w:marTop w:val="0"/>
                  <w:marBottom w:val="0"/>
                  <w:divBdr>
                    <w:top w:val="none" w:sz="0" w:space="0" w:color="auto"/>
                    <w:left w:val="none" w:sz="0" w:space="0" w:color="auto"/>
                    <w:bottom w:val="none" w:sz="0" w:space="0" w:color="auto"/>
                    <w:right w:val="none" w:sz="0" w:space="0" w:color="auto"/>
                  </w:divBdr>
                  <w:divsChild>
                    <w:div w:id="1285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8797">
      <w:bodyDiv w:val="1"/>
      <w:marLeft w:val="0"/>
      <w:marRight w:val="0"/>
      <w:marTop w:val="0"/>
      <w:marBottom w:val="0"/>
      <w:divBdr>
        <w:top w:val="none" w:sz="0" w:space="0" w:color="auto"/>
        <w:left w:val="none" w:sz="0" w:space="0" w:color="auto"/>
        <w:bottom w:val="none" w:sz="0" w:space="0" w:color="auto"/>
        <w:right w:val="none" w:sz="0" w:space="0" w:color="auto"/>
      </w:divBdr>
    </w:div>
    <w:div w:id="586160759">
      <w:bodyDiv w:val="1"/>
      <w:marLeft w:val="0"/>
      <w:marRight w:val="0"/>
      <w:marTop w:val="0"/>
      <w:marBottom w:val="0"/>
      <w:divBdr>
        <w:top w:val="none" w:sz="0" w:space="0" w:color="auto"/>
        <w:left w:val="none" w:sz="0" w:space="0" w:color="auto"/>
        <w:bottom w:val="none" w:sz="0" w:space="0" w:color="auto"/>
        <w:right w:val="none" w:sz="0" w:space="0" w:color="auto"/>
      </w:divBdr>
      <w:divsChild>
        <w:div w:id="74865244">
          <w:marLeft w:val="0"/>
          <w:marRight w:val="0"/>
          <w:marTop w:val="0"/>
          <w:marBottom w:val="0"/>
          <w:divBdr>
            <w:top w:val="none" w:sz="0" w:space="0" w:color="auto"/>
            <w:left w:val="none" w:sz="0" w:space="0" w:color="auto"/>
            <w:bottom w:val="none" w:sz="0" w:space="0" w:color="auto"/>
            <w:right w:val="none" w:sz="0" w:space="0" w:color="auto"/>
          </w:divBdr>
          <w:divsChild>
            <w:div w:id="1797796727">
              <w:marLeft w:val="0"/>
              <w:marRight w:val="0"/>
              <w:marTop w:val="0"/>
              <w:marBottom w:val="0"/>
              <w:divBdr>
                <w:top w:val="none" w:sz="0" w:space="0" w:color="auto"/>
                <w:left w:val="none" w:sz="0" w:space="0" w:color="auto"/>
                <w:bottom w:val="none" w:sz="0" w:space="0" w:color="auto"/>
                <w:right w:val="none" w:sz="0" w:space="0" w:color="auto"/>
              </w:divBdr>
              <w:divsChild>
                <w:div w:id="1893736987">
                  <w:marLeft w:val="0"/>
                  <w:marRight w:val="0"/>
                  <w:marTop w:val="0"/>
                  <w:marBottom w:val="0"/>
                  <w:divBdr>
                    <w:top w:val="none" w:sz="0" w:space="0" w:color="auto"/>
                    <w:left w:val="none" w:sz="0" w:space="0" w:color="auto"/>
                    <w:bottom w:val="none" w:sz="0" w:space="0" w:color="auto"/>
                    <w:right w:val="none" w:sz="0" w:space="0" w:color="auto"/>
                  </w:divBdr>
                  <w:divsChild>
                    <w:div w:id="1889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6377">
      <w:bodyDiv w:val="1"/>
      <w:marLeft w:val="0"/>
      <w:marRight w:val="0"/>
      <w:marTop w:val="0"/>
      <w:marBottom w:val="0"/>
      <w:divBdr>
        <w:top w:val="none" w:sz="0" w:space="0" w:color="auto"/>
        <w:left w:val="none" w:sz="0" w:space="0" w:color="auto"/>
        <w:bottom w:val="none" w:sz="0" w:space="0" w:color="auto"/>
        <w:right w:val="none" w:sz="0" w:space="0" w:color="auto"/>
      </w:divBdr>
    </w:div>
    <w:div w:id="607855034">
      <w:bodyDiv w:val="1"/>
      <w:marLeft w:val="0"/>
      <w:marRight w:val="0"/>
      <w:marTop w:val="0"/>
      <w:marBottom w:val="0"/>
      <w:divBdr>
        <w:top w:val="none" w:sz="0" w:space="0" w:color="auto"/>
        <w:left w:val="none" w:sz="0" w:space="0" w:color="auto"/>
        <w:bottom w:val="none" w:sz="0" w:space="0" w:color="auto"/>
        <w:right w:val="none" w:sz="0" w:space="0" w:color="auto"/>
      </w:divBdr>
    </w:div>
    <w:div w:id="611404902">
      <w:bodyDiv w:val="1"/>
      <w:marLeft w:val="0"/>
      <w:marRight w:val="0"/>
      <w:marTop w:val="0"/>
      <w:marBottom w:val="0"/>
      <w:divBdr>
        <w:top w:val="none" w:sz="0" w:space="0" w:color="auto"/>
        <w:left w:val="none" w:sz="0" w:space="0" w:color="auto"/>
        <w:bottom w:val="none" w:sz="0" w:space="0" w:color="auto"/>
        <w:right w:val="none" w:sz="0" w:space="0" w:color="auto"/>
      </w:divBdr>
      <w:divsChild>
        <w:div w:id="1780298383">
          <w:marLeft w:val="547"/>
          <w:marRight w:val="0"/>
          <w:marTop w:val="86"/>
          <w:marBottom w:val="0"/>
          <w:divBdr>
            <w:top w:val="none" w:sz="0" w:space="0" w:color="auto"/>
            <w:left w:val="none" w:sz="0" w:space="0" w:color="auto"/>
            <w:bottom w:val="none" w:sz="0" w:space="0" w:color="auto"/>
            <w:right w:val="none" w:sz="0" w:space="0" w:color="auto"/>
          </w:divBdr>
        </w:div>
      </w:divsChild>
    </w:div>
    <w:div w:id="653337792">
      <w:bodyDiv w:val="1"/>
      <w:marLeft w:val="0"/>
      <w:marRight w:val="0"/>
      <w:marTop w:val="0"/>
      <w:marBottom w:val="0"/>
      <w:divBdr>
        <w:top w:val="none" w:sz="0" w:space="0" w:color="auto"/>
        <w:left w:val="none" w:sz="0" w:space="0" w:color="auto"/>
        <w:bottom w:val="none" w:sz="0" w:space="0" w:color="auto"/>
        <w:right w:val="none" w:sz="0" w:space="0" w:color="auto"/>
      </w:divBdr>
    </w:div>
    <w:div w:id="665985037">
      <w:bodyDiv w:val="1"/>
      <w:marLeft w:val="0"/>
      <w:marRight w:val="0"/>
      <w:marTop w:val="0"/>
      <w:marBottom w:val="0"/>
      <w:divBdr>
        <w:top w:val="none" w:sz="0" w:space="0" w:color="auto"/>
        <w:left w:val="none" w:sz="0" w:space="0" w:color="auto"/>
        <w:bottom w:val="none" w:sz="0" w:space="0" w:color="auto"/>
        <w:right w:val="none" w:sz="0" w:space="0" w:color="auto"/>
      </w:divBdr>
    </w:div>
    <w:div w:id="672881790">
      <w:bodyDiv w:val="1"/>
      <w:marLeft w:val="0"/>
      <w:marRight w:val="0"/>
      <w:marTop w:val="0"/>
      <w:marBottom w:val="0"/>
      <w:divBdr>
        <w:top w:val="none" w:sz="0" w:space="0" w:color="auto"/>
        <w:left w:val="none" w:sz="0" w:space="0" w:color="auto"/>
        <w:bottom w:val="none" w:sz="0" w:space="0" w:color="auto"/>
        <w:right w:val="none" w:sz="0" w:space="0" w:color="auto"/>
      </w:divBdr>
    </w:div>
    <w:div w:id="684356869">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sChild>
        <w:div w:id="1147016248">
          <w:marLeft w:val="0"/>
          <w:marRight w:val="0"/>
          <w:marTop w:val="0"/>
          <w:marBottom w:val="0"/>
          <w:divBdr>
            <w:top w:val="none" w:sz="0" w:space="0" w:color="auto"/>
            <w:left w:val="none" w:sz="0" w:space="0" w:color="auto"/>
            <w:bottom w:val="none" w:sz="0" w:space="0" w:color="auto"/>
            <w:right w:val="none" w:sz="0" w:space="0" w:color="auto"/>
          </w:divBdr>
          <w:divsChild>
            <w:div w:id="2034576819">
              <w:marLeft w:val="0"/>
              <w:marRight w:val="0"/>
              <w:marTop w:val="0"/>
              <w:marBottom w:val="0"/>
              <w:divBdr>
                <w:top w:val="none" w:sz="0" w:space="0" w:color="auto"/>
                <w:left w:val="none" w:sz="0" w:space="0" w:color="auto"/>
                <w:bottom w:val="none" w:sz="0" w:space="0" w:color="auto"/>
                <w:right w:val="none" w:sz="0" w:space="0" w:color="auto"/>
              </w:divBdr>
              <w:divsChild>
                <w:div w:id="85614301">
                  <w:marLeft w:val="0"/>
                  <w:marRight w:val="0"/>
                  <w:marTop w:val="0"/>
                  <w:marBottom w:val="0"/>
                  <w:divBdr>
                    <w:top w:val="none" w:sz="0" w:space="0" w:color="auto"/>
                    <w:left w:val="none" w:sz="0" w:space="0" w:color="auto"/>
                    <w:bottom w:val="none" w:sz="0" w:space="0" w:color="auto"/>
                    <w:right w:val="none" w:sz="0" w:space="0" w:color="auto"/>
                  </w:divBdr>
                  <w:divsChild>
                    <w:div w:id="3377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58480">
      <w:bodyDiv w:val="1"/>
      <w:marLeft w:val="0"/>
      <w:marRight w:val="0"/>
      <w:marTop w:val="0"/>
      <w:marBottom w:val="0"/>
      <w:divBdr>
        <w:top w:val="none" w:sz="0" w:space="0" w:color="auto"/>
        <w:left w:val="none" w:sz="0" w:space="0" w:color="auto"/>
        <w:bottom w:val="none" w:sz="0" w:space="0" w:color="auto"/>
        <w:right w:val="none" w:sz="0" w:space="0" w:color="auto"/>
      </w:divBdr>
      <w:divsChild>
        <w:div w:id="1820539596">
          <w:marLeft w:val="0"/>
          <w:marRight w:val="0"/>
          <w:marTop w:val="0"/>
          <w:marBottom w:val="0"/>
          <w:divBdr>
            <w:top w:val="none" w:sz="0" w:space="0" w:color="auto"/>
            <w:left w:val="none" w:sz="0" w:space="0" w:color="auto"/>
            <w:bottom w:val="none" w:sz="0" w:space="0" w:color="auto"/>
            <w:right w:val="none" w:sz="0" w:space="0" w:color="auto"/>
          </w:divBdr>
          <w:divsChild>
            <w:div w:id="1030913966">
              <w:marLeft w:val="0"/>
              <w:marRight w:val="0"/>
              <w:marTop w:val="0"/>
              <w:marBottom w:val="0"/>
              <w:divBdr>
                <w:top w:val="none" w:sz="0" w:space="0" w:color="auto"/>
                <w:left w:val="none" w:sz="0" w:space="0" w:color="auto"/>
                <w:bottom w:val="none" w:sz="0" w:space="0" w:color="auto"/>
                <w:right w:val="none" w:sz="0" w:space="0" w:color="auto"/>
              </w:divBdr>
              <w:divsChild>
                <w:div w:id="1263102264">
                  <w:marLeft w:val="0"/>
                  <w:marRight w:val="0"/>
                  <w:marTop w:val="0"/>
                  <w:marBottom w:val="0"/>
                  <w:divBdr>
                    <w:top w:val="none" w:sz="0" w:space="0" w:color="auto"/>
                    <w:left w:val="none" w:sz="0" w:space="0" w:color="auto"/>
                    <w:bottom w:val="none" w:sz="0" w:space="0" w:color="auto"/>
                    <w:right w:val="none" w:sz="0" w:space="0" w:color="auto"/>
                  </w:divBdr>
                  <w:divsChild>
                    <w:div w:id="1916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3737">
      <w:bodyDiv w:val="1"/>
      <w:marLeft w:val="0"/>
      <w:marRight w:val="0"/>
      <w:marTop w:val="0"/>
      <w:marBottom w:val="0"/>
      <w:divBdr>
        <w:top w:val="none" w:sz="0" w:space="0" w:color="auto"/>
        <w:left w:val="none" w:sz="0" w:space="0" w:color="auto"/>
        <w:bottom w:val="none" w:sz="0" w:space="0" w:color="auto"/>
        <w:right w:val="none" w:sz="0" w:space="0" w:color="auto"/>
      </w:divBdr>
    </w:div>
    <w:div w:id="755055586">
      <w:bodyDiv w:val="1"/>
      <w:marLeft w:val="0"/>
      <w:marRight w:val="0"/>
      <w:marTop w:val="0"/>
      <w:marBottom w:val="0"/>
      <w:divBdr>
        <w:top w:val="none" w:sz="0" w:space="0" w:color="auto"/>
        <w:left w:val="none" w:sz="0" w:space="0" w:color="auto"/>
        <w:bottom w:val="none" w:sz="0" w:space="0" w:color="auto"/>
        <w:right w:val="none" w:sz="0" w:space="0" w:color="auto"/>
      </w:divBdr>
      <w:divsChild>
        <w:div w:id="404953430">
          <w:marLeft w:val="0"/>
          <w:marRight w:val="0"/>
          <w:marTop w:val="0"/>
          <w:marBottom w:val="0"/>
          <w:divBdr>
            <w:top w:val="none" w:sz="0" w:space="0" w:color="auto"/>
            <w:left w:val="none" w:sz="0" w:space="0" w:color="auto"/>
            <w:bottom w:val="none" w:sz="0" w:space="0" w:color="auto"/>
            <w:right w:val="none" w:sz="0" w:space="0" w:color="auto"/>
          </w:divBdr>
          <w:divsChild>
            <w:div w:id="704989620">
              <w:marLeft w:val="0"/>
              <w:marRight w:val="0"/>
              <w:marTop w:val="0"/>
              <w:marBottom w:val="0"/>
              <w:divBdr>
                <w:top w:val="none" w:sz="0" w:space="0" w:color="auto"/>
                <w:left w:val="none" w:sz="0" w:space="0" w:color="auto"/>
                <w:bottom w:val="none" w:sz="0" w:space="0" w:color="auto"/>
                <w:right w:val="none" w:sz="0" w:space="0" w:color="auto"/>
              </w:divBdr>
              <w:divsChild>
                <w:div w:id="1764455466">
                  <w:marLeft w:val="0"/>
                  <w:marRight w:val="0"/>
                  <w:marTop w:val="0"/>
                  <w:marBottom w:val="0"/>
                  <w:divBdr>
                    <w:top w:val="none" w:sz="0" w:space="0" w:color="auto"/>
                    <w:left w:val="none" w:sz="0" w:space="0" w:color="auto"/>
                    <w:bottom w:val="none" w:sz="0" w:space="0" w:color="auto"/>
                    <w:right w:val="none" w:sz="0" w:space="0" w:color="auto"/>
                  </w:divBdr>
                  <w:divsChild>
                    <w:div w:id="1688872555">
                      <w:marLeft w:val="0"/>
                      <w:marRight w:val="0"/>
                      <w:marTop w:val="0"/>
                      <w:marBottom w:val="0"/>
                      <w:divBdr>
                        <w:top w:val="none" w:sz="0" w:space="0" w:color="auto"/>
                        <w:left w:val="none" w:sz="0" w:space="0" w:color="auto"/>
                        <w:bottom w:val="none" w:sz="0" w:space="0" w:color="auto"/>
                        <w:right w:val="none" w:sz="0" w:space="0" w:color="auto"/>
                      </w:divBdr>
                      <w:divsChild>
                        <w:div w:id="813837675">
                          <w:marLeft w:val="0"/>
                          <w:marRight w:val="0"/>
                          <w:marTop w:val="0"/>
                          <w:marBottom w:val="0"/>
                          <w:divBdr>
                            <w:top w:val="none" w:sz="0" w:space="0" w:color="auto"/>
                            <w:left w:val="none" w:sz="0" w:space="0" w:color="auto"/>
                            <w:bottom w:val="none" w:sz="0" w:space="0" w:color="auto"/>
                            <w:right w:val="none" w:sz="0" w:space="0" w:color="auto"/>
                          </w:divBdr>
                          <w:divsChild>
                            <w:div w:id="155995613">
                              <w:marLeft w:val="0"/>
                              <w:marRight w:val="0"/>
                              <w:marTop w:val="0"/>
                              <w:marBottom w:val="0"/>
                              <w:divBdr>
                                <w:top w:val="none" w:sz="0" w:space="0" w:color="auto"/>
                                <w:left w:val="none" w:sz="0" w:space="0" w:color="auto"/>
                                <w:bottom w:val="none" w:sz="0" w:space="0" w:color="auto"/>
                                <w:right w:val="none" w:sz="0" w:space="0" w:color="auto"/>
                              </w:divBdr>
                              <w:divsChild>
                                <w:div w:id="1979921021">
                                  <w:marLeft w:val="0"/>
                                  <w:marRight w:val="0"/>
                                  <w:marTop w:val="0"/>
                                  <w:marBottom w:val="0"/>
                                  <w:divBdr>
                                    <w:top w:val="none" w:sz="0" w:space="0" w:color="auto"/>
                                    <w:left w:val="none" w:sz="0" w:space="0" w:color="auto"/>
                                    <w:bottom w:val="none" w:sz="0" w:space="0" w:color="auto"/>
                                    <w:right w:val="none" w:sz="0" w:space="0" w:color="auto"/>
                                  </w:divBdr>
                                  <w:divsChild>
                                    <w:div w:id="1281523223">
                                      <w:marLeft w:val="0"/>
                                      <w:marRight w:val="0"/>
                                      <w:marTop w:val="0"/>
                                      <w:marBottom w:val="0"/>
                                      <w:divBdr>
                                        <w:top w:val="none" w:sz="0" w:space="0" w:color="auto"/>
                                        <w:left w:val="none" w:sz="0" w:space="0" w:color="auto"/>
                                        <w:bottom w:val="none" w:sz="0" w:space="0" w:color="auto"/>
                                        <w:right w:val="none" w:sz="0" w:space="0" w:color="auto"/>
                                      </w:divBdr>
                                      <w:divsChild>
                                        <w:div w:id="519440380">
                                          <w:marLeft w:val="0"/>
                                          <w:marRight w:val="0"/>
                                          <w:marTop w:val="0"/>
                                          <w:marBottom w:val="0"/>
                                          <w:divBdr>
                                            <w:top w:val="none" w:sz="0" w:space="0" w:color="auto"/>
                                            <w:left w:val="none" w:sz="0" w:space="0" w:color="auto"/>
                                            <w:bottom w:val="none" w:sz="0" w:space="0" w:color="auto"/>
                                            <w:right w:val="none" w:sz="0" w:space="0" w:color="auto"/>
                                          </w:divBdr>
                                          <w:divsChild>
                                            <w:div w:id="1185754259">
                                              <w:marLeft w:val="0"/>
                                              <w:marRight w:val="0"/>
                                              <w:marTop w:val="0"/>
                                              <w:marBottom w:val="0"/>
                                              <w:divBdr>
                                                <w:top w:val="none" w:sz="0" w:space="0" w:color="auto"/>
                                                <w:left w:val="none" w:sz="0" w:space="0" w:color="auto"/>
                                                <w:bottom w:val="none" w:sz="0" w:space="0" w:color="auto"/>
                                                <w:right w:val="none" w:sz="0" w:space="0" w:color="auto"/>
                                              </w:divBdr>
                                              <w:divsChild>
                                                <w:div w:id="15314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62427">
      <w:bodyDiv w:val="1"/>
      <w:marLeft w:val="0"/>
      <w:marRight w:val="0"/>
      <w:marTop w:val="0"/>
      <w:marBottom w:val="0"/>
      <w:divBdr>
        <w:top w:val="none" w:sz="0" w:space="0" w:color="auto"/>
        <w:left w:val="none" w:sz="0" w:space="0" w:color="auto"/>
        <w:bottom w:val="none" w:sz="0" w:space="0" w:color="auto"/>
        <w:right w:val="none" w:sz="0" w:space="0" w:color="auto"/>
      </w:divBdr>
      <w:divsChild>
        <w:div w:id="1178276934">
          <w:marLeft w:val="0"/>
          <w:marRight w:val="0"/>
          <w:marTop w:val="0"/>
          <w:marBottom w:val="0"/>
          <w:divBdr>
            <w:top w:val="none" w:sz="0" w:space="0" w:color="auto"/>
            <w:left w:val="none" w:sz="0" w:space="0" w:color="auto"/>
            <w:bottom w:val="none" w:sz="0" w:space="0" w:color="auto"/>
            <w:right w:val="none" w:sz="0" w:space="0" w:color="auto"/>
          </w:divBdr>
        </w:div>
        <w:div w:id="1075930543">
          <w:marLeft w:val="0"/>
          <w:marRight w:val="0"/>
          <w:marTop w:val="0"/>
          <w:marBottom w:val="0"/>
          <w:divBdr>
            <w:top w:val="none" w:sz="0" w:space="0" w:color="auto"/>
            <w:left w:val="none" w:sz="0" w:space="0" w:color="auto"/>
            <w:bottom w:val="none" w:sz="0" w:space="0" w:color="auto"/>
            <w:right w:val="none" w:sz="0" w:space="0" w:color="auto"/>
          </w:divBdr>
        </w:div>
        <w:div w:id="353768950">
          <w:marLeft w:val="0"/>
          <w:marRight w:val="0"/>
          <w:marTop w:val="0"/>
          <w:marBottom w:val="0"/>
          <w:divBdr>
            <w:top w:val="none" w:sz="0" w:space="0" w:color="auto"/>
            <w:left w:val="none" w:sz="0" w:space="0" w:color="auto"/>
            <w:bottom w:val="none" w:sz="0" w:space="0" w:color="auto"/>
            <w:right w:val="none" w:sz="0" w:space="0" w:color="auto"/>
          </w:divBdr>
        </w:div>
        <w:div w:id="344211068">
          <w:marLeft w:val="0"/>
          <w:marRight w:val="0"/>
          <w:marTop w:val="0"/>
          <w:marBottom w:val="0"/>
          <w:divBdr>
            <w:top w:val="none" w:sz="0" w:space="0" w:color="auto"/>
            <w:left w:val="none" w:sz="0" w:space="0" w:color="auto"/>
            <w:bottom w:val="none" w:sz="0" w:space="0" w:color="auto"/>
            <w:right w:val="none" w:sz="0" w:space="0" w:color="auto"/>
          </w:divBdr>
        </w:div>
      </w:divsChild>
    </w:div>
    <w:div w:id="812023316">
      <w:bodyDiv w:val="1"/>
      <w:marLeft w:val="0"/>
      <w:marRight w:val="0"/>
      <w:marTop w:val="0"/>
      <w:marBottom w:val="0"/>
      <w:divBdr>
        <w:top w:val="none" w:sz="0" w:space="0" w:color="auto"/>
        <w:left w:val="none" w:sz="0" w:space="0" w:color="auto"/>
        <w:bottom w:val="none" w:sz="0" w:space="0" w:color="auto"/>
        <w:right w:val="none" w:sz="0" w:space="0" w:color="auto"/>
      </w:divBdr>
      <w:divsChild>
        <w:div w:id="1815904063">
          <w:marLeft w:val="0"/>
          <w:marRight w:val="0"/>
          <w:marTop w:val="0"/>
          <w:marBottom w:val="0"/>
          <w:divBdr>
            <w:top w:val="none" w:sz="0" w:space="0" w:color="auto"/>
            <w:left w:val="none" w:sz="0" w:space="0" w:color="auto"/>
            <w:bottom w:val="none" w:sz="0" w:space="0" w:color="auto"/>
            <w:right w:val="none" w:sz="0" w:space="0" w:color="auto"/>
          </w:divBdr>
          <w:divsChild>
            <w:div w:id="577138358">
              <w:marLeft w:val="0"/>
              <w:marRight w:val="0"/>
              <w:marTop w:val="0"/>
              <w:marBottom w:val="0"/>
              <w:divBdr>
                <w:top w:val="none" w:sz="0" w:space="0" w:color="auto"/>
                <w:left w:val="none" w:sz="0" w:space="0" w:color="auto"/>
                <w:bottom w:val="none" w:sz="0" w:space="0" w:color="auto"/>
                <w:right w:val="none" w:sz="0" w:space="0" w:color="auto"/>
              </w:divBdr>
              <w:divsChild>
                <w:div w:id="2044360633">
                  <w:marLeft w:val="0"/>
                  <w:marRight w:val="0"/>
                  <w:marTop w:val="0"/>
                  <w:marBottom w:val="0"/>
                  <w:divBdr>
                    <w:top w:val="none" w:sz="0" w:space="0" w:color="auto"/>
                    <w:left w:val="none" w:sz="0" w:space="0" w:color="auto"/>
                    <w:bottom w:val="none" w:sz="0" w:space="0" w:color="auto"/>
                    <w:right w:val="none" w:sz="0" w:space="0" w:color="auto"/>
                  </w:divBdr>
                  <w:divsChild>
                    <w:div w:id="8238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3606">
      <w:bodyDiv w:val="1"/>
      <w:marLeft w:val="0"/>
      <w:marRight w:val="0"/>
      <w:marTop w:val="0"/>
      <w:marBottom w:val="0"/>
      <w:divBdr>
        <w:top w:val="none" w:sz="0" w:space="0" w:color="auto"/>
        <w:left w:val="none" w:sz="0" w:space="0" w:color="auto"/>
        <w:bottom w:val="none" w:sz="0" w:space="0" w:color="auto"/>
        <w:right w:val="none" w:sz="0" w:space="0" w:color="auto"/>
      </w:divBdr>
    </w:div>
    <w:div w:id="840900214">
      <w:bodyDiv w:val="1"/>
      <w:marLeft w:val="0"/>
      <w:marRight w:val="0"/>
      <w:marTop w:val="0"/>
      <w:marBottom w:val="0"/>
      <w:divBdr>
        <w:top w:val="none" w:sz="0" w:space="0" w:color="auto"/>
        <w:left w:val="none" w:sz="0" w:space="0" w:color="auto"/>
        <w:bottom w:val="none" w:sz="0" w:space="0" w:color="auto"/>
        <w:right w:val="none" w:sz="0" w:space="0" w:color="auto"/>
      </w:divBdr>
    </w:div>
    <w:div w:id="849828602">
      <w:bodyDiv w:val="1"/>
      <w:marLeft w:val="0"/>
      <w:marRight w:val="0"/>
      <w:marTop w:val="0"/>
      <w:marBottom w:val="0"/>
      <w:divBdr>
        <w:top w:val="none" w:sz="0" w:space="0" w:color="auto"/>
        <w:left w:val="none" w:sz="0" w:space="0" w:color="auto"/>
        <w:bottom w:val="none" w:sz="0" w:space="0" w:color="auto"/>
        <w:right w:val="none" w:sz="0" w:space="0" w:color="auto"/>
      </w:divBdr>
    </w:div>
    <w:div w:id="905914768">
      <w:bodyDiv w:val="1"/>
      <w:marLeft w:val="0"/>
      <w:marRight w:val="0"/>
      <w:marTop w:val="0"/>
      <w:marBottom w:val="0"/>
      <w:divBdr>
        <w:top w:val="none" w:sz="0" w:space="0" w:color="auto"/>
        <w:left w:val="none" w:sz="0" w:space="0" w:color="auto"/>
        <w:bottom w:val="none" w:sz="0" w:space="0" w:color="auto"/>
        <w:right w:val="none" w:sz="0" w:space="0" w:color="auto"/>
      </w:divBdr>
    </w:div>
    <w:div w:id="909925884">
      <w:bodyDiv w:val="1"/>
      <w:marLeft w:val="0"/>
      <w:marRight w:val="0"/>
      <w:marTop w:val="0"/>
      <w:marBottom w:val="0"/>
      <w:divBdr>
        <w:top w:val="none" w:sz="0" w:space="0" w:color="auto"/>
        <w:left w:val="none" w:sz="0" w:space="0" w:color="auto"/>
        <w:bottom w:val="none" w:sz="0" w:space="0" w:color="auto"/>
        <w:right w:val="none" w:sz="0" w:space="0" w:color="auto"/>
      </w:divBdr>
    </w:div>
    <w:div w:id="927885873">
      <w:bodyDiv w:val="1"/>
      <w:marLeft w:val="0"/>
      <w:marRight w:val="0"/>
      <w:marTop w:val="0"/>
      <w:marBottom w:val="0"/>
      <w:divBdr>
        <w:top w:val="none" w:sz="0" w:space="0" w:color="auto"/>
        <w:left w:val="none" w:sz="0" w:space="0" w:color="auto"/>
        <w:bottom w:val="none" w:sz="0" w:space="0" w:color="auto"/>
        <w:right w:val="none" w:sz="0" w:space="0" w:color="auto"/>
      </w:divBdr>
    </w:div>
    <w:div w:id="928928218">
      <w:bodyDiv w:val="1"/>
      <w:marLeft w:val="0"/>
      <w:marRight w:val="0"/>
      <w:marTop w:val="0"/>
      <w:marBottom w:val="0"/>
      <w:divBdr>
        <w:top w:val="none" w:sz="0" w:space="0" w:color="auto"/>
        <w:left w:val="none" w:sz="0" w:space="0" w:color="auto"/>
        <w:bottom w:val="none" w:sz="0" w:space="0" w:color="auto"/>
        <w:right w:val="none" w:sz="0" w:space="0" w:color="auto"/>
      </w:divBdr>
    </w:div>
    <w:div w:id="941763261">
      <w:bodyDiv w:val="1"/>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0"/>
          <w:marRight w:val="0"/>
          <w:marTop w:val="0"/>
          <w:marBottom w:val="0"/>
          <w:divBdr>
            <w:top w:val="none" w:sz="0" w:space="0" w:color="auto"/>
            <w:left w:val="none" w:sz="0" w:space="0" w:color="auto"/>
            <w:bottom w:val="none" w:sz="0" w:space="0" w:color="auto"/>
            <w:right w:val="none" w:sz="0" w:space="0" w:color="auto"/>
          </w:divBdr>
          <w:divsChild>
            <w:div w:id="1668364801">
              <w:marLeft w:val="0"/>
              <w:marRight w:val="0"/>
              <w:marTop w:val="0"/>
              <w:marBottom w:val="0"/>
              <w:divBdr>
                <w:top w:val="none" w:sz="0" w:space="0" w:color="auto"/>
                <w:left w:val="none" w:sz="0" w:space="0" w:color="auto"/>
                <w:bottom w:val="none" w:sz="0" w:space="0" w:color="auto"/>
                <w:right w:val="none" w:sz="0" w:space="0" w:color="auto"/>
              </w:divBdr>
              <w:divsChild>
                <w:div w:id="238684046">
                  <w:marLeft w:val="0"/>
                  <w:marRight w:val="0"/>
                  <w:marTop w:val="0"/>
                  <w:marBottom w:val="0"/>
                  <w:divBdr>
                    <w:top w:val="none" w:sz="0" w:space="0" w:color="auto"/>
                    <w:left w:val="none" w:sz="0" w:space="0" w:color="auto"/>
                    <w:bottom w:val="none" w:sz="0" w:space="0" w:color="auto"/>
                    <w:right w:val="none" w:sz="0" w:space="0" w:color="auto"/>
                  </w:divBdr>
                  <w:divsChild>
                    <w:div w:id="17003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5614">
      <w:bodyDiv w:val="1"/>
      <w:marLeft w:val="0"/>
      <w:marRight w:val="0"/>
      <w:marTop w:val="0"/>
      <w:marBottom w:val="0"/>
      <w:divBdr>
        <w:top w:val="none" w:sz="0" w:space="0" w:color="auto"/>
        <w:left w:val="none" w:sz="0" w:space="0" w:color="auto"/>
        <w:bottom w:val="none" w:sz="0" w:space="0" w:color="auto"/>
        <w:right w:val="none" w:sz="0" w:space="0" w:color="auto"/>
      </w:divBdr>
      <w:divsChild>
        <w:div w:id="1189023820">
          <w:marLeft w:val="0"/>
          <w:marRight w:val="0"/>
          <w:marTop w:val="0"/>
          <w:marBottom w:val="0"/>
          <w:divBdr>
            <w:top w:val="none" w:sz="0" w:space="0" w:color="auto"/>
            <w:left w:val="none" w:sz="0" w:space="0" w:color="auto"/>
            <w:bottom w:val="none" w:sz="0" w:space="0" w:color="auto"/>
            <w:right w:val="none" w:sz="0" w:space="0" w:color="auto"/>
          </w:divBdr>
          <w:divsChild>
            <w:div w:id="1729571191">
              <w:marLeft w:val="0"/>
              <w:marRight w:val="0"/>
              <w:marTop w:val="0"/>
              <w:marBottom w:val="0"/>
              <w:divBdr>
                <w:top w:val="none" w:sz="0" w:space="0" w:color="auto"/>
                <w:left w:val="none" w:sz="0" w:space="0" w:color="auto"/>
                <w:bottom w:val="none" w:sz="0" w:space="0" w:color="auto"/>
                <w:right w:val="none" w:sz="0" w:space="0" w:color="auto"/>
              </w:divBdr>
              <w:divsChild>
                <w:div w:id="1127967921">
                  <w:marLeft w:val="0"/>
                  <w:marRight w:val="0"/>
                  <w:marTop w:val="0"/>
                  <w:marBottom w:val="450"/>
                  <w:divBdr>
                    <w:top w:val="none" w:sz="0" w:space="0" w:color="auto"/>
                    <w:left w:val="none" w:sz="0" w:space="0" w:color="auto"/>
                    <w:bottom w:val="none" w:sz="0" w:space="0" w:color="auto"/>
                    <w:right w:val="none" w:sz="0" w:space="0" w:color="auto"/>
                  </w:divBdr>
                  <w:divsChild>
                    <w:div w:id="492262948">
                      <w:marLeft w:val="0"/>
                      <w:marRight w:val="0"/>
                      <w:marTop w:val="0"/>
                      <w:marBottom w:val="0"/>
                      <w:divBdr>
                        <w:top w:val="none" w:sz="0" w:space="0" w:color="auto"/>
                        <w:left w:val="none" w:sz="0" w:space="0" w:color="auto"/>
                        <w:bottom w:val="none" w:sz="0" w:space="0" w:color="auto"/>
                        <w:right w:val="none" w:sz="0" w:space="0" w:color="auto"/>
                      </w:divBdr>
                      <w:divsChild>
                        <w:div w:id="165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6246">
      <w:bodyDiv w:val="1"/>
      <w:marLeft w:val="0"/>
      <w:marRight w:val="0"/>
      <w:marTop w:val="0"/>
      <w:marBottom w:val="0"/>
      <w:divBdr>
        <w:top w:val="none" w:sz="0" w:space="0" w:color="auto"/>
        <w:left w:val="none" w:sz="0" w:space="0" w:color="auto"/>
        <w:bottom w:val="none" w:sz="0" w:space="0" w:color="auto"/>
        <w:right w:val="none" w:sz="0" w:space="0" w:color="auto"/>
      </w:divBdr>
    </w:div>
    <w:div w:id="991518837">
      <w:bodyDiv w:val="1"/>
      <w:marLeft w:val="0"/>
      <w:marRight w:val="0"/>
      <w:marTop w:val="0"/>
      <w:marBottom w:val="0"/>
      <w:divBdr>
        <w:top w:val="none" w:sz="0" w:space="0" w:color="auto"/>
        <w:left w:val="none" w:sz="0" w:space="0" w:color="auto"/>
        <w:bottom w:val="none" w:sz="0" w:space="0" w:color="auto"/>
        <w:right w:val="none" w:sz="0" w:space="0" w:color="auto"/>
      </w:divBdr>
      <w:divsChild>
        <w:div w:id="1633444122">
          <w:marLeft w:val="0"/>
          <w:marRight w:val="0"/>
          <w:marTop w:val="0"/>
          <w:marBottom w:val="0"/>
          <w:divBdr>
            <w:top w:val="none" w:sz="0" w:space="0" w:color="auto"/>
            <w:left w:val="none" w:sz="0" w:space="0" w:color="auto"/>
            <w:bottom w:val="none" w:sz="0" w:space="0" w:color="auto"/>
            <w:right w:val="none" w:sz="0" w:space="0" w:color="auto"/>
          </w:divBdr>
          <w:divsChild>
            <w:div w:id="781608309">
              <w:marLeft w:val="0"/>
              <w:marRight w:val="0"/>
              <w:marTop w:val="0"/>
              <w:marBottom w:val="0"/>
              <w:divBdr>
                <w:top w:val="none" w:sz="0" w:space="0" w:color="auto"/>
                <w:left w:val="none" w:sz="0" w:space="0" w:color="auto"/>
                <w:bottom w:val="none" w:sz="0" w:space="0" w:color="auto"/>
                <w:right w:val="none" w:sz="0" w:space="0" w:color="auto"/>
              </w:divBdr>
              <w:divsChild>
                <w:div w:id="589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421">
      <w:bodyDiv w:val="1"/>
      <w:marLeft w:val="0"/>
      <w:marRight w:val="0"/>
      <w:marTop w:val="0"/>
      <w:marBottom w:val="0"/>
      <w:divBdr>
        <w:top w:val="none" w:sz="0" w:space="0" w:color="auto"/>
        <w:left w:val="none" w:sz="0" w:space="0" w:color="auto"/>
        <w:bottom w:val="none" w:sz="0" w:space="0" w:color="auto"/>
        <w:right w:val="none" w:sz="0" w:space="0" w:color="auto"/>
      </w:divBdr>
      <w:divsChild>
        <w:div w:id="1184395850">
          <w:marLeft w:val="0"/>
          <w:marRight w:val="0"/>
          <w:marTop w:val="0"/>
          <w:marBottom w:val="0"/>
          <w:divBdr>
            <w:top w:val="none" w:sz="0" w:space="0" w:color="auto"/>
            <w:left w:val="none" w:sz="0" w:space="0" w:color="auto"/>
            <w:bottom w:val="none" w:sz="0" w:space="0" w:color="auto"/>
            <w:right w:val="none" w:sz="0" w:space="0" w:color="auto"/>
          </w:divBdr>
          <w:divsChild>
            <w:div w:id="1380279582">
              <w:marLeft w:val="0"/>
              <w:marRight w:val="0"/>
              <w:marTop w:val="0"/>
              <w:marBottom w:val="0"/>
              <w:divBdr>
                <w:top w:val="none" w:sz="0" w:space="0" w:color="auto"/>
                <w:left w:val="none" w:sz="0" w:space="0" w:color="auto"/>
                <w:bottom w:val="none" w:sz="0" w:space="0" w:color="auto"/>
                <w:right w:val="none" w:sz="0" w:space="0" w:color="auto"/>
              </w:divBdr>
              <w:divsChild>
                <w:div w:id="14002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9382">
      <w:bodyDiv w:val="1"/>
      <w:marLeft w:val="0"/>
      <w:marRight w:val="0"/>
      <w:marTop w:val="0"/>
      <w:marBottom w:val="0"/>
      <w:divBdr>
        <w:top w:val="none" w:sz="0" w:space="0" w:color="auto"/>
        <w:left w:val="none" w:sz="0" w:space="0" w:color="auto"/>
        <w:bottom w:val="none" w:sz="0" w:space="0" w:color="auto"/>
        <w:right w:val="none" w:sz="0" w:space="0" w:color="auto"/>
      </w:divBdr>
    </w:div>
    <w:div w:id="1010959009">
      <w:bodyDiv w:val="1"/>
      <w:marLeft w:val="0"/>
      <w:marRight w:val="0"/>
      <w:marTop w:val="0"/>
      <w:marBottom w:val="0"/>
      <w:divBdr>
        <w:top w:val="none" w:sz="0" w:space="0" w:color="auto"/>
        <w:left w:val="none" w:sz="0" w:space="0" w:color="auto"/>
        <w:bottom w:val="none" w:sz="0" w:space="0" w:color="auto"/>
        <w:right w:val="none" w:sz="0" w:space="0" w:color="auto"/>
      </w:divBdr>
    </w:div>
    <w:div w:id="1018046896">
      <w:bodyDiv w:val="1"/>
      <w:marLeft w:val="0"/>
      <w:marRight w:val="0"/>
      <w:marTop w:val="0"/>
      <w:marBottom w:val="0"/>
      <w:divBdr>
        <w:top w:val="none" w:sz="0" w:space="0" w:color="auto"/>
        <w:left w:val="none" w:sz="0" w:space="0" w:color="auto"/>
        <w:bottom w:val="none" w:sz="0" w:space="0" w:color="auto"/>
        <w:right w:val="none" w:sz="0" w:space="0" w:color="auto"/>
      </w:divBdr>
      <w:divsChild>
        <w:div w:id="852569893">
          <w:marLeft w:val="0"/>
          <w:marRight w:val="0"/>
          <w:marTop w:val="0"/>
          <w:marBottom w:val="0"/>
          <w:divBdr>
            <w:top w:val="none" w:sz="0" w:space="0" w:color="auto"/>
            <w:left w:val="none" w:sz="0" w:space="0" w:color="auto"/>
            <w:bottom w:val="none" w:sz="0" w:space="0" w:color="auto"/>
            <w:right w:val="none" w:sz="0" w:space="0" w:color="auto"/>
          </w:divBdr>
          <w:divsChild>
            <w:div w:id="399986515">
              <w:marLeft w:val="0"/>
              <w:marRight w:val="0"/>
              <w:marTop w:val="0"/>
              <w:marBottom w:val="0"/>
              <w:divBdr>
                <w:top w:val="none" w:sz="0" w:space="0" w:color="auto"/>
                <w:left w:val="none" w:sz="0" w:space="0" w:color="auto"/>
                <w:bottom w:val="none" w:sz="0" w:space="0" w:color="auto"/>
                <w:right w:val="none" w:sz="0" w:space="0" w:color="auto"/>
              </w:divBdr>
              <w:divsChild>
                <w:div w:id="439222373">
                  <w:marLeft w:val="0"/>
                  <w:marRight w:val="0"/>
                  <w:marTop w:val="0"/>
                  <w:marBottom w:val="0"/>
                  <w:divBdr>
                    <w:top w:val="none" w:sz="0" w:space="0" w:color="auto"/>
                    <w:left w:val="none" w:sz="0" w:space="0" w:color="auto"/>
                    <w:bottom w:val="none" w:sz="0" w:space="0" w:color="auto"/>
                    <w:right w:val="none" w:sz="0" w:space="0" w:color="auto"/>
                  </w:divBdr>
                  <w:divsChild>
                    <w:div w:id="510340997">
                      <w:marLeft w:val="0"/>
                      <w:marRight w:val="0"/>
                      <w:marTop w:val="0"/>
                      <w:marBottom w:val="0"/>
                      <w:divBdr>
                        <w:top w:val="none" w:sz="0" w:space="0" w:color="auto"/>
                        <w:left w:val="none" w:sz="0" w:space="0" w:color="auto"/>
                        <w:bottom w:val="none" w:sz="0" w:space="0" w:color="auto"/>
                        <w:right w:val="none" w:sz="0" w:space="0" w:color="auto"/>
                      </w:divBdr>
                      <w:divsChild>
                        <w:div w:id="2021662553">
                          <w:marLeft w:val="0"/>
                          <w:marRight w:val="0"/>
                          <w:marTop w:val="0"/>
                          <w:marBottom w:val="0"/>
                          <w:divBdr>
                            <w:top w:val="none" w:sz="0" w:space="0" w:color="auto"/>
                            <w:left w:val="none" w:sz="0" w:space="0" w:color="auto"/>
                            <w:bottom w:val="none" w:sz="0" w:space="0" w:color="auto"/>
                            <w:right w:val="none" w:sz="0" w:space="0" w:color="auto"/>
                          </w:divBdr>
                          <w:divsChild>
                            <w:div w:id="229123698">
                              <w:marLeft w:val="0"/>
                              <w:marRight w:val="0"/>
                              <w:marTop w:val="0"/>
                              <w:marBottom w:val="0"/>
                              <w:divBdr>
                                <w:top w:val="none" w:sz="0" w:space="0" w:color="auto"/>
                                <w:left w:val="none" w:sz="0" w:space="0" w:color="auto"/>
                                <w:bottom w:val="none" w:sz="0" w:space="0" w:color="auto"/>
                                <w:right w:val="none" w:sz="0" w:space="0" w:color="auto"/>
                              </w:divBdr>
                              <w:divsChild>
                                <w:div w:id="2068912550">
                                  <w:marLeft w:val="0"/>
                                  <w:marRight w:val="0"/>
                                  <w:marTop w:val="0"/>
                                  <w:marBottom w:val="0"/>
                                  <w:divBdr>
                                    <w:top w:val="none" w:sz="0" w:space="0" w:color="auto"/>
                                    <w:left w:val="none" w:sz="0" w:space="0" w:color="auto"/>
                                    <w:bottom w:val="none" w:sz="0" w:space="0" w:color="auto"/>
                                    <w:right w:val="none" w:sz="0" w:space="0" w:color="auto"/>
                                  </w:divBdr>
                                  <w:divsChild>
                                    <w:div w:id="1371996460">
                                      <w:marLeft w:val="0"/>
                                      <w:marRight w:val="0"/>
                                      <w:marTop w:val="0"/>
                                      <w:marBottom w:val="0"/>
                                      <w:divBdr>
                                        <w:top w:val="none" w:sz="0" w:space="0" w:color="auto"/>
                                        <w:left w:val="none" w:sz="0" w:space="0" w:color="auto"/>
                                        <w:bottom w:val="none" w:sz="0" w:space="0" w:color="auto"/>
                                        <w:right w:val="none" w:sz="0" w:space="0" w:color="auto"/>
                                      </w:divBdr>
                                      <w:divsChild>
                                        <w:div w:id="777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378638">
      <w:bodyDiv w:val="1"/>
      <w:marLeft w:val="0"/>
      <w:marRight w:val="0"/>
      <w:marTop w:val="0"/>
      <w:marBottom w:val="0"/>
      <w:divBdr>
        <w:top w:val="none" w:sz="0" w:space="0" w:color="auto"/>
        <w:left w:val="none" w:sz="0" w:space="0" w:color="auto"/>
        <w:bottom w:val="none" w:sz="0" w:space="0" w:color="auto"/>
        <w:right w:val="none" w:sz="0" w:space="0" w:color="auto"/>
      </w:divBdr>
      <w:divsChild>
        <w:div w:id="514997511">
          <w:marLeft w:val="0"/>
          <w:marRight w:val="0"/>
          <w:marTop w:val="0"/>
          <w:marBottom w:val="0"/>
          <w:divBdr>
            <w:top w:val="none" w:sz="0" w:space="0" w:color="auto"/>
            <w:left w:val="none" w:sz="0" w:space="0" w:color="auto"/>
            <w:bottom w:val="none" w:sz="0" w:space="0" w:color="auto"/>
            <w:right w:val="none" w:sz="0" w:space="0" w:color="auto"/>
          </w:divBdr>
          <w:divsChild>
            <w:div w:id="676736931">
              <w:marLeft w:val="0"/>
              <w:marRight w:val="0"/>
              <w:marTop w:val="0"/>
              <w:marBottom w:val="0"/>
              <w:divBdr>
                <w:top w:val="none" w:sz="0" w:space="0" w:color="auto"/>
                <w:left w:val="none" w:sz="0" w:space="0" w:color="auto"/>
                <w:bottom w:val="none" w:sz="0" w:space="0" w:color="auto"/>
                <w:right w:val="none" w:sz="0" w:space="0" w:color="auto"/>
              </w:divBdr>
              <w:divsChild>
                <w:div w:id="16646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9956">
      <w:bodyDiv w:val="1"/>
      <w:marLeft w:val="0"/>
      <w:marRight w:val="0"/>
      <w:marTop w:val="0"/>
      <w:marBottom w:val="0"/>
      <w:divBdr>
        <w:top w:val="none" w:sz="0" w:space="0" w:color="auto"/>
        <w:left w:val="none" w:sz="0" w:space="0" w:color="auto"/>
        <w:bottom w:val="none" w:sz="0" w:space="0" w:color="auto"/>
        <w:right w:val="none" w:sz="0" w:space="0" w:color="auto"/>
      </w:divBdr>
      <w:divsChild>
        <w:div w:id="58403431">
          <w:marLeft w:val="547"/>
          <w:marRight w:val="0"/>
          <w:marTop w:val="86"/>
          <w:marBottom w:val="0"/>
          <w:divBdr>
            <w:top w:val="none" w:sz="0" w:space="0" w:color="auto"/>
            <w:left w:val="none" w:sz="0" w:space="0" w:color="auto"/>
            <w:bottom w:val="none" w:sz="0" w:space="0" w:color="auto"/>
            <w:right w:val="none" w:sz="0" w:space="0" w:color="auto"/>
          </w:divBdr>
        </w:div>
      </w:divsChild>
    </w:div>
    <w:div w:id="1064063689">
      <w:bodyDiv w:val="1"/>
      <w:marLeft w:val="0"/>
      <w:marRight w:val="0"/>
      <w:marTop w:val="0"/>
      <w:marBottom w:val="0"/>
      <w:divBdr>
        <w:top w:val="none" w:sz="0" w:space="0" w:color="auto"/>
        <w:left w:val="none" w:sz="0" w:space="0" w:color="auto"/>
        <w:bottom w:val="none" w:sz="0" w:space="0" w:color="auto"/>
        <w:right w:val="none" w:sz="0" w:space="0" w:color="auto"/>
      </w:divBdr>
    </w:div>
    <w:div w:id="1079254617">
      <w:bodyDiv w:val="1"/>
      <w:marLeft w:val="0"/>
      <w:marRight w:val="0"/>
      <w:marTop w:val="0"/>
      <w:marBottom w:val="0"/>
      <w:divBdr>
        <w:top w:val="none" w:sz="0" w:space="0" w:color="auto"/>
        <w:left w:val="none" w:sz="0" w:space="0" w:color="auto"/>
        <w:bottom w:val="none" w:sz="0" w:space="0" w:color="auto"/>
        <w:right w:val="none" w:sz="0" w:space="0" w:color="auto"/>
      </w:divBdr>
    </w:div>
    <w:div w:id="1086535223">
      <w:bodyDiv w:val="1"/>
      <w:marLeft w:val="0"/>
      <w:marRight w:val="0"/>
      <w:marTop w:val="0"/>
      <w:marBottom w:val="0"/>
      <w:divBdr>
        <w:top w:val="none" w:sz="0" w:space="0" w:color="auto"/>
        <w:left w:val="none" w:sz="0" w:space="0" w:color="auto"/>
        <w:bottom w:val="none" w:sz="0" w:space="0" w:color="auto"/>
        <w:right w:val="none" w:sz="0" w:space="0" w:color="auto"/>
      </w:divBdr>
    </w:div>
    <w:div w:id="1094399836">
      <w:bodyDiv w:val="1"/>
      <w:marLeft w:val="0"/>
      <w:marRight w:val="0"/>
      <w:marTop w:val="0"/>
      <w:marBottom w:val="0"/>
      <w:divBdr>
        <w:top w:val="none" w:sz="0" w:space="0" w:color="auto"/>
        <w:left w:val="none" w:sz="0" w:space="0" w:color="auto"/>
        <w:bottom w:val="none" w:sz="0" w:space="0" w:color="auto"/>
        <w:right w:val="none" w:sz="0" w:space="0" w:color="auto"/>
      </w:divBdr>
    </w:div>
    <w:div w:id="1145197945">
      <w:bodyDiv w:val="1"/>
      <w:marLeft w:val="0"/>
      <w:marRight w:val="0"/>
      <w:marTop w:val="0"/>
      <w:marBottom w:val="0"/>
      <w:divBdr>
        <w:top w:val="none" w:sz="0" w:space="0" w:color="auto"/>
        <w:left w:val="none" w:sz="0" w:space="0" w:color="auto"/>
        <w:bottom w:val="none" w:sz="0" w:space="0" w:color="auto"/>
        <w:right w:val="none" w:sz="0" w:space="0" w:color="auto"/>
      </w:divBdr>
    </w:div>
    <w:div w:id="1158304018">
      <w:bodyDiv w:val="1"/>
      <w:marLeft w:val="0"/>
      <w:marRight w:val="0"/>
      <w:marTop w:val="0"/>
      <w:marBottom w:val="0"/>
      <w:divBdr>
        <w:top w:val="none" w:sz="0" w:space="0" w:color="auto"/>
        <w:left w:val="none" w:sz="0" w:space="0" w:color="auto"/>
        <w:bottom w:val="none" w:sz="0" w:space="0" w:color="auto"/>
        <w:right w:val="none" w:sz="0" w:space="0" w:color="auto"/>
      </w:divBdr>
      <w:divsChild>
        <w:div w:id="519470442">
          <w:marLeft w:val="0"/>
          <w:marRight w:val="0"/>
          <w:marTop w:val="0"/>
          <w:marBottom w:val="0"/>
          <w:divBdr>
            <w:top w:val="none" w:sz="0" w:space="0" w:color="auto"/>
            <w:left w:val="none" w:sz="0" w:space="0" w:color="auto"/>
            <w:bottom w:val="none" w:sz="0" w:space="0" w:color="auto"/>
            <w:right w:val="none" w:sz="0" w:space="0" w:color="auto"/>
          </w:divBdr>
        </w:div>
      </w:divsChild>
    </w:div>
    <w:div w:id="1161703654">
      <w:bodyDiv w:val="1"/>
      <w:marLeft w:val="0"/>
      <w:marRight w:val="0"/>
      <w:marTop w:val="0"/>
      <w:marBottom w:val="0"/>
      <w:divBdr>
        <w:top w:val="none" w:sz="0" w:space="0" w:color="auto"/>
        <w:left w:val="none" w:sz="0" w:space="0" w:color="auto"/>
        <w:bottom w:val="none" w:sz="0" w:space="0" w:color="auto"/>
        <w:right w:val="none" w:sz="0" w:space="0" w:color="auto"/>
      </w:divBdr>
    </w:div>
    <w:div w:id="1163084978">
      <w:bodyDiv w:val="1"/>
      <w:marLeft w:val="0"/>
      <w:marRight w:val="0"/>
      <w:marTop w:val="0"/>
      <w:marBottom w:val="0"/>
      <w:divBdr>
        <w:top w:val="none" w:sz="0" w:space="0" w:color="auto"/>
        <w:left w:val="none" w:sz="0" w:space="0" w:color="auto"/>
        <w:bottom w:val="none" w:sz="0" w:space="0" w:color="auto"/>
        <w:right w:val="none" w:sz="0" w:space="0" w:color="auto"/>
      </w:divBdr>
    </w:div>
    <w:div w:id="1206872208">
      <w:bodyDiv w:val="1"/>
      <w:marLeft w:val="0"/>
      <w:marRight w:val="0"/>
      <w:marTop w:val="0"/>
      <w:marBottom w:val="0"/>
      <w:divBdr>
        <w:top w:val="none" w:sz="0" w:space="0" w:color="auto"/>
        <w:left w:val="none" w:sz="0" w:space="0" w:color="auto"/>
        <w:bottom w:val="none" w:sz="0" w:space="0" w:color="auto"/>
        <w:right w:val="none" w:sz="0" w:space="0" w:color="auto"/>
      </w:divBdr>
      <w:divsChild>
        <w:div w:id="203831228">
          <w:marLeft w:val="547"/>
          <w:marRight w:val="0"/>
          <w:marTop w:val="86"/>
          <w:marBottom w:val="0"/>
          <w:divBdr>
            <w:top w:val="none" w:sz="0" w:space="0" w:color="auto"/>
            <w:left w:val="none" w:sz="0" w:space="0" w:color="auto"/>
            <w:bottom w:val="none" w:sz="0" w:space="0" w:color="auto"/>
            <w:right w:val="none" w:sz="0" w:space="0" w:color="auto"/>
          </w:divBdr>
        </w:div>
      </w:divsChild>
    </w:div>
    <w:div w:id="1227106459">
      <w:bodyDiv w:val="1"/>
      <w:marLeft w:val="0"/>
      <w:marRight w:val="0"/>
      <w:marTop w:val="0"/>
      <w:marBottom w:val="0"/>
      <w:divBdr>
        <w:top w:val="none" w:sz="0" w:space="0" w:color="auto"/>
        <w:left w:val="none" w:sz="0" w:space="0" w:color="auto"/>
        <w:bottom w:val="none" w:sz="0" w:space="0" w:color="auto"/>
        <w:right w:val="none" w:sz="0" w:space="0" w:color="auto"/>
      </w:divBdr>
    </w:div>
    <w:div w:id="1227447100">
      <w:bodyDiv w:val="1"/>
      <w:marLeft w:val="0"/>
      <w:marRight w:val="0"/>
      <w:marTop w:val="0"/>
      <w:marBottom w:val="0"/>
      <w:divBdr>
        <w:top w:val="none" w:sz="0" w:space="0" w:color="auto"/>
        <w:left w:val="none" w:sz="0" w:space="0" w:color="auto"/>
        <w:bottom w:val="none" w:sz="0" w:space="0" w:color="auto"/>
        <w:right w:val="none" w:sz="0" w:space="0" w:color="auto"/>
      </w:divBdr>
    </w:div>
    <w:div w:id="1266420676">
      <w:bodyDiv w:val="1"/>
      <w:marLeft w:val="0"/>
      <w:marRight w:val="0"/>
      <w:marTop w:val="0"/>
      <w:marBottom w:val="0"/>
      <w:divBdr>
        <w:top w:val="none" w:sz="0" w:space="0" w:color="auto"/>
        <w:left w:val="none" w:sz="0" w:space="0" w:color="auto"/>
        <w:bottom w:val="none" w:sz="0" w:space="0" w:color="auto"/>
        <w:right w:val="none" w:sz="0" w:space="0" w:color="auto"/>
      </w:divBdr>
    </w:div>
    <w:div w:id="1267926988">
      <w:bodyDiv w:val="1"/>
      <w:marLeft w:val="0"/>
      <w:marRight w:val="0"/>
      <w:marTop w:val="0"/>
      <w:marBottom w:val="0"/>
      <w:divBdr>
        <w:top w:val="none" w:sz="0" w:space="0" w:color="auto"/>
        <w:left w:val="none" w:sz="0" w:space="0" w:color="auto"/>
        <w:bottom w:val="none" w:sz="0" w:space="0" w:color="auto"/>
        <w:right w:val="none" w:sz="0" w:space="0" w:color="auto"/>
      </w:divBdr>
      <w:divsChild>
        <w:div w:id="1794404709">
          <w:marLeft w:val="0"/>
          <w:marRight w:val="0"/>
          <w:marTop w:val="0"/>
          <w:marBottom w:val="0"/>
          <w:divBdr>
            <w:top w:val="none" w:sz="0" w:space="0" w:color="auto"/>
            <w:left w:val="none" w:sz="0" w:space="0" w:color="auto"/>
            <w:bottom w:val="none" w:sz="0" w:space="0" w:color="auto"/>
            <w:right w:val="none" w:sz="0" w:space="0" w:color="auto"/>
          </w:divBdr>
          <w:divsChild>
            <w:div w:id="1628706020">
              <w:marLeft w:val="0"/>
              <w:marRight w:val="0"/>
              <w:marTop w:val="0"/>
              <w:marBottom w:val="0"/>
              <w:divBdr>
                <w:top w:val="none" w:sz="0" w:space="0" w:color="auto"/>
                <w:left w:val="none" w:sz="0" w:space="0" w:color="auto"/>
                <w:bottom w:val="none" w:sz="0" w:space="0" w:color="auto"/>
                <w:right w:val="none" w:sz="0" w:space="0" w:color="auto"/>
              </w:divBdr>
              <w:divsChild>
                <w:div w:id="553472922">
                  <w:marLeft w:val="0"/>
                  <w:marRight w:val="0"/>
                  <w:marTop w:val="0"/>
                  <w:marBottom w:val="0"/>
                  <w:divBdr>
                    <w:top w:val="none" w:sz="0" w:space="0" w:color="auto"/>
                    <w:left w:val="none" w:sz="0" w:space="0" w:color="auto"/>
                    <w:bottom w:val="none" w:sz="0" w:space="0" w:color="auto"/>
                    <w:right w:val="none" w:sz="0" w:space="0" w:color="auto"/>
                  </w:divBdr>
                  <w:divsChild>
                    <w:div w:id="122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00483">
      <w:bodyDiv w:val="1"/>
      <w:marLeft w:val="0"/>
      <w:marRight w:val="0"/>
      <w:marTop w:val="0"/>
      <w:marBottom w:val="0"/>
      <w:divBdr>
        <w:top w:val="none" w:sz="0" w:space="0" w:color="auto"/>
        <w:left w:val="none" w:sz="0" w:space="0" w:color="auto"/>
        <w:bottom w:val="none" w:sz="0" w:space="0" w:color="auto"/>
        <w:right w:val="none" w:sz="0" w:space="0" w:color="auto"/>
      </w:divBdr>
    </w:div>
    <w:div w:id="1286934135">
      <w:bodyDiv w:val="1"/>
      <w:marLeft w:val="0"/>
      <w:marRight w:val="0"/>
      <w:marTop w:val="0"/>
      <w:marBottom w:val="0"/>
      <w:divBdr>
        <w:top w:val="none" w:sz="0" w:space="0" w:color="auto"/>
        <w:left w:val="none" w:sz="0" w:space="0" w:color="auto"/>
        <w:bottom w:val="none" w:sz="0" w:space="0" w:color="auto"/>
        <w:right w:val="none" w:sz="0" w:space="0" w:color="auto"/>
      </w:divBdr>
      <w:divsChild>
        <w:div w:id="1865436798">
          <w:marLeft w:val="0"/>
          <w:marRight w:val="0"/>
          <w:marTop w:val="0"/>
          <w:marBottom w:val="0"/>
          <w:divBdr>
            <w:top w:val="none" w:sz="0" w:space="0" w:color="auto"/>
            <w:left w:val="none" w:sz="0" w:space="0" w:color="auto"/>
            <w:bottom w:val="none" w:sz="0" w:space="0" w:color="auto"/>
            <w:right w:val="none" w:sz="0" w:space="0" w:color="auto"/>
          </w:divBdr>
          <w:divsChild>
            <w:div w:id="2057044705">
              <w:marLeft w:val="0"/>
              <w:marRight w:val="0"/>
              <w:marTop w:val="0"/>
              <w:marBottom w:val="0"/>
              <w:divBdr>
                <w:top w:val="none" w:sz="0" w:space="0" w:color="auto"/>
                <w:left w:val="none" w:sz="0" w:space="0" w:color="auto"/>
                <w:bottom w:val="none" w:sz="0" w:space="0" w:color="auto"/>
                <w:right w:val="none" w:sz="0" w:space="0" w:color="auto"/>
              </w:divBdr>
              <w:divsChild>
                <w:div w:id="1351952296">
                  <w:marLeft w:val="0"/>
                  <w:marRight w:val="0"/>
                  <w:marTop w:val="0"/>
                  <w:marBottom w:val="0"/>
                  <w:divBdr>
                    <w:top w:val="none" w:sz="0" w:space="0" w:color="auto"/>
                    <w:left w:val="none" w:sz="0" w:space="0" w:color="auto"/>
                    <w:bottom w:val="none" w:sz="0" w:space="0" w:color="auto"/>
                    <w:right w:val="none" w:sz="0" w:space="0" w:color="auto"/>
                  </w:divBdr>
                  <w:divsChild>
                    <w:div w:id="4924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1691">
      <w:bodyDiv w:val="1"/>
      <w:marLeft w:val="0"/>
      <w:marRight w:val="0"/>
      <w:marTop w:val="0"/>
      <w:marBottom w:val="0"/>
      <w:divBdr>
        <w:top w:val="none" w:sz="0" w:space="0" w:color="auto"/>
        <w:left w:val="none" w:sz="0" w:space="0" w:color="auto"/>
        <w:bottom w:val="none" w:sz="0" w:space="0" w:color="auto"/>
        <w:right w:val="none" w:sz="0" w:space="0" w:color="auto"/>
      </w:divBdr>
    </w:div>
    <w:div w:id="1346713911">
      <w:bodyDiv w:val="1"/>
      <w:marLeft w:val="0"/>
      <w:marRight w:val="0"/>
      <w:marTop w:val="0"/>
      <w:marBottom w:val="0"/>
      <w:divBdr>
        <w:top w:val="none" w:sz="0" w:space="0" w:color="auto"/>
        <w:left w:val="none" w:sz="0" w:space="0" w:color="auto"/>
        <w:bottom w:val="none" w:sz="0" w:space="0" w:color="auto"/>
        <w:right w:val="none" w:sz="0" w:space="0" w:color="auto"/>
      </w:divBdr>
    </w:div>
    <w:div w:id="1401829932">
      <w:bodyDiv w:val="1"/>
      <w:marLeft w:val="0"/>
      <w:marRight w:val="0"/>
      <w:marTop w:val="0"/>
      <w:marBottom w:val="0"/>
      <w:divBdr>
        <w:top w:val="none" w:sz="0" w:space="0" w:color="auto"/>
        <w:left w:val="none" w:sz="0" w:space="0" w:color="auto"/>
        <w:bottom w:val="none" w:sz="0" w:space="0" w:color="auto"/>
        <w:right w:val="none" w:sz="0" w:space="0" w:color="auto"/>
      </w:divBdr>
    </w:div>
    <w:div w:id="1427379976">
      <w:bodyDiv w:val="1"/>
      <w:marLeft w:val="0"/>
      <w:marRight w:val="0"/>
      <w:marTop w:val="0"/>
      <w:marBottom w:val="0"/>
      <w:divBdr>
        <w:top w:val="none" w:sz="0" w:space="0" w:color="auto"/>
        <w:left w:val="none" w:sz="0" w:space="0" w:color="auto"/>
        <w:bottom w:val="none" w:sz="0" w:space="0" w:color="auto"/>
        <w:right w:val="none" w:sz="0" w:space="0" w:color="auto"/>
      </w:divBdr>
    </w:div>
    <w:div w:id="1441877493">
      <w:bodyDiv w:val="1"/>
      <w:marLeft w:val="0"/>
      <w:marRight w:val="0"/>
      <w:marTop w:val="0"/>
      <w:marBottom w:val="0"/>
      <w:divBdr>
        <w:top w:val="none" w:sz="0" w:space="0" w:color="auto"/>
        <w:left w:val="none" w:sz="0" w:space="0" w:color="auto"/>
        <w:bottom w:val="none" w:sz="0" w:space="0" w:color="auto"/>
        <w:right w:val="none" w:sz="0" w:space="0" w:color="auto"/>
      </w:divBdr>
      <w:divsChild>
        <w:div w:id="902183061">
          <w:marLeft w:val="0"/>
          <w:marRight w:val="0"/>
          <w:marTop w:val="0"/>
          <w:marBottom w:val="0"/>
          <w:divBdr>
            <w:top w:val="none" w:sz="0" w:space="0" w:color="auto"/>
            <w:left w:val="none" w:sz="0" w:space="0" w:color="auto"/>
            <w:bottom w:val="none" w:sz="0" w:space="0" w:color="auto"/>
            <w:right w:val="none" w:sz="0" w:space="0" w:color="auto"/>
          </w:divBdr>
          <w:divsChild>
            <w:div w:id="658995423">
              <w:marLeft w:val="0"/>
              <w:marRight w:val="0"/>
              <w:marTop w:val="0"/>
              <w:marBottom w:val="0"/>
              <w:divBdr>
                <w:top w:val="none" w:sz="0" w:space="0" w:color="auto"/>
                <w:left w:val="none" w:sz="0" w:space="0" w:color="auto"/>
                <w:bottom w:val="none" w:sz="0" w:space="0" w:color="auto"/>
                <w:right w:val="none" w:sz="0" w:space="0" w:color="auto"/>
              </w:divBdr>
              <w:divsChild>
                <w:div w:id="37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8982">
      <w:bodyDiv w:val="1"/>
      <w:marLeft w:val="0"/>
      <w:marRight w:val="0"/>
      <w:marTop w:val="0"/>
      <w:marBottom w:val="0"/>
      <w:divBdr>
        <w:top w:val="none" w:sz="0" w:space="0" w:color="auto"/>
        <w:left w:val="none" w:sz="0" w:space="0" w:color="auto"/>
        <w:bottom w:val="none" w:sz="0" w:space="0" w:color="auto"/>
        <w:right w:val="none" w:sz="0" w:space="0" w:color="auto"/>
      </w:divBdr>
      <w:divsChild>
        <w:div w:id="346062535">
          <w:marLeft w:val="0"/>
          <w:marRight w:val="0"/>
          <w:marTop w:val="0"/>
          <w:marBottom w:val="0"/>
          <w:divBdr>
            <w:top w:val="none" w:sz="0" w:space="0" w:color="auto"/>
            <w:left w:val="none" w:sz="0" w:space="0" w:color="auto"/>
            <w:bottom w:val="none" w:sz="0" w:space="0" w:color="auto"/>
            <w:right w:val="none" w:sz="0" w:space="0" w:color="auto"/>
          </w:divBdr>
          <w:divsChild>
            <w:div w:id="530916488">
              <w:marLeft w:val="0"/>
              <w:marRight w:val="0"/>
              <w:marTop w:val="0"/>
              <w:marBottom w:val="0"/>
              <w:divBdr>
                <w:top w:val="none" w:sz="0" w:space="0" w:color="auto"/>
                <w:left w:val="none" w:sz="0" w:space="0" w:color="auto"/>
                <w:bottom w:val="none" w:sz="0" w:space="0" w:color="auto"/>
                <w:right w:val="none" w:sz="0" w:space="0" w:color="auto"/>
              </w:divBdr>
              <w:divsChild>
                <w:div w:id="2078240973">
                  <w:marLeft w:val="0"/>
                  <w:marRight w:val="0"/>
                  <w:marTop w:val="0"/>
                  <w:marBottom w:val="0"/>
                  <w:divBdr>
                    <w:top w:val="none" w:sz="0" w:space="0" w:color="auto"/>
                    <w:left w:val="none" w:sz="0" w:space="0" w:color="auto"/>
                    <w:bottom w:val="none" w:sz="0" w:space="0" w:color="auto"/>
                    <w:right w:val="none" w:sz="0" w:space="0" w:color="auto"/>
                  </w:divBdr>
                  <w:divsChild>
                    <w:div w:id="20898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773">
      <w:bodyDiv w:val="1"/>
      <w:marLeft w:val="0"/>
      <w:marRight w:val="0"/>
      <w:marTop w:val="0"/>
      <w:marBottom w:val="0"/>
      <w:divBdr>
        <w:top w:val="none" w:sz="0" w:space="0" w:color="auto"/>
        <w:left w:val="none" w:sz="0" w:space="0" w:color="auto"/>
        <w:bottom w:val="none" w:sz="0" w:space="0" w:color="auto"/>
        <w:right w:val="none" w:sz="0" w:space="0" w:color="auto"/>
      </w:divBdr>
      <w:divsChild>
        <w:div w:id="350566683">
          <w:marLeft w:val="0"/>
          <w:marRight w:val="0"/>
          <w:marTop w:val="0"/>
          <w:marBottom w:val="0"/>
          <w:divBdr>
            <w:top w:val="none" w:sz="0" w:space="0" w:color="auto"/>
            <w:left w:val="none" w:sz="0" w:space="0" w:color="auto"/>
            <w:bottom w:val="none" w:sz="0" w:space="0" w:color="auto"/>
            <w:right w:val="none" w:sz="0" w:space="0" w:color="auto"/>
          </w:divBdr>
          <w:divsChild>
            <w:div w:id="1156452710">
              <w:marLeft w:val="0"/>
              <w:marRight w:val="0"/>
              <w:marTop w:val="0"/>
              <w:marBottom w:val="0"/>
              <w:divBdr>
                <w:top w:val="none" w:sz="0" w:space="0" w:color="auto"/>
                <w:left w:val="none" w:sz="0" w:space="0" w:color="auto"/>
                <w:bottom w:val="none" w:sz="0" w:space="0" w:color="auto"/>
                <w:right w:val="none" w:sz="0" w:space="0" w:color="auto"/>
              </w:divBdr>
              <w:divsChild>
                <w:div w:id="923611021">
                  <w:marLeft w:val="0"/>
                  <w:marRight w:val="0"/>
                  <w:marTop w:val="0"/>
                  <w:marBottom w:val="0"/>
                  <w:divBdr>
                    <w:top w:val="none" w:sz="0" w:space="0" w:color="auto"/>
                    <w:left w:val="none" w:sz="0" w:space="0" w:color="auto"/>
                    <w:bottom w:val="none" w:sz="0" w:space="0" w:color="auto"/>
                    <w:right w:val="none" w:sz="0" w:space="0" w:color="auto"/>
                  </w:divBdr>
                  <w:divsChild>
                    <w:div w:id="5937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9174">
      <w:bodyDiv w:val="1"/>
      <w:marLeft w:val="0"/>
      <w:marRight w:val="0"/>
      <w:marTop w:val="0"/>
      <w:marBottom w:val="0"/>
      <w:divBdr>
        <w:top w:val="none" w:sz="0" w:space="0" w:color="auto"/>
        <w:left w:val="none" w:sz="0" w:space="0" w:color="auto"/>
        <w:bottom w:val="none" w:sz="0" w:space="0" w:color="auto"/>
        <w:right w:val="none" w:sz="0" w:space="0" w:color="auto"/>
      </w:divBdr>
    </w:div>
    <w:div w:id="1597900364">
      <w:bodyDiv w:val="1"/>
      <w:marLeft w:val="0"/>
      <w:marRight w:val="0"/>
      <w:marTop w:val="0"/>
      <w:marBottom w:val="0"/>
      <w:divBdr>
        <w:top w:val="none" w:sz="0" w:space="0" w:color="auto"/>
        <w:left w:val="none" w:sz="0" w:space="0" w:color="auto"/>
        <w:bottom w:val="none" w:sz="0" w:space="0" w:color="auto"/>
        <w:right w:val="none" w:sz="0" w:space="0" w:color="auto"/>
      </w:divBdr>
      <w:divsChild>
        <w:div w:id="1431313933">
          <w:marLeft w:val="0"/>
          <w:marRight w:val="0"/>
          <w:marTop w:val="0"/>
          <w:marBottom w:val="0"/>
          <w:divBdr>
            <w:top w:val="none" w:sz="0" w:space="0" w:color="auto"/>
            <w:left w:val="none" w:sz="0" w:space="0" w:color="auto"/>
            <w:bottom w:val="none" w:sz="0" w:space="0" w:color="auto"/>
            <w:right w:val="none" w:sz="0" w:space="0" w:color="auto"/>
          </w:divBdr>
        </w:div>
      </w:divsChild>
    </w:div>
    <w:div w:id="1603957650">
      <w:bodyDiv w:val="1"/>
      <w:marLeft w:val="0"/>
      <w:marRight w:val="0"/>
      <w:marTop w:val="0"/>
      <w:marBottom w:val="0"/>
      <w:divBdr>
        <w:top w:val="none" w:sz="0" w:space="0" w:color="auto"/>
        <w:left w:val="none" w:sz="0" w:space="0" w:color="auto"/>
        <w:bottom w:val="none" w:sz="0" w:space="0" w:color="auto"/>
        <w:right w:val="none" w:sz="0" w:space="0" w:color="auto"/>
      </w:divBdr>
      <w:divsChild>
        <w:div w:id="688987791">
          <w:marLeft w:val="0"/>
          <w:marRight w:val="0"/>
          <w:marTop w:val="0"/>
          <w:marBottom w:val="0"/>
          <w:divBdr>
            <w:top w:val="none" w:sz="0" w:space="0" w:color="auto"/>
            <w:left w:val="none" w:sz="0" w:space="0" w:color="auto"/>
            <w:bottom w:val="none" w:sz="0" w:space="0" w:color="auto"/>
            <w:right w:val="none" w:sz="0" w:space="0" w:color="auto"/>
          </w:divBdr>
          <w:divsChild>
            <w:div w:id="1537618154">
              <w:marLeft w:val="0"/>
              <w:marRight w:val="0"/>
              <w:marTop w:val="0"/>
              <w:marBottom w:val="0"/>
              <w:divBdr>
                <w:top w:val="none" w:sz="0" w:space="0" w:color="auto"/>
                <w:left w:val="none" w:sz="0" w:space="0" w:color="auto"/>
                <w:bottom w:val="none" w:sz="0" w:space="0" w:color="auto"/>
                <w:right w:val="none" w:sz="0" w:space="0" w:color="auto"/>
              </w:divBdr>
              <w:divsChild>
                <w:div w:id="1353535272">
                  <w:marLeft w:val="0"/>
                  <w:marRight w:val="0"/>
                  <w:marTop w:val="0"/>
                  <w:marBottom w:val="0"/>
                  <w:divBdr>
                    <w:top w:val="none" w:sz="0" w:space="0" w:color="auto"/>
                    <w:left w:val="none" w:sz="0" w:space="0" w:color="auto"/>
                    <w:bottom w:val="none" w:sz="0" w:space="0" w:color="auto"/>
                    <w:right w:val="none" w:sz="0" w:space="0" w:color="auto"/>
                  </w:divBdr>
                  <w:divsChild>
                    <w:div w:id="62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8455">
      <w:bodyDiv w:val="1"/>
      <w:marLeft w:val="0"/>
      <w:marRight w:val="0"/>
      <w:marTop w:val="0"/>
      <w:marBottom w:val="0"/>
      <w:divBdr>
        <w:top w:val="none" w:sz="0" w:space="0" w:color="auto"/>
        <w:left w:val="none" w:sz="0" w:space="0" w:color="auto"/>
        <w:bottom w:val="none" w:sz="0" w:space="0" w:color="auto"/>
        <w:right w:val="none" w:sz="0" w:space="0" w:color="auto"/>
      </w:divBdr>
    </w:div>
    <w:div w:id="1616324349">
      <w:bodyDiv w:val="1"/>
      <w:marLeft w:val="0"/>
      <w:marRight w:val="0"/>
      <w:marTop w:val="0"/>
      <w:marBottom w:val="0"/>
      <w:divBdr>
        <w:top w:val="none" w:sz="0" w:space="0" w:color="auto"/>
        <w:left w:val="none" w:sz="0" w:space="0" w:color="auto"/>
        <w:bottom w:val="none" w:sz="0" w:space="0" w:color="auto"/>
        <w:right w:val="none" w:sz="0" w:space="0" w:color="auto"/>
      </w:divBdr>
      <w:divsChild>
        <w:div w:id="1633556384">
          <w:marLeft w:val="0"/>
          <w:marRight w:val="0"/>
          <w:marTop w:val="0"/>
          <w:marBottom w:val="0"/>
          <w:divBdr>
            <w:top w:val="none" w:sz="0" w:space="0" w:color="auto"/>
            <w:left w:val="none" w:sz="0" w:space="0" w:color="auto"/>
            <w:bottom w:val="none" w:sz="0" w:space="0" w:color="auto"/>
            <w:right w:val="none" w:sz="0" w:space="0" w:color="auto"/>
          </w:divBdr>
        </w:div>
      </w:divsChild>
    </w:div>
    <w:div w:id="1632129997">
      <w:bodyDiv w:val="1"/>
      <w:marLeft w:val="0"/>
      <w:marRight w:val="0"/>
      <w:marTop w:val="0"/>
      <w:marBottom w:val="0"/>
      <w:divBdr>
        <w:top w:val="none" w:sz="0" w:space="0" w:color="auto"/>
        <w:left w:val="none" w:sz="0" w:space="0" w:color="auto"/>
        <w:bottom w:val="none" w:sz="0" w:space="0" w:color="auto"/>
        <w:right w:val="none" w:sz="0" w:space="0" w:color="auto"/>
      </w:divBdr>
    </w:div>
    <w:div w:id="1645238686">
      <w:bodyDiv w:val="1"/>
      <w:marLeft w:val="0"/>
      <w:marRight w:val="0"/>
      <w:marTop w:val="0"/>
      <w:marBottom w:val="0"/>
      <w:divBdr>
        <w:top w:val="none" w:sz="0" w:space="0" w:color="auto"/>
        <w:left w:val="none" w:sz="0" w:space="0" w:color="auto"/>
        <w:bottom w:val="none" w:sz="0" w:space="0" w:color="auto"/>
        <w:right w:val="none" w:sz="0" w:space="0" w:color="auto"/>
      </w:divBdr>
      <w:divsChild>
        <w:div w:id="1987857766">
          <w:marLeft w:val="0"/>
          <w:marRight w:val="0"/>
          <w:marTop w:val="0"/>
          <w:marBottom w:val="0"/>
          <w:divBdr>
            <w:top w:val="none" w:sz="0" w:space="0" w:color="auto"/>
            <w:left w:val="none" w:sz="0" w:space="0" w:color="auto"/>
            <w:bottom w:val="none" w:sz="0" w:space="0" w:color="auto"/>
            <w:right w:val="none" w:sz="0" w:space="0" w:color="auto"/>
          </w:divBdr>
        </w:div>
      </w:divsChild>
    </w:div>
    <w:div w:id="1648242637">
      <w:bodyDiv w:val="1"/>
      <w:marLeft w:val="0"/>
      <w:marRight w:val="0"/>
      <w:marTop w:val="0"/>
      <w:marBottom w:val="0"/>
      <w:divBdr>
        <w:top w:val="none" w:sz="0" w:space="0" w:color="auto"/>
        <w:left w:val="none" w:sz="0" w:space="0" w:color="auto"/>
        <w:bottom w:val="none" w:sz="0" w:space="0" w:color="auto"/>
        <w:right w:val="none" w:sz="0" w:space="0" w:color="auto"/>
      </w:divBdr>
      <w:divsChild>
        <w:div w:id="2129539939">
          <w:marLeft w:val="547"/>
          <w:marRight w:val="0"/>
          <w:marTop w:val="86"/>
          <w:marBottom w:val="0"/>
          <w:divBdr>
            <w:top w:val="none" w:sz="0" w:space="0" w:color="auto"/>
            <w:left w:val="none" w:sz="0" w:space="0" w:color="auto"/>
            <w:bottom w:val="none" w:sz="0" w:space="0" w:color="auto"/>
            <w:right w:val="none" w:sz="0" w:space="0" w:color="auto"/>
          </w:divBdr>
        </w:div>
      </w:divsChild>
    </w:div>
    <w:div w:id="1706558293">
      <w:bodyDiv w:val="1"/>
      <w:marLeft w:val="0"/>
      <w:marRight w:val="0"/>
      <w:marTop w:val="0"/>
      <w:marBottom w:val="0"/>
      <w:divBdr>
        <w:top w:val="none" w:sz="0" w:space="0" w:color="auto"/>
        <w:left w:val="none" w:sz="0" w:space="0" w:color="auto"/>
        <w:bottom w:val="none" w:sz="0" w:space="0" w:color="auto"/>
        <w:right w:val="none" w:sz="0" w:space="0" w:color="auto"/>
      </w:divBdr>
    </w:div>
    <w:div w:id="1710060751">
      <w:bodyDiv w:val="1"/>
      <w:marLeft w:val="0"/>
      <w:marRight w:val="0"/>
      <w:marTop w:val="0"/>
      <w:marBottom w:val="0"/>
      <w:divBdr>
        <w:top w:val="none" w:sz="0" w:space="0" w:color="auto"/>
        <w:left w:val="none" w:sz="0" w:space="0" w:color="auto"/>
        <w:bottom w:val="none" w:sz="0" w:space="0" w:color="auto"/>
        <w:right w:val="none" w:sz="0" w:space="0" w:color="auto"/>
      </w:divBdr>
      <w:divsChild>
        <w:div w:id="519244026">
          <w:marLeft w:val="0"/>
          <w:marRight w:val="0"/>
          <w:marTop w:val="0"/>
          <w:marBottom w:val="0"/>
          <w:divBdr>
            <w:top w:val="none" w:sz="0" w:space="0" w:color="auto"/>
            <w:left w:val="none" w:sz="0" w:space="0" w:color="auto"/>
            <w:bottom w:val="none" w:sz="0" w:space="0" w:color="auto"/>
            <w:right w:val="none" w:sz="0" w:space="0" w:color="auto"/>
          </w:divBdr>
          <w:divsChild>
            <w:div w:id="116990235">
              <w:marLeft w:val="0"/>
              <w:marRight w:val="0"/>
              <w:marTop w:val="0"/>
              <w:marBottom w:val="0"/>
              <w:divBdr>
                <w:top w:val="none" w:sz="0" w:space="0" w:color="auto"/>
                <w:left w:val="none" w:sz="0" w:space="0" w:color="auto"/>
                <w:bottom w:val="none" w:sz="0" w:space="0" w:color="auto"/>
                <w:right w:val="none" w:sz="0" w:space="0" w:color="auto"/>
              </w:divBdr>
              <w:divsChild>
                <w:div w:id="1891333966">
                  <w:marLeft w:val="0"/>
                  <w:marRight w:val="0"/>
                  <w:marTop w:val="0"/>
                  <w:marBottom w:val="0"/>
                  <w:divBdr>
                    <w:top w:val="none" w:sz="0" w:space="0" w:color="auto"/>
                    <w:left w:val="none" w:sz="0" w:space="0" w:color="auto"/>
                    <w:bottom w:val="none" w:sz="0" w:space="0" w:color="auto"/>
                    <w:right w:val="none" w:sz="0" w:space="0" w:color="auto"/>
                  </w:divBdr>
                  <w:divsChild>
                    <w:div w:id="19868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42501">
      <w:bodyDiv w:val="1"/>
      <w:marLeft w:val="0"/>
      <w:marRight w:val="0"/>
      <w:marTop w:val="0"/>
      <w:marBottom w:val="0"/>
      <w:divBdr>
        <w:top w:val="none" w:sz="0" w:space="0" w:color="auto"/>
        <w:left w:val="none" w:sz="0" w:space="0" w:color="auto"/>
        <w:bottom w:val="none" w:sz="0" w:space="0" w:color="auto"/>
        <w:right w:val="none" w:sz="0" w:space="0" w:color="auto"/>
      </w:divBdr>
    </w:div>
    <w:div w:id="1744795535">
      <w:bodyDiv w:val="1"/>
      <w:marLeft w:val="0"/>
      <w:marRight w:val="0"/>
      <w:marTop w:val="0"/>
      <w:marBottom w:val="0"/>
      <w:divBdr>
        <w:top w:val="none" w:sz="0" w:space="0" w:color="auto"/>
        <w:left w:val="none" w:sz="0" w:space="0" w:color="auto"/>
        <w:bottom w:val="none" w:sz="0" w:space="0" w:color="auto"/>
        <w:right w:val="none" w:sz="0" w:space="0" w:color="auto"/>
      </w:divBdr>
    </w:div>
    <w:div w:id="1771193420">
      <w:bodyDiv w:val="1"/>
      <w:marLeft w:val="0"/>
      <w:marRight w:val="0"/>
      <w:marTop w:val="0"/>
      <w:marBottom w:val="0"/>
      <w:divBdr>
        <w:top w:val="none" w:sz="0" w:space="0" w:color="auto"/>
        <w:left w:val="none" w:sz="0" w:space="0" w:color="auto"/>
        <w:bottom w:val="none" w:sz="0" w:space="0" w:color="auto"/>
        <w:right w:val="none" w:sz="0" w:space="0" w:color="auto"/>
      </w:divBdr>
    </w:div>
    <w:div w:id="1809782325">
      <w:bodyDiv w:val="1"/>
      <w:marLeft w:val="0"/>
      <w:marRight w:val="0"/>
      <w:marTop w:val="0"/>
      <w:marBottom w:val="0"/>
      <w:divBdr>
        <w:top w:val="none" w:sz="0" w:space="0" w:color="auto"/>
        <w:left w:val="none" w:sz="0" w:space="0" w:color="auto"/>
        <w:bottom w:val="none" w:sz="0" w:space="0" w:color="auto"/>
        <w:right w:val="none" w:sz="0" w:space="0" w:color="auto"/>
      </w:divBdr>
    </w:div>
    <w:div w:id="1810784142">
      <w:bodyDiv w:val="1"/>
      <w:marLeft w:val="0"/>
      <w:marRight w:val="0"/>
      <w:marTop w:val="0"/>
      <w:marBottom w:val="0"/>
      <w:divBdr>
        <w:top w:val="none" w:sz="0" w:space="0" w:color="auto"/>
        <w:left w:val="none" w:sz="0" w:space="0" w:color="auto"/>
        <w:bottom w:val="none" w:sz="0" w:space="0" w:color="auto"/>
        <w:right w:val="none" w:sz="0" w:space="0" w:color="auto"/>
      </w:divBdr>
      <w:divsChild>
        <w:div w:id="2077969906">
          <w:marLeft w:val="0"/>
          <w:marRight w:val="0"/>
          <w:marTop w:val="0"/>
          <w:marBottom w:val="0"/>
          <w:divBdr>
            <w:top w:val="none" w:sz="0" w:space="0" w:color="auto"/>
            <w:left w:val="none" w:sz="0" w:space="0" w:color="auto"/>
            <w:bottom w:val="none" w:sz="0" w:space="0" w:color="auto"/>
            <w:right w:val="none" w:sz="0" w:space="0" w:color="auto"/>
          </w:divBdr>
          <w:divsChild>
            <w:div w:id="584152866">
              <w:marLeft w:val="0"/>
              <w:marRight w:val="0"/>
              <w:marTop w:val="0"/>
              <w:marBottom w:val="0"/>
              <w:divBdr>
                <w:top w:val="none" w:sz="0" w:space="0" w:color="auto"/>
                <w:left w:val="none" w:sz="0" w:space="0" w:color="auto"/>
                <w:bottom w:val="none" w:sz="0" w:space="0" w:color="auto"/>
                <w:right w:val="none" w:sz="0" w:space="0" w:color="auto"/>
              </w:divBdr>
              <w:divsChild>
                <w:div w:id="1069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3517">
      <w:bodyDiv w:val="1"/>
      <w:marLeft w:val="0"/>
      <w:marRight w:val="0"/>
      <w:marTop w:val="0"/>
      <w:marBottom w:val="0"/>
      <w:divBdr>
        <w:top w:val="none" w:sz="0" w:space="0" w:color="auto"/>
        <w:left w:val="none" w:sz="0" w:space="0" w:color="auto"/>
        <w:bottom w:val="none" w:sz="0" w:space="0" w:color="auto"/>
        <w:right w:val="none" w:sz="0" w:space="0" w:color="auto"/>
      </w:divBdr>
    </w:div>
    <w:div w:id="1830051414">
      <w:bodyDiv w:val="1"/>
      <w:marLeft w:val="0"/>
      <w:marRight w:val="0"/>
      <w:marTop w:val="0"/>
      <w:marBottom w:val="0"/>
      <w:divBdr>
        <w:top w:val="none" w:sz="0" w:space="0" w:color="auto"/>
        <w:left w:val="none" w:sz="0" w:space="0" w:color="auto"/>
        <w:bottom w:val="none" w:sz="0" w:space="0" w:color="auto"/>
        <w:right w:val="none" w:sz="0" w:space="0" w:color="auto"/>
      </w:divBdr>
    </w:div>
    <w:div w:id="1838954018">
      <w:bodyDiv w:val="1"/>
      <w:marLeft w:val="0"/>
      <w:marRight w:val="0"/>
      <w:marTop w:val="0"/>
      <w:marBottom w:val="0"/>
      <w:divBdr>
        <w:top w:val="none" w:sz="0" w:space="0" w:color="auto"/>
        <w:left w:val="none" w:sz="0" w:space="0" w:color="auto"/>
        <w:bottom w:val="none" w:sz="0" w:space="0" w:color="auto"/>
        <w:right w:val="none" w:sz="0" w:space="0" w:color="auto"/>
      </w:divBdr>
    </w:div>
    <w:div w:id="1839611963">
      <w:bodyDiv w:val="1"/>
      <w:marLeft w:val="0"/>
      <w:marRight w:val="0"/>
      <w:marTop w:val="0"/>
      <w:marBottom w:val="0"/>
      <w:divBdr>
        <w:top w:val="none" w:sz="0" w:space="0" w:color="auto"/>
        <w:left w:val="none" w:sz="0" w:space="0" w:color="auto"/>
        <w:bottom w:val="none" w:sz="0" w:space="0" w:color="auto"/>
        <w:right w:val="none" w:sz="0" w:space="0" w:color="auto"/>
      </w:divBdr>
      <w:divsChild>
        <w:div w:id="452480445">
          <w:marLeft w:val="0"/>
          <w:marRight w:val="0"/>
          <w:marTop w:val="0"/>
          <w:marBottom w:val="0"/>
          <w:divBdr>
            <w:top w:val="none" w:sz="0" w:space="0" w:color="auto"/>
            <w:left w:val="none" w:sz="0" w:space="0" w:color="auto"/>
            <w:bottom w:val="none" w:sz="0" w:space="0" w:color="auto"/>
            <w:right w:val="none" w:sz="0" w:space="0" w:color="auto"/>
          </w:divBdr>
          <w:divsChild>
            <w:div w:id="330135471">
              <w:marLeft w:val="0"/>
              <w:marRight w:val="0"/>
              <w:marTop w:val="0"/>
              <w:marBottom w:val="0"/>
              <w:divBdr>
                <w:top w:val="none" w:sz="0" w:space="0" w:color="auto"/>
                <w:left w:val="none" w:sz="0" w:space="0" w:color="auto"/>
                <w:bottom w:val="none" w:sz="0" w:space="0" w:color="auto"/>
                <w:right w:val="none" w:sz="0" w:space="0" w:color="auto"/>
              </w:divBdr>
              <w:divsChild>
                <w:div w:id="91628043">
                  <w:marLeft w:val="0"/>
                  <w:marRight w:val="0"/>
                  <w:marTop w:val="0"/>
                  <w:marBottom w:val="0"/>
                  <w:divBdr>
                    <w:top w:val="none" w:sz="0" w:space="0" w:color="auto"/>
                    <w:left w:val="none" w:sz="0" w:space="0" w:color="auto"/>
                    <w:bottom w:val="none" w:sz="0" w:space="0" w:color="auto"/>
                    <w:right w:val="none" w:sz="0" w:space="0" w:color="auto"/>
                  </w:divBdr>
                  <w:divsChild>
                    <w:div w:id="16440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72328">
      <w:bodyDiv w:val="1"/>
      <w:marLeft w:val="0"/>
      <w:marRight w:val="0"/>
      <w:marTop w:val="0"/>
      <w:marBottom w:val="0"/>
      <w:divBdr>
        <w:top w:val="none" w:sz="0" w:space="0" w:color="auto"/>
        <w:left w:val="none" w:sz="0" w:space="0" w:color="auto"/>
        <w:bottom w:val="none" w:sz="0" w:space="0" w:color="auto"/>
        <w:right w:val="none" w:sz="0" w:space="0" w:color="auto"/>
      </w:divBdr>
    </w:div>
    <w:div w:id="1850757257">
      <w:bodyDiv w:val="1"/>
      <w:marLeft w:val="0"/>
      <w:marRight w:val="0"/>
      <w:marTop w:val="0"/>
      <w:marBottom w:val="0"/>
      <w:divBdr>
        <w:top w:val="none" w:sz="0" w:space="0" w:color="auto"/>
        <w:left w:val="none" w:sz="0" w:space="0" w:color="auto"/>
        <w:bottom w:val="none" w:sz="0" w:space="0" w:color="auto"/>
        <w:right w:val="none" w:sz="0" w:space="0" w:color="auto"/>
      </w:divBdr>
      <w:divsChild>
        <w:div w:id="550071066">
          <w:marLeft w:val="0"/>
          <w:marRight w:val="0"/>
          <w:marTop w:val="0"/>
          <w:marBottom w:val="0"/>
          <w:divBdr>
            <w:top w:val="none" w:sz="0" w:space="0" w:color="auto"/>
            <w:left w:val="none" w:sz="0" w:space="0" w:color="auto"/>
            <w:bottom w:val="none" w:sz="0" w:space="0" w:color="auto"/>
            <w:right w:val="none" w:sz="0" w:space="0" w:color="auto"/>
          </w:divBdr>
        </w:div>
      </w:divsChild>
    </w:div>
    <w:div w:id="1856267935">
      <w:bodyDiv w:val="1"/>
      <w:marLeft w:val="0"/>
      <w:marRight w:val="0"/>
      <w:marTop w:val="0"/>
      <w:marBottom w:val="0"/>
      <w:divBdr>
        <w:top w:val="none" w:sz="0" w:space="0" w:color="auto"/>
        <w:left w:val="none" w:sz="0" w:space="0" w:color="auto"/>
        <w:bottom w:val="none" w:sz="0" w:space="0" w:color="auto"/>
        <w:right w:val="none" w:sz="0" w:space="0" w:color="auto"/>
      </w:divBdr>
      <w:divsChild>
        <w:div w:id="1411535420">
          <w:marLeft w:val="0"/>
          <w:marRight w:val="0"/>
          <w:marTop w:val="0"/>
          <w:marBottom w:val="0"/>
          <w:divBdr>
            <w:top w:val="none" w:sz="0" w:space="0" w:color="auto"/>
            <w:left w:val="none" w:sz="0" w:space="0" w:color="auto"/>
            <w:bottom w:val="none" w:sz="0" w:space="0" w:color="auto"/>
            <w:right w:val="none" w:sz="0" w:space="0" w:color="auto"/>
          </w:divBdr>
          <w:divsChild>
            <w:div w:id="1283615937">
              <w:marLeft w:val="0"/>
              <w:marRight w:val="0"/>
              <w:marTop w:val="0"/>
              <w:marBottom w:val="0"/>
              <w:divBdr>
                <w:top w:val="none" w:sz="0" w:space="0" w:color="auto"/>
                <w:left w:val="none" w:sz="0" w:space="0" w:color="auto"/>
                <w:bottom w:val="none" w:sz="0" w:space="0" w:color="auto"/>
                <w:right w:val="none" w:sz="0" w:space="0" w:color="auto"/>
              </w:divBdr>
              <w:divsChild>
                <w:div w:id="409741687">
                  <w:marLeft w:val="0"/>
                  <w:marRight w:val="0"/>
                  <w:marTop w:val="0"/>
                  <w:marBottom w:val="0"/>
                  <w:divBdr>
                    <w:top w:val="none" w:sz="0" w:space="0" w:color="auto"/>
                    <w:left w:val="none" w:sz="0" w:space="0" w:color="auto"/>
                    <w:bottom w:val="none" w:sz="0" w:space="0" w:color="auto"/>
                    <w:right w:val="none" w:sz="0" w:space="0" w:color="auto"/>
                  </w:divBdr>
                  <w:divsChild>
                    <w:div w:id="8982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7957">
      <w:bodyDiv w:val="1"/>
      <w:marLeft w:val="0"/>
      <w:marRight w:val="0"/>
      <w:marTop w:val="0"/>
      <w:marBottom w:val="0"/>
      <w:divBdr>
        <w:top w:val="none" w:sz="0" w:space="0" w:color="auto"/>
        <w:left w:val="none" w:sz="0" w:space="0" w:color="auto"/>
        <w:bottom w:val="none" w:sz="0" w:space="0" w:color="auto"/>
        <w:right w:val="none" w:sz="0" w:space="0" w:color="auto"/>
      </w:divBdr>
    </w:div>
    <w:div w:id="1888225963">
      <w:bodyDiv w:val="1"/>
      <w:marLeft w:val="0"/>
      <w:marRight w:val="0"/>
      <w:marTop w:val="0"/>
      <w:marBottom w:val="0"/>
      <w:divBdr>
        <w:top w:val="none" w:sz="0" w:space="0" w:color="auto"/>
        <w:left w:val="none" w:sz="0" w:space="0" w:color="auto"/>
        <w:bottom w:val="none" w:sz="0" w:space="0" w:color="auto"/>
        <w:right w:val="none" w:sz="0" w:space="0" w:color="auto"/>
      </w:divBdr>
    </w:div>
    <w:div w:id="1969122960">
      <w:bodyDiv w:val="1"/>
      <w:marLeft w:val="0"/>
      <w:marRight w:val="0"/>
      <w:marTop w:val="0"/>
      <w:marBottom w:val="0"/>
      <w:divBdr>
        <w:top w:val="none" w:sz="0" w:space="0" w:color="auto"/>
        <w:left w:val="none" w:sz="0" w:space="0" w:color="auto"/>
        <w:bottom w:val="none" w:sz="0" w:space="0" w:color="auto"/>
        <w:right w:val="none" w:sz="0" w:space="0" w:color="auto"/>
      </w:divBdr>
    </w:div>
    <w:div w:id="1992443989">
      <w:bodyDiv w:val="1"/>
      <w:marLeft w:val="0"/>
      <w:marRight w:val="0"/>
      <w:marTop w:val="0"/>
      <w:marBottom w:val="0"/>
      <w:divBdr>
        <w:top w:val="none" w:sz="0" w:space="0" w:color="auto"/>
        <w:left w:val="none" w:sz="0" w:space="0" w:color="auto"/>
        <w:bottom w:val="none" w:sz="0" w:space="0" w:color="auto"/>
        <w:right w:val="none" w:sz="0" w:space="0" w:color="auto"/>
      </w:divBdr>
      <w:divsChild>
        <w:div w:id="1207257036">
          <w:marLeft w:val="0"/>
          <w:marRight w:val="0"/>
          <w:marTop w:val="0"/>
          <w:marBottom w:val="0"/>
          <w:divBdr>
            <w:top w:val="none" w:sz="0" w:space="0" w:color="auto"/>
            <w:left w:val="none" w:sz="0" w:space="0" w:color="auto"/>
            <w:bottom w:val="none" w:sz="0" w:space="0" w:color="auto"/>
            <w:right w:val="none" w:sz="0" w:space="0" w:color="auto"/>
          </w:divBdr>
          <w:divsChild>
            <w:div w:id="105738553">
              <w:marLeft w:val="0"/>
              <w:marRight w:val="0"/>
              <w:marTop w:val="0"/>
              <w:marBottom w:val="0"/>
              <w:divBdr>
                <w:top w:val="none" w:sz="0" w:space="0" w:color="auto"/>
                <w:left w:val="none" w:sz="0" w:space="0" w:color="auto"/>
                <w:bottom w:val="none" w:sz="0" w:space="0" w:color="auto"/>
                <w:right w:val="none" w:sz="0" w:space="0" w:color="auto"/>
              </w:divBdr>
              <w:divsChild>
                <w:div w:id="1803376743">
                  <w:marLeft w:val="0"/>
                  <w:marRight w:val="0"/>
                  <w:marTop w:val="0"/>
                  <w:marBottom w:val="0"/>
                  <w:divBdr>
                    <w:top w:val="none" w:sz="0" w:space="0" w:color="auto"/>
                    <w:left w:val="none" w:sz="0" w:space="0" w:color="auto"/>
                    <w:bottom w:val="none" w:sz="0" w:space="0" w:color="auto"/>
                    <w:right w:val="none" w:sz="0" w:space="0" w:color="auto"/>
                  </w:divBdr>
                  <w:divsChild>
                    <w:div w:id="478424337">
                      <w:marLeft w:val="0"/>
                      <w:marRight w:val="0"/>
                      <w:marTop w:val="0"/>
                      <w:marBottom w:val="0"/>
                      <w:divBdr>
                        <w:top w:val="none" w:sz="0" w:space="0" w:color="auto"/>
                        <w:left w:val="none" w:sz="0" w:space="0" w:color="auto"/>
                        <w:bottom w:val="none" w:sz="0" w:space="0" w:color="auto"/>
                        <w:right w:val="none" w:sz="0" w:space="0" w:color="auto"/>
                      </w:divBdr>
                      <w:divsChild>
                        <w:div w:id="1823543004">
                          <w:marLeft w:val="0"/>
                          <w:marRight w:val="0"/>
                          <w:marTop w:val="0"/>
                          <w:marBottom w:val="0"/>
                          <w:divBdr>
                            <w:top w:val="none" w:sz="0" w:space="0" w:color="auto"/>
                            <w:left w:val="none" w:sz="0" w:space="0" w:color="auto"/>
                            <w:bottom w:val="none" w:sz="0" w:space="0" w:color="auto"/>
                            <w:right w:val="none" w:sz="0" w:space="0" w:color="auto"/>
                          </w:divBdr>
                          <w:divsChild>
                            <w:div w:id="101850083">
                              <w:marLeft w:val="0"/>
                              <w:marRight w:val="0"/>
                              <w:marTop w:val="0"/>
                              <w:marBottom w:val="0"/>
                              <w:divBdr>
                                <w:top w:val="none" w:sz="0" w:space="0" w:color="auto"/>
                                <w:left w:val="none" w:sz="0" w:space="0" w:color="auto"/>
                                <w:bottom w:val="none" w:sz="0" w:space="0" w:color="auto"/>
                                <w:right w:val="none" w:sz="0" w:space="0" w:color="auto"/>
                              </w:divBdr>
                              <w:divsChild>
                                <w:div w:id="352457486">
                                  <w:marLeft w:val="0"/>
                                  <w:marRight w:val="0"/>
                                  <w:marTop w:val="0"/>
                                  <w:marBottom w:val="0"/>
                                  <w:divBdr>
                                    <w:top w:val="none" w:sz="0" w:space="0" w:color="auto"/>
                                    <w:left w:val="none" w:sz="0" w:space="0" w:color="auto"/>
                                    <w:bottom w:val="none" w:sz="0" w:space="0" w:color="auto"/>
                                    <w:right w:val="none" w:sz="0" w:space="0" w:color="auto"/>
                                  </w:divBdr>
                                  <w:divsChild>
                                    <w:div w:id="2027707959">
                                      <w:marLeft w:val="0"/>
                                      <w:marRight w:val="0"/>
                                      <w:marTop w:val="0"/>
                                      <w:marBottom w:val="36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839348378">
                                              <w:marLeft w:val="0"/>
                                              <w:marRight w:val="0"/>
                                              <w:marTop w:val="0"/>
                                              <w:marBottom w:val="0"/>
                                              <w:divBdr>
                                                <w:top w:val="none" w:sz="0" w:space="0" w:color="auto"/>
                                                <w:left w:val="none" w:sz="0" w:space="0" w:color="auto"/>
                                                <w:bottom w:val="none" w:sz="0" w:space="0" w:color="auto"/>
                                                <w:right w:val="none" w:sz="0" w:space="0" w:color="auto"/>
                                              </w:divBdr>
                                              <w:divsChild>
                                                <w:div w:id="131290473">
                                                  <w:marLeft w:val="0"/>
                                                  <w:marRight w:val="0"/>
                                                  <w:marTop w:val="0"/>
                                                  <w:marBottom w:val="0"/>
                                                  <w:divBdr>
                                                    <w:top w:val="none" w:sz="0" w:space="0" w:color="auto"/>
                                                    <w:left w:val="none" w:sz="0" w:space="0" w:color="auto"/>
                                                    <w:bottom w:val="none" w:sz="0" w:space="0" w:color="auto"/>
                                                    <w:right w:val="none" w:sz="0" w:space="0" w:color="auto"/>
                                                  </w:divBdr>
                                                  <w:divsChild>
                                                    <w:div w:id="1398897916">
                                                      <w:marLeft w:val="0"/>
                                                      <w:marRight w:val="0"/>
                                                      <w:marTop w:val="0"/>
                                                      <w:marBottom w:val="0"/>
                                                      <w:divBdr>
                                                        <w:top w:val="none" w:sz="0" w:space="0" w:color="auto"/>
                                                        <w:left w:val="none" w:sz="0" w:space="0" w:color="auto"/>
                                                        <w:bottom w:val="none" w:sz="0" w:space="0" w:color="auto"/>
                                                        <w:right w:val="none" w:sz="0" w:space="0" w:color="auto"/>
                                                      </w:divBdr>
                                                      <w:divsChild>
                                                        <w:div w:id="1232739719">
                                                          <w:marLeft w:val="0"/>
                                                          <w:marRight w:val="0"/>
                                                          <w:marTop w:val="0"/>
                                                          <w:marBottom w:val="0"/>
                                                          <w:divBdr>
                                                            <w:top w:val="none" w:sz="0" w:space="0" w:color="auto"/>
                                                            <w:left w:val="none" w:sz="0" w:space="0" w:color="auto"/>
                                                            <w:bottom w:val="none" w:sz="0" w:space="0" w:color="auto"/>
                                                            <w:right w:val="none" w:sz="0" w:space="0" w:color="auto"/>
                                                          </w:divBdr>
                                                          <w:divsChild>
                                                            <w:div w:id="1788507376">
                                                              <w:marLeft w:val="0"/>
                                                              <w:marRight w:val="0"/>
                                                              <w:marTop w:val="0"/>
                                                              <w:marBottom w:val="0"/>
                                                              <w:divBdr>
                                                                <w:top w:val="none" w:sz="0" w:space="0" w:color="auto"/>
                                                                <w:left w:val="none" w:sz="0" w:space="0" w:color="auto"/>
                                                                <w:bottom w:val="none" w:sz="0" w:space="0" w:color="auto"/>
                                                                <w:right w:val="none" w:sz="0" w:space="0" w:color="auto"/>
                                                              </w:divBdr>
                                                              <w:divsChild>
                                                                <w:div w:id="855508511">
                                                                  <w:marLeft w:val="0"/>
                                                                  <w:marRight w:val="0"/>
                                                                  <w:marTop w:val="0"/>
                                                                  <w:marBottom w:val="0"/>
                                                                  <w:divBdr>
                                                                    <w:top w:val="none" w:sz="0" w:space="0" w:color="auto"/>
                                                                    <w:left w:val="none" w:sz="0" w:space="0" w:color="auto"/>
                                                                    <w:bottom w:val="none" w:sz="0" w:space="0" w:color="auto"/>
                                                                    <w:right w:val="none" w:sz="0" w:space="0" w:color="auto"/>
                                                                  </w:divBdr>
                                                                  <w:divsChild>
                                                                    <w:div w:id="659968934">
                                                                      <w:marLeft w:val="0"/>
                                                                      <w:marRight w:val="0"/>
                                                                      <w:marTop w:val="0"/>
                                                                      <w:marBottom w:val="0"/>
                                                                      <w:divBdr>
                                                                        <w:top w:val="none" w:sz="0" w:space="0" w:color="auto"/>
                                                                        <w:left w:val="none" w:sz="0" w:space="0" w:color="auto"/>
                                                                        <w:bottom w:val="none" w:sz="0" w:space="0" w:color="auto"/>
                                                                        <w:right w:val="none" w:sz="0" w:space="0" w:color="auto"/>
                                                                      </w:divBdr>
                                                                      <w:divsChild>
                                                                        <w:div w:id="151917083">
                                                                          <w:marLeft w:val="0"/>
                                                                          <w:marRight w:val="0"/>
                                                                          <w:marTop w:val="0"/>
                                                                          <w:marBottom w:val="0"/>
                                                                          <w:divBdr>
                                                                            <w:top w:val="none" w:sz="0" w:space="0" w:color="auto"/>
                                                                            <w:left w:val="none" w:sz="0" w:space="0" w:color="auto"/>
                                                                            <w:bottom w:val="none" w:sz="0" w:space="0" w:color="auto"/>
                                                                            <w:right w:val="none" w:sz="0" w:space="0" w:color="auto"/>
                                                                          </w:divBdr>
                                                                          <w:divsChild>
                                                                            <w:div w:id="1980383714">
                                                                              <w:marLeft w:val="0"/>
                                                                              <w:marRight w:val="0"/>
                                                                              <w:marTop w:val="0"/>
                                                                              <w:marBottom w:val="0"/>
                                                                              <w:divBdr>
                                                                                <w:top w:val="none" w:sz="0" w:space="0" w:color="auto"/>
                                                                                <w:left w:val="none" w:sz="0" w:space="0" w:color="auto"/>
                                                                                <w:bottom w:val="none" w:sz="0" w:space="0" w:color="auto"/>
                                                                                <w:right w:val="none" w:sz="0" w:space="0" w:color="auto"/>
                                                                              </w:divBdr>
                                                                              <w:divsChild>
                                                                                <w:div w:id="19805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28118">
      <w:bodyDiv w:val="1"/>
      <w:marLeft w:val="0"/>
      <w:marRight w:val="0"/>
      <w:marTop w:val="0"/>
      <w:marBottom w:val="0"/>
      <w:divBdr>
        <w:top w:val="none" w:sz="0" w:space="0" w:color="auto"/>
        <w:left w:val="none" w:sz="0" w:space="0" w:color="auto"/>
        <w:bottom w:val="none" w:sz="0" w:space="0" w:color="auto"/>
        <w:right w:val="none" w:sz="0" w:space="0" w:color="auto"/>
      </w:divBdr>
      <w:divsChild>
        <w:div w:id="776217018">
          <w:marLeft w:val="0"/>
          <w:marRight w:val="0"/>
          <w:marTop w:val="0"/>
          <w:marBottom w:val="0"/>
          <w:divBdr>
            <w:top w:val="none" w:sz="0" w:space="0" w:color="auto"/>
            <w:left w:val="none" w:sz="0" w:space="0" w:color="auto"/>
            <w:bottom w:val="none" w:sz="0" w:space="0" w:color="auto"/>
            <w:right w:val="none" w:sz="0" w:space="0" w:color="auto"/>
          </w:divBdr>
          <w:divsChild>
            <w:div w:id="2042854223">
              <w:marLeft w:val="0"/>
              <w:marRight w:val="0"/>
              <w:marTop w:val="0"/>
              <w:marBottom w:val="0"/>
              <w:divBdr>
                <w:top w:val="none" w:sz="0" w:space="0" w:color="auto"/>
                <w:left w:val="none" w:sz="0" w:space="0" w:color="auto"/>
                <w:bottom w:val="none" w:sz="0" w:space="0" w:color="auto"/>
                <w:right w:val="none" w:sz="0" w:space="0" w:color="auto"/>
              </w:divBdr>
              <w:divsChild>
                <w:div w:id="1271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4661">
      <w:bodyDiv w:val="1"/>
      <w:marLeft w:val="0"/>
      <w:marRight w:val="0"/>
      <w:marTop w:val="0"/>
      <w:marBottom w:val="0"/>
      <w:divBdr>
        <w:top w:val="none" w:sz="0" w:space="0" w:color="auto"/>
        <w:left w:val="none" w:sz="0" w:space="0" w:color="auto"/>
        <w:bottom w:val="none" w:sz="0" w:space="0" w:color="auto"/>
        <w:right w:val="none" w:sz="0" w:space="0" w:color="auto"/>
      </w:divBdr>
      <w:divsChild>
        <w:div w:id="1458985016">
          <w:marLeft w:val="0"/>
          <w:marRight w:val="0"/>
          <w:marTop w:val="0"/>
          <w:marBottom w:val="0"/>
          <w:divBdr>
            <w:top w:val="none" w:sz="0" w:space="0" w:color="auto"/>
            <w:left w:val="none" w:sz="0" w:space="0" w:color="auto"/>
            <w:bottom w:val="none" w:sz="0" w:space="0" w:color="auto"/>
            <w:right w:val="none" w:sz="0" w:space="0" w:color="auto"/>
          </w:divBdr>
        </w:div>
      </w:divsChild>
    </w:div>
    <w:div w:id="2062360553">
      <w:bodyDiv w:val="1"/>
      <w:marLeft w:val="0"/>
      <w:marRight w:val="0"/>
      <w:marTop w:val="0"/>
      <w:marBottom w:val="0"/>
      <w:divBdr>
        <w:top w:val="none" w:sz="0" w:space="0" w:color="auto"/>
        <w:left w:val="none" w:sz="0" w:space="0" w:color="auto"/>
        <w:bottom w:val="none" w:sz="0" w:space="0" w:color="auto"/>
        <w:right w:val="none" w:sz="0" w:space="0" w:color="auto"/>
      </w:divBdr>
    </w:div>
    <w:div w:id="2081979621">
      <w:bodyDiv w:val="1"/>
      <w:marLeft w:val="0"/>
      <w:marRight w:val="0"/>
      <w:marTop w:val="0"/>
      <w:marBottom w:val="0"/>
      <w:divBdr>
        <w:top w:val="none" w:sz="0" w:space="0" w:color="auto"/>
        <w:left w:val="none" w:sz="0" w:space="0" w:color="auto"/>
        <w:bottom w:val="none" w:sz="0" w:space="0" w:color="auto"/>
        <w:right w:val="none" w:sz="0" w:space="0" w:color="auto"/>
      </w:divBdr>
    </w:div>
    <w:div w:id="2120635015">
      <w:bodyDiv w:val="1"/>
      <w:marLeft w:val="0"/>
      <w:marRight w:val="0"/>
      <w:marTop w:val="0"/>
      <w:marBottom w:val="0"/>
      <w:divBdr>
        <w:top w:val="none" w:sz="0" w:space="0" w:color="auto"/>
        <w:left w:val="none" w:sz="0" w:space="0" w:color="auto"/>
        <w:bottom w:val="none" w:sz="0" w:space="0" w:color="auto"/>
        <w:right w:val="none" w:sz="0" w:space="0" w:color="auto"/>
      </w:divBdr>
    </w:div>
    <w:div w:id="2130466135">
      <w:bodyDiv w:val="1"/>
      <w:marLeft w:val="0"/>
      <w:marRight w:val="0"/>
      <w:marTop w:val="0"/>
      <w:marBottom w:val="0"/>
      <w:divBdr>
        <w:top w:val="none" w:sz="0" w:space="0" w:color="auto"/>
        <w:left w:val="none" w:sz="0" w:space="0" w:color="auto"/>
        <w:bottom w:val="none" w:sz="0" w:space="0" w:color="auto"/>
        <w:right w:val="none" w:sz="0" w:space="0" w:color="auto"/>
      </w:divBdr>
      <w:divsChild>
        <w:div w:id="909384109">
          <w:marLeft w:val="0"/>
          <w:marRight w:val="0"/>
          <w:marTop w:val="0"/>
          <w:marBottom w:val="0"/>
          <w:divBdr>
            <w:top w:val="none" w:sz="0" w:space="0" w:color="auto"/>
            <w:left w:val="none" w:sz="0" w:space="0" w:color="auto"/>
            <w:bottom w:val="none" w:sz="0" w:space="0" w:color="auto"/>
            <w:right w:val="none" w:sz="0" w:space="0" w:color="auto"/>
          </w:divBdr>
          <w:divsChild>
            <w:div w:id="198276649">
              <w:marLeft w:val="0"/>
              <w:marRight w:val="0"/>
              <w:marTop w:val="0"/>
              <w:marBottom w:val="0"/>
              <w:divBdr>
                <w:top w:val="none" w:sz="0" w:space="0" w:color="auto"/>
                <w:left w:val="none" w:sz="0" w:space="0" w:color="auto"/>
                <w:bottom w:val="none" w:sz="0" w:space="0" w:color="auto"/>
                <w:right w:val="none" w:sz="0" w:space="0" w:color="auto"/>
              </w:divBdr>
              <w:divsChild>
                <w:div w:id="976683675">
                  <w:marLeft w:val="0"/>
                  <w:marRight w:val="0"/>
                  <w:marTop w:val="0"/>
                  <w:marBottom w:val="0"/>
                  <w:divBdr>
                    <w:top w:val="none" w:sz="0" w:space="0" w:color="auto"/>
                    <w:left w:val="none" w:sz="0" w:space="0" w:color="auto"/>
                    <w:bottom w:val="none" w:sz="0" w:space="0" w:color="auto"/>
                    <w:right w:val="none" w:sz="0" w:space="0" w:color="auto"/>
                  </w:divBdr>
                  <w:divsChild>
                    <w:div w:id="160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0937">
      <w:bodyDiv w:val="1"/>
      <w:marLeft w:val="0"/>
      <w:marRight w:val="0"/>
      <w:marTop w:val="0"/>
      <w:marBottom w:val="0"/>
      <w:divBdr>
        <w:top w:val="none" w:sz="0" w:space="0" w:color="auto"/>
        <w:left w:val="none" w:sz="0" w:space="0" w:color="auto"/>
        <w:bottom w:val="none" w:sz="0" w:space="0" w:color="auto"/>
        <w:right w:val="none" w:sz="0" w:space="0" w:color="auto"/>
      </w:divBdr>
      <w:divsChild>
        <w:div w:id="247422696">
          <w:marLeft w:val="0"/>
          <w:marRight w:val="0"/>
          <w:marTop w:val="0"/>
          <w:marBottom w:val="0"/>
          <w:divBdr>
            <w:top w:val="none" w:sz="0" w:space="0" w:color="auto"/>
            <w:left w:val="none" w:sz="0" w:space="0" w:color="auto"/>
            <w:bottom w:val="none" w:sz="0" w:space="0" w:color="auto"/>
            <w:right w:val="none" w:sz="0" w:space="0" w:color="auto"/>
          </w:divBdr>
          <w:divsChild>
            <w:div w:id="1772387107">
              <w:marLeft w:val="0"/>
              <w:marRight w:val="0"/>
              <w:marTop w:val="0"/>
              <w:marBottom w:val="0"/>
              <w:divBdr>
                <w:top w:val="none" w:sz="0" w:space="0" w:color="auto"/>
                <w:left w:val="none" w:sz="0" w:space="0" w:color="auto"/>
                <w:bottom w:val="none" w:sz="0" w:space="0" w:color="auto"/>
                <w:right w:val="none" w:sz="0" w:space="0" w:color="auto"/>
              </w:divBdr>
              <w:divsChild>
                <w:div w:id="225533461">
                  <w:marLeft w:val="0"/>
                  <w:marRight w:val="0"/>
                  <w:marTop w:val="0"/>
                  <w:marBottom w:val="0"/>
                  <w:divBdr>
                    <w:top w:val="none" w:sz="0" w:space="0" w:color="auto"/>
                    <w:left w:val="none" w:sz="0" w:space="0" w:color="auto"/>
                    <w:bottom w:val="none" w:sz="0" w:space="0" w:color="auto"/>
                    <w:right w:val="none" w:sz="0" w:space="0" w:color="auto"/>
                  </w:divBdr>
                  <w:divsChild>
                    <w:div w:id="13070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24646">
      <w:bodyDiv w:val="1"/>
      <w:marLeft w:val="0"/>
      <w:marRight w:val="0"/>
      <w:marTop w:val="0"/>
      <w:marBottom w:val="0"/>
      <w:divBdr>
        <w:top w:val="none" w:sz="0" w:space="0" w:color="auto"/>
        <w:left w:val="none" w:sz="0" w:space="0" w:color="auto"/>
        <w:bottom w:val="none" w:sz="0" w:space="0" w:color="auto"/>
        <w:right w:val="none" w:sz="0" w:space="0" w:color="auto"/>
      </w:divBdr>
      <w:divsChild>
        <w:div w:id="576478228">
          <w:marLeft w:val="0"/>
          <w:marRight w:val="0"/>
          <w:marTop w:val="0"/>
          <w:marBottom w:val="0"/>
          <w:divBdr>
            <w:top w:val="none" w:sz="0" w:space="0" w:color="auto"/>
            <w:left w:val="none" w:sz="0" w:space="0" w:color="auto"/>
            <w:bottom w:val="none" w:sz="0" w:space="0" w:color="auto"/>
            <w:right w:val="none" w:sz="0" w:space="0" w:color="auto"/>
          </w:divBdr>
          <w:divsChild>
            <w:div w:id="1943685683">
              <w:marLeft w:val="0"/>
              <w:marRight w:val="0"/>
              <w:marTop w:val="0"/>
              <w:marBottom w:val="0"/>
              <w:divBdr>
                <w:top w:val="none" w:sz="0" w:space="0" w:color="auto"/>
                <w:left w:val="none" w:sz="0" w:space="0" w:color="auto"/>
                <w:bottom w:val="none" w:sz="0" w:space="0" w:color="auto"/>
                <w:right w:val="none" w:sz="0" w:space="0" w:color="auto"/>
              </w:divBdr>
              <w:divsChild>
                <w:div w:id="2045206357">
                  <w:marLeft w:val="0"/>
                  <w:marRight w:val="0"/>
                  <w:marTop w:val="0"/>
                  <w:marBottom w:val="0"/>
                  <w:divBdr>
                    <w:top w:val="none" w:sz="0" w:space="0" w:color="auto"/>
                    <w:left w:val="none" w:sz="0" w:space="0" w:color="auto"/>
                    <w:bottom w:val="none" w:sz="0" w:space="0" w:color="auto"/>
                    <w:right w:val="none" w:sz="0" w:space="0" w:color="auto"/>
                  </w:divBdr>
                  <w:divsChild>
                    <w:div w:id="1128165137">
                      <w:marLeft w:val="0"/>
                      <w:marRight w:val="0"/>
                      <w:marTop w:val="0"/>
                      <w:marBottom w:val="0"/>
                      <w:divBdr>
                        <w:top w:val="none" w:sz="0" w:space="0" w:color="auto"/>
                        <w:left w:val="none" w:sz="0" w:space="0" w:color="auto"/>
                        <w:bottom w:val="none" w:sz="0" w:space="0" w:color="auto"/>
                        <w:right w:val="none" w:sz="0" w:space="0" w:color="auto"/>
                      </w:divBdr>
                      <w:divsChild>
                        <w:div w:id="1876044805">
                          <w:marLeft w:val="0"/>
                          <w:marRight w:val="0"/>
                          <w:marTop w:val="0"/>
                          <w:marBottom w:val="0"/>
                          <w:divBdr>
                            <w:top w:val="none" w:sz="0" w:space="0" w:color="auto"/>
                            <w:left w:val="none" w:sz="0" w:space="0" w:color="auto"/>
                            <w:bottom w:val="none" w:sz="0" w:space="0" w:color="auto"/>
                            <w:right w:val="none" w:sz="0" w:space="0" w:color="auto"/>
                          </w:divBdr>
                          <w:divsChild>
                            <w:div w:id="16865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88252">
      <w:bodyDiv w:val="1"/>
      <w:marLeft w:val="0"/>
      <w:marRight w:val="0"/>
      <w:marTop w:val="0"/>
      <w:marBottom w:val="0"/>
      <w:divBdr>
        <w:top w:val="none" w:sz="0" w:space="0" w:color="auto"/>
        <w:left w:val="none" w:sz="0" w:space="0" w:color="auto"/>
        <w:bottom w:val="none" w:sz="0" w:space="0" w:color="auto"/>
        <w:right w:val="none" w:sz="0" w:space="0" w:color="auto"/>
      </w:divBdr>
      <w:divsChild>
        <w:div w:id="1620868532">
          <w:marLeft w:val="0"/>
          <w:marRight w:val="0"/>
          <w:marTop w:val="0"/>
          <w:marBottom w:val="0"/>
          <w:divBdr>
            <w:top w:val="none" w:sz="0" w:space="0" w:color="auto"/>
            <w:left w:val="none" w:sz="0" w:space="0" w:color="auto"/>
            <w:bottom w:val="none" w:sz="0" w:space="0" w:color="auto"/>
            <w:right w:val="none" w:sz="0" w:space="0" w:color="auto"/>
          </w:divBdr>
          <w:divsChild>
            <w:div w:id="516894652">
              <w:marLeft w:val="0"/>
              <w:marRight w:val="0"/>
              <w:marTop w:val="0"/>
              <w:marBottom w:val="0"/>
              <w:divBdr>
                <w:top w:val="none" w:sz="0" w:space="0" w:color="auto"/>
                <w:left w:val="none" w:sz="0" w:space="0" w:color="auto"/>
                <w:bottom w:val="none" w:sz="0" w:space="0" w:color="auto"/>
                <w:right w:val="none" w:sz="0" w:space="0" w:color="auto"/>
              </w:divBdr>
              <w:divsChild>
                <w:div w:id="1468665891">
                  <w:marLeft w:val="0"/>
                  <w:marRight w:val="0"/>
                  <w:marTop w:val="0"/>
                  <w:marBottom w:val="0"/>
                  <w:divBdr>
                    <w:top w:val="none" w:sz="0" w:space="0" w:color="auto"/>
                    <w:left w:val="none" w:sz="0" w:space="0" w:color="auto"/>
                    <w:bottom w:val="none" w:sz="0" w:space="0" w:color="auto"/>
                    <w:right w:val="none" w:sz="0" w:space="0" w:color="auto"/>
                  </w:divBdr>
                  <w:divsChild>
                    <w:div w:id="2010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8999">
      <w:bodyDiv w:val="1"/>
      <w:marLeft w:val="0"/>
      <w:marRight w:val="0"/>
      <w:marTop w:val="0"/>
      <w:marBottom w:val="0"/>
      <w:divBdr>
        <w:top w:val="none" w:sz="0" w:space="0" w:color="auto"/>
        <w:left w:val="none" w:sz="0" w:space="0" w:color="auto"/>
        <w:bottom w:val="none" w:sz="0" w:space="0" w:color="auto"/>
        <w:right w:val="none" w:sz="0" w:space="0" w:color="auto"/>
      </w:divBdr>
      <w:divsChild>
        <w:div w:id="926579387">
          <w:marLeft w:val="0"/>
          <w:marRight w:val="0"/>
          <w:marTop w:val="0"/>
          <w:marBottom w:val="0"/>
          <w:divBdr>
            <w:top w:val="none" w:sz="0" w:space="0" w:color="auto"/>
            <w:left w:val="none" w:sz="0" w:space="0" w:color="auto"/>
            <w:bottom w:val="none" w:sz="0" w:space="0" w:color="auto"/>
            <w:right w:val="none" w:sz="0" w:space="0" w:color="auto"/>
          </w:divBdr>
          <w:divsChild>
            <w:div w:id="199048544">
              <w:marLeft w:val="0"/>
              <w:marRight w:val="0"/>
              <w:marTop w:val="0"/>
              <w:marBottom w:val="0"/>
              <w:divBdr>
                <w:top w:val="none" w:sz="0" w:space="0" w:color="auto"/>
                <w:left w:val="none" w:sz="0" w:space="0" w:color="auto"/>
                <w:bottom w:val="none" w:sz="0" w:space="0" w:color="auto"/>
                <w:right w:val="none" w:sz="0" w:space="0" w:color="auto"/>
              </w:divBdr>
              <w:divsChild>
                <w:div w:id="10036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6106">
      <w:bodyDiv w:val="1"/>
      <w:marLeft w:val="0"/>
      <w:marRight w:val="0"/>
      <w:marTop w:val="0"/>
      <w:marBottom w:val="0"/>
      <w:divBdr>
        <w:top w:val="none" w:sz="0" w:space="0" w:color="auto"/>
        <w:left w:val="none" w:sz="0" w:space="0" w:color="auto"/>
        <w:bottom w:val="none" w:sz="0" w:space="0" w:color="auto"/>
        <w:right w:val="none" w:sz="0" w:space="0" w:color="auto"/>
      </w:divBdr>
      <w:divsChild>
        <w:div w:id="7371654">
          <w:marLeft w:val="0"/>
          <w:marRight w:val="0"/>
          <w:marTop w:val="0"/>
          <w:marBottom w:val="0"/>
          <w:divBdr>
            <w:top w:val="none" w:sz="0" w:space="0" w:color="auto"/>
            <w:left w:val="none" w:sz="0" w:space="0" w:color="auto"/>
            <w:bottom w:val="none" w:sz="0" w:space="0" w:color="auto"/>
            <w:right w:val="none" w:sz="0" w:space="0" w:color="auto"/>
          </w:divBdr>
          <w:divsChild>
            <w:div w:id="992637256">
              <w:marLeft w:val="0"/>
              <w:marRight w:val="0"/>
              <w:marTop w:val="0"/>
              <w:marBottom w:val="0"/>
              <w:divBdr>
                <w:top w:val="none" w:sz="0" w:space="0" w:color="auto"/>
                <w:left w:val="none" w:sz="0" w:space="0" w:color="auto"/>
                <w:bottom w:val="none" w:sz="0" w:space="0" w:color="auto"/>
                <w:right w:val="none" w:sz="0" w:space="0" w:color="auto"/>
              </w:divBdr>
              <w:divsChild>
                <w:div w:id="515311718">
                  <w:marLeft w:val="0"/>
                  <w:marRight w:val="0"/>
                  <w:marTop w:val="0"/>
                  <w:marBottom w:val="0"/>
                  <w:divBdr>
                    <w:top w:val="none" w:sz="0" w:space="0" w:color="auto"/>
                    <w:left w:val="none" w:sz="0" w:space="0" w:color="auto"/>
                    <w:bottom w:val="none" w:sz="0" w:space="0" w:color="auto"/>
                    <w:right w:val="none" w:sz="0" w:space="0" w:color="auto"/>
                  </w:divBdr>
                  <w:divsChild>
                    <w:div w:id="1009408287">
                      <w:marLeft w:val="0"/>
                      <w:marRight w:val="0"/>
                      <w:marTop w:val="0"/>
                      <w:marBottom w:val="0"/>
                      <w:divBdr>
                        <w:top w:val="none" w:sz="0" w:space="0" w:color="auto"/>
                        <w:left w:val="none" w:sz="0" w:space="0" w:color="auto"/>
                        <w:bottom w:val="none" w:sz="0" w:space="0" w:color="auto"/>
                        <w:right w:val="none" w:sz="0" w:space="0" w:color="auto"/>
                      </w:divBdr>
                      <w:divsChild>
                        <w:div w:id="1270351534">
                          <w:marLeft w:val="0"/>
                          <w:marRight w:val="0"/>
                          <w:marTop w:val="0"/>
                          <w:marBottom w:val="0"/>
                          <w:divBdr>
                            <w:top w:val="none" w:sz="0" w:space="0" w:color="auto"/>
                            <w:left w:val="none" w:sz="0" w:space="0" w:color="auto"/>
                            <w:bottom w:val="none" w:sz="0" w:space="0" w:color="auto"/>
                            <w:right w:val="none" w:sz="0" w:space="0" w:color="auto"/>
                          </w:divBdr>
                          <w:divsChild>
                            <w:div w:id="19278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orkwell.health.nz/workwell_home" TargetMode="External"/><Relationship Id="rId26" Type="http://schemas.openxmlformats.org/officeDocument/2006/relationships/hyperlink" Target="http://www.dpmc.govt.nz/policyproject" TargetMode="External"/><Relationship Id="rId3" Type="http://schemas.openxmlformats.org/officeDocument/2006/relationships/styles" Target="styles.xml"/><Relationship Id="rId21" Type="http://schemas.openxmlformats.org/officeDocument/2006/relationships/hyperlink" Target="http://www.mfat.govt.nz/Trade-and-Economic-Relations/NZ-and-the-WTO/Trade-Issues/0-labour-framework.ph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puhauora.health.nz" TargetMode="External"/><Relationship Id="rId25" Type="http://schemas.openxmlformats.org/officeDocument/2006/relationships/hyperlink" Target="http://www.healthed.govt.nz"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wellplace.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utritionandactivity.govt.nz"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beehive.govt.nz"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good4work.n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odstandards.gov.au/industry/labelling/fhr/Pages/default.aspx" TargetMode="External"/><Relationship Id="rId22" Type="http://schemas.openxmlformats.org/officeDocument/2006/relationships/hyperlink" Target="http://www.mfat.govt.nz/Trade-and-Economic-Relations/NZ-and-the-WTO/Trade-Issues/0-environment-framework.php" TargetMode="External"/><Relationship Id="rId27" Type="http://schemas.openxmlformats.org/officeDocument/2006/relationships/hyperlink" Target="http://www.health.govt.nz/nz-health-statistics/health-statistics-and-data-sets/new-zealand-burden-diseases-injuries-and-risk-factors-study-2006-201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0ff8d0-fabd-45fd-82bc-0cdc6b001771">
  <we:reference id="wa104382081" version="1.7.0.0" store="en-US" storeType="OMEX"/>
  <we:alternateReferences>
    <we:reference id="wa104382081" version="1.7.0.0" store="WA104382081" storeType="OMEX"/>
  </we:alternateReferences>
  <we:properties>
    <we:property name="MENDELEY_CITATIONS" value="[]"/>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08FD-0E08-274A-A2F9-318C7FC7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83</Pages>
  <Words>101315</Words>
  <Characters>577497</Characters>
  <Application>Microsoft Office Word</Application>
  <DocSecurity>0</DocSecurity>
  <Lines>4812</Lines>
  <Paragraphs>1354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677458</CharactersWithSpaces>
  <SharedDoc>false</SharedDoc>
  <HLinks>
    <vt:vector size="1380" baseType="variant">
      <vt:variant>
        <vt:i4>1179719</vt:i4>
      </vt:variant>
      <vt:variant>
        <vt:i4>2076</vt:i4>
      </vt:variant>
      <vt:variant>
        <vt:i4>0</vt:i4>
      </vt:variant>
      <vt:variant>
        <vt:i4>5</vt:i4>
      </vt:variant>
      <vt:variant>
        <vt:lpwstr>http://www.health.govt.nz/nz-health-statistics/health-statistics-and-data-sets/new-zealand-burden-diseases-injuries-and-risk-factors-study-2006-2016</vt:lpwstr>
      </vt:variant>
      <vt:variant>
        <vt:lpwstr/>
      </vt:variant>
      <vt:variant>
        <vt:i4>5373955</vt:i4>
      </vt:variant>
      <vt:variant>
        <vt:i4>1683</vt:i4>
      </vt:variant>
      <vt:variant>
        <vt:i4>0</vt:i4>
      </vt:variant>
      <vt:variant>
        <vt:i4>5</vt:i4>
      </vt:variant>
      <vt:variant>
        <vt:lpwstr>http://www.dpmc.govt.nz/policyproject</vt:lpwstr>
      </vt:variant>
      <vt:variant>
        <vt:lpwstr/>
      </vt:variant>
      <vt:variant>
        <vt:i4>2162746</vt:i4>
      </vt:variant>
      <vt:variant>
        <vt:i4>1680</vt:i4>
      </vt:variant>
      <vt:variant>
        <vt:i4>0</vt:i4>
      </vt:variant>
      <vt:variant>
        <vt:i4>5</vt:i4>
      </vt:variant>
      <vt:variant>
        <vt:lpwstr>http://www.smalladvancedeconomies.org/</vt:lpwstr>
      </vt:variant>
      <vt:variant>
        <vt:lpwstr/>
      </vt:variant>
      <vt:variant>
        <vt:i4>6619248</vt:i4>
      </vt:variant>
      <vt:variant>
        <vt:i4>1452</vt:i4>
      </vt:variant>
      <vt:variant>
        <vt:i4>0</vt:i4>
      </vt:variant>
      <vt:variant>
        <vt:i4>5</vt:i4>
      </vt:variant>
      <vt:variant>
        <vt:lpwstr>http://www.beehive.govt.nz/</vt:lpwstr>
      </vt:variant>
      <vt:variant>
        <vt:lpwstr/>
      </vt:variant>
      <vt:variant>
        <vt:i4>4587550</vt:i4>
      </vt:variant>
      <vt:variant>
        <vt:i4>1302</vt:i4>
      </vt:variant>
      <vt:variant>
        <vt:i4>0</vt:i4>
      </vt:variant>
      <vt:variant>
        <vt:i4>5</vt:i4>
      </vt:variant>
      <vt:variant>
        <vt:lpwstr>http://www.mfat.govt.nz/Trade-and-Economic-Relations/NZ-and-the-WTO/Trade-Issues/0-environment-framework.php</vt:lpwstr>
      </vt:variant>
      <vt:variant>
        <vt:lpwstr/>
      </vt:variant>
      <vt:variant>
        <vt:i4>3407982</vt:i4>
      </vt:variant>
      <vt:variant>
        <vt:i4>1299</vt:i4>
      </vt:variant>
      <vt:variant>
        <vt:i4>0</vt:i4>
      </vt:variant>
      <vt:variant>
        <vt:i4>5</vt:i4>
      </vt:variant>
      <vt:variant>
        <vt:lpwstr>http://www.mfat.govt.nz/Trade-and-Economic-Relations/NZ-and-the-WTO/Trade-Issues/0-labour-framework.php</vt:lpwstr>
      </vt:variant>
      <vt:variant>
        <vt:lpwstr/>
      </vt:variant>
      <vt:variant>
        <vt:i4>5373954</vt:i4>
      </vt:variant>
      <vt:variant>
        <vt:i4>1053</vt:i4>
      </vt:variant>
      <vt:variant>
        <vt:i4>0</vt:i4>
      </vt:variant>
      <vt:variant>
        <vt:i4>5</vt:i4>
      </vt:variant>
      <vt:variant>
        <vt:lpwstr>http://www.hapuhauora.health.nz/</vt:lpwstr>
      </vt:variant>
      <vt:variant>
        <vt:lpwstr/>
      </vt:variant>
      <vt:variant>
        <vt:i4>1179661</vt:i4>
      </vt:variant>
      <vt:variant>
        <vt:i4>606</vt:i4>
      </vt:variant>
      <vt:variant>
        <vt:i4>0</vt:i4>
      </vt:variant>
      <vt:variant>
        <vt:i4>5</vt:i4>
      </vt:variant>
      <vt:variant>
        <vt:lpwstr>http://www.foodstandards.gov.au/industry/labelling/fhr/Pages/default.aspx</vt:lpwstr>
      </vt:variant>
      <vt:variant>
        <vt:lpwstr/>
      </vt:variant>
      <vt:variant>
        <vt:i4>8323169</vt:i4>
      </vt:variant>
      <vt:variant>
        <vt:i4>600</vt:i4>
      </vt:variant>
      <vt:variant>
        <vt:i4>0</vt:i4>
      </vt:variant>
      <vt:variant>
        <vt:i4>5</vt:i4>
      </vt:variant>
      <vt:variant>
        <vt:lpwstr>http://www.comlaw.gov.au/Series/F2013L00054</vt:lpwstr>
      </vt:variant>
      <vt:variant>
        <vt:lpwstr/>
      </vt:variant>
      <vt:variant>
        <vt:i4>458772</vt:i4>
      </vt:variant>
      <vt:variant>
        <vt:i4>528</vt:i4>
      </vt:variant>
      <vt:variant>
        <vt:i4>0</vt:i4>
      </vt:variant>
      <vt:variant>
        <vt:i4>5</vt:i4>
      </vt:variant>
      <vt:variant>
        <vt:lpwstr>http://www.health.gov.au/internet/main/publishing.nsf/Content/foodsecretariat-stategic-statement</vt:lpwstr>
      </vt:variant>
      <vt:variant>
        <vt:lpwstr/>
      </vt:variant>
      <vt:variant>
        <vt:i4>1769526</vt:i4>
      </vt:variant>
      <vt:variant>
        <vt:i4>422</vt:i4>
      </vt:variant>
      <vt:variant>
        <vt:i4>0</vt:i4>
      </vt:variant>
      <vt:variant>
        <vt:i4>5</vt:i4>
      </vt:variant>
      <vt:variant>
        <vt:lpwstr/>
      </vt:variant>
      <vt:variant>
        <vt:lpwstr>_Toc480556776</vt:lpwstr>
      </vt:variant>
      <vt:variant>
        <vt:i4>1769526</vt:i4>
      </vt:variant>
      <vt:variant>
        <vt:i4>416</vt:i4>
      </vt:variant>
      <vt:variant>
        <vt:i4>0</vt:i4>
      </vt:variant>
      <vt:variant>
        <vt:i4>5</vt:i4>
      </vt:variant>
      <vt:variant>
        <vt:lpwstr/>
      </vt:variant>
      <vt:variant>
        <vt:lpwstr>_Toc480556775</vt:lpwstr>
      </vt:variant>
      <vt:variant>
        <vt:i4>1769526</vt:i4>
      </vt:variant>
      <vt:variant>
        <vt:i4>410</vt:i4>
      </vt:variant>
      <vt:variant>
        <vt:i4>0</vt:i4>
      </vt:variant>
      <vt:variant>
        <vt:i4>5</vt:i4>
      </vt:variant>
      <vt:variant>
        <vt:lpwstr/>
      </vt:variant>
      <vt:variant>
        <vt:lpwstr>_Toc480556774</vt:lpwstr>
      </vt:variant>
      <vt:variant>
        <vt:i4>1769526</vt:i4>
      </vt:variant>
      <vt:variant>
        <vt:i4>404</vt:i4>
      </vt:variant>
      <vt:variant>
        <vt:i4>0</vt:i4>
      </vt:variant>
      <vt:variant>
        <vt:i4>5</vt:i4>
      </vt:variant>
      <vt:variant>
        <vt:lpwstr/>
      </vt:variant>
      <vt:variant>
        <vt:lpwstr>_Toc480556773</vt:lpwstr>
      </vt:variant>
      <vt:variant>
        <vt:i4>1769526</vt:i4>
      </vt:variant>
      <vt:variant>
        <vt:i4>398</vt:i4>
      </vt:variant>
      <vt:variant>
        <vt:i4>0</vt:i4>
      </vt:variant>
      <vt:variant>
        <vt:i4>5</vt:i4>
      </vt:variant>
      <vt:variant>
        <vt:lpwstr/>
      </vt:variant>
      <vt:variant>
        <vt:lpwstr>_Toc480556772</vt:lpwstr>
      </vt:variant>
      <vt:variant>
        <vt:i4>1769526</vt:i4>
      </vt:variant>
      <vt:variant>
        <vt:i4>392</vt:i4>
      </vt:variant>
      <vt:variant>
        <vt:i4>0</vt:i4>
      </vt:variant>
      <vt:variant>
        <vt:i4>5</vt:i4>
      </vt:variant>
      <vt:variant>
        <vt:lpwstr/>
      </vt:variant>
      <vt:variant>
        <vt:lpwstr>_Toc480556771</vt:lpwstr>
      </vt:variant>
      <vt:variant>
        <vt:i4>1769526</vt:i4>
      </vt:variant>
      <vt:variant>
        <vt:i4>386</vt:i4>
      </vt:variant>
      <vt:variant>
        <vt:i4>0</vt:i4>
      </vt:variant>
      <vt:variant>
        <vt:i4>5</vt:i4>
      </vt:variant>
      <vt:variant>
        <vt:lpwstr/>
      </vt:variant>
      <vt:variant>
        <vt:lpwstr>_Toc480556770</vt:lpwstr>
      </vt:variant>
      <vt:variant>
        <vt:i4>1703990</vt:i4>
      </vt:variant>
      <vt:variant>
        <vt:i4>380</vt:i4>
      </vt:variant>
      <vt:variant>
        <vt:i4>0</vt:i4>
      </vt:variant>
      <vt:variant>
        <vt:i4>5</vt:i4>
      </vt:variant>
      <vt:variant>
        <vt:lpwstr/>
      </vt:variant>
      <vt:variant>
        <vt:lpwstr>_Toc480556769</vt:lpwstr>
      </vt:variant>
      <vt:variant>
        <vt:i4>1703990</vt:i4>
      </vt:variant>
      <vt:variant>
        <vt:i4>374</vt:i4>
      </vt:variant>
      <vt:variant>
        <vt:i4>0</vt:i4>
      </vt:variant>
      <vt:variant>
        <vt:i4>5</vt:i4>
      </vt:variant>
      <vt:variant>
        <vt:lpwstr/>
      </vt:variant>
      <vt:variant>
        <vt:lpwstr>_Toc480556768</vt:lpwstr>
      </vt:variant>
      <vt:variant>
        <vt:i4>1703990</vt:i4>
      </vt:variant>
      <vt:variant>
        <vt:i4>368</vt:i4>
      </vt:variant>
      <vt:variant>
        <vt:i4>0</vt:i4>
      </vt:variant>
      <vt:variant>
        <vt:i4>5</vt:i4>
      </vt:variant>
      <vt:variant>
        <vt:lpwstr/>
      </vt:variant>
      <vt:variant>
        <vt:lpwstr>_Toc480556767</vt:lpwstr>
      </vt:variant>
      <vt:variant>
        <vt:i4>1703990</vt:i4>
      </vt:variant>
      <vt:variant>
        <vt:i4>362</vt:i4>
      </vt:variant>
      <vt:variant>
        <vt:i4>0</vt:i4>
      </vt:variant>
      <vt:variant>
        <vt:i4>5</vt:i4>
      </vt:variant>
      <vt:variant>
        <vt:lpwstr/>
      </vt:variant>
      <vt:variant>
        <vt:lpwstr>_Toc480556766</vt:lpwstr>
      </vt:variant>
      <vt:variant>
        <vt:i4>1703990</vt:i4>
      </vt:variant>
      <vt:variant>
        <vt:i4>356</vt:i4>
      </vt:variant>
      <vt:variant>
        <vt:i4>0</vt:i4>
      </vt:variant>
      <vt:variant>
        <vt:i4>5</vt:i4>
      </vt:variant>
      <vt:variant>
        <vt:lpwstr/>
      </vt:variant>
      <vt:variant>
        <vt:lpwstr>_Toc480556765</vt:lpwstr>
      </vt:variant>
      <vt:variant>
        <vt:i4>1703990</vt:i4>
      </vt:variant>
      <vt:variant>
        <vt:i4>350</vt:i4>
      </vt:variant>
      <vt:variant>
        <vt:i4>0</vt:i4>
      </vt:variant>
      <vt:variant>
        <vt:i4>5</vt:i4>
      </vt:variant>
      <vt:variant>
        <vt:lpwstr/>
      </vt:variant>
      <vt:variant>
        <vt:lpwstr>_Toc480556764</vt:lpwstr>
      </vt:variant>
      <vt:variant>
        <vt:i4>1703990</vt:i4>
      </vt:variant>
      <vt:variant>
        <vt:i4>344</vt:i4>
      </vt:variant>
      <vt:variant>
        <vt:i4>0</vt:i4>
      </vt:variant>
      <vt:variant>
        <vt:i4>5</vt:i4>
      </vt:variant>
      <vt:variant>
        <vt:lpwstr/>
      </vt:variant>
      <vt:variant>
        <vt:lpwstr>_Toc480556763</vt:lpwstr>
      </vt:variant>
      <vt:variant>
        <vt:i4>1703990</vt:i4>
      </vt:variant>
      <vt:variant>
        <vt:i4>338</vt:i4>
      </vt:variant>
      <vt:variant>
        <vt:i4>0</vt:i4>
      </vt:variant>
      <vt:variant>
        <vt:i4>5</vt:i4>
      </vt:variant>
      <vt:variant>
        <vt:lpwstr/>
      </vt:variant>
      <vt:variant>
        <vt:lpwstr>_Toc480556762</vt:lpwstr>
      </vt:variant>
      <vt:variant>
        <vt:i4>1703990</vt:i4>
      </vt:variant>
      <vt:variant>
        <vt:i4>332</vt:i4>
      </vt:variant>
      <vt:variant>
        <vt:i4>0</vt:i4>
      </vt:variant>
      <vt:variant>
        <vt:i4>5</vt:i4>
      </vt:variant>
      <vt:variant>
        <vt:lpwstr/>
      </vt:variant>
      <vt:variant>
        <vt:lpwstr>_Toc480556761</vt:lpwstr>
      </vt:variant>
      <vt:variant>
        <vt:i4>1703990</vt:i4>
      </vt:variant>
      <vt:variant>
        <vt:i4>326</vt:i4>
      </vt:variant>
      <vt:variant>
        <vt:i4>0</vt:i4>
      </vt:variant>
      <vt:variant>
        <vt:i4>5</vt:i4>
      </vt:variant>
      <vt:variant>
        <vt:lpwstr/>
      </vt:variant>
      <vt:variant>
        <vt:lpwstr>_Toc480556760</vt:lpwstr>
      </vt:variant>
      <vt:variant>
        <vt:i4>1638454</vt:i4>
      </vt:variant>
      <vt:variant>
        <vt:i4>320</vt:i4>
      </vt:variant>
      <vt:variant>
        <vt:i4>0</vt:i4>
      </vt:variant>
      <vt:variant>
        <vt:i4>5</vt:i4>
      </vt:variant>
      <vt:variant>
        <vt:lpwstr/>
      </vt:variant>
      <vt:variant>
        <vt:lpwstr>_Toc480556759</vt:lpwstr>
      </vt:variant>
      <vt:variant>
        <vt:i4>1638454</vt:i4>
      </vt:variant>
      <vt:variant>
        <vt:i4>314</vt:i4>
      </vt:variant>
      <vt:variant>
        <vt:i4>0</vt:i4>
      </vt:variant>
      <vt:variant>
        <vt:i4>5</vt:i4>
      </vt:variant>
      <vt:variant>
        <vt:lpwstr/>
      </vt:variant>
      <vt:variant>
        <vt:lpwstr>_Toc480556758</vt:lpwstr>
      </vt:variant>
      <vt:variant>
        <vt:i4>1638454</vt:i4>
      </vt:variant>
      <vt:variant>
        <vt:i4>308</vt:i4>
      </vt:variant>
      <vt:variant>
        <vt:i4>0</vt:i4>
      </vt:variant>
      <vt:variant>
        <vt:i4>5</vt:i4>
      </vt:variant>
      <vt:variant>
        <vt:lpwstr/>
      </vt:variant>
      <vt:variant>
        <vt:lpwstr>_Toc480556757</vt:lpwstr>
      </vt:variant>
      <vt:variant>
        <vt:i4>1638454</vt:i4>
      </vt:variant>
      <vt:variant>
        <vt:i4>302</vt:i4>
      </vt:variant>
      <vt:variant>
        <vt:i4>0</vt:i4>
      </vt:variant>
      <vt:variant>
        <vt:i4>5</vt:i4>
      </vt:variant>
      <vt:variant>
        <vt:lpwstr/>
      </vt:variant>
      <vt:variant>
        <vt:lpwstr>_Toc480556756</vt:lpwstr>
      </vt:variant>
      <vt:variant>
        <vt:i4>1638454</vt:i4>
      </vt:variant>
      <vt:variant>
        <vt:i4>296</vt:i4>
      </vt:variant>
      <vt:variant>
        <vt:i4>0</vt:i4>
      </vt:variant>
      <vt:variant>
        <vt:i4>5</vt:i4>
      </vt:variant>
      <vt:variant>
        <vt:lpwstr/>
      </vt:variant>
      <vt:variant>
        <vt:lpwstr>_Toc480556755</vt:lpwstr>
      </vt:variant>
      <vt:variant>
        <vt:i4>1638454</vt:i4>
      </vt:variant>
      <vt:variant>
        <vt:i4>290</vt:i4>
      </vt:variant>
      <vt:variant>
        <vt:i4>0</vt:i4>
      </vt:variant>
      <vt:variant>
        <vt:i4>5</vt:i4>
      </vt:variant>
      <vt:variant>
        <vt:lpwstr/>
      </vt:variant>
      <vt:variant>
        <vt:lpwstr>_Toc480556754</vt:lpwstr>
      </vt:variant>
      <vt:variant>
        <vt:i4>1638454</vt:i4>
      </vt:variant>
      <vt:variant>
        <vt:i4>284</vt:i4>
      </vt:variant>
      <vt:variant>
        <vt:i4>0</vt:i4>
      </vt:variant>
      <vt:variant>
        <vt:i4>5</vt:i4>
      </vt:variant>
      <vt:variant>
        <vt:lpwstr/>
      </vt:variant>
      <vt:variant>
        <vt:lpwstr>_Toc480556753</vt:lpwstr>
      </vt:variant>
      <vt:variant>
        <vt:i4>1638454</vt:i4>
      </vt:variant>
      <vt:variant>
        <vt:i4>278</vt:i4>
      </vt:variant>
      <vt:variant>
        <vt:i4>0</vt:i4>
      </vt:variant>
      <vt:variant>
        <vt:i4>5</vt:i4>
      </vt:variant>
      <vt:variant>
        <vt:lpwstr/>
      </vt:variant>
      <vt:variant>
        <vt:lpwstr>_Toc480556752</vt:lpwstr>
      </vt:variant>
      <vt:variant>
        <vt:i4>1638454</vt:i4>
      </vt:variant>
      <vt:variant>
        <vt:i4>272</vt:i4>
      </vt:variant>
      <vt:variant>
        <vt:i4>0</vt:i4>
      </vt:variant>
      <vt:variant>
        <vt:i4>5</vt:i4>
      </vt:variant>
      <vt:variant>
        <vt:lpwstr/>
      </vt:variant>
      <vt:variant>
        <vt:lpwstr>_Toc480556751</vt:lpwstr>
      </vt:variant>
      <vt:variant>
        <vt:i4>1638454</vt:i4>
      </vt:variant>
      <vt:variant>
        <vt:i4>266</vt:i4>
      </vt:variant>
      <vt:variant>
        <vt:i4>0</vt:i4>
      </vt:variant>
      <vt:variant>
        <vt:i4>5</vt:i4>
      </vt:variant>
      <vt:variant>
        <vt:lpwstr/>
      </vt:variant>
      <vt:variant>
        <vt:lpwstr>_Toc480556750</vt:lpwstr>
      </vt:variant>
      <vt:variant>
        <vt:i4>1572918</vt:i4>
      </vt:variant>
      <vt:variant>
        <vt:i4>260</vt:i4>
      </vt:variant>
      <vt:variant>
        <vt:i4>0</vt:i4>
      </vt:variant>
      <vt:variant>
        <vt:i4>5</vt:i4>
      </vt:variant>
      <vt:variant>
        <vt:lpwstr/>
      </vt:variant>
      <vt:variant>
        <vt:lpwstr>_Toc480556749</vt:lpwstr>
      </vt:variant>
      <vt:variant>
        <vt:i4>1572918</vt:i4>
      </vt:variant>
      <vt:variant>
        <vt:i4>254</vt:i4>
      </vt:variant>
      <vt:variant>
        <vt:i4>0</vt:i4>
      </vt:variant>
      <vt:variant>
        <vt:i4>5</vt:i4>
      </vt:variant>
      <vt:variant>
        <vt:lpwstr/>
      </vt:variant>
      <vt:variant>
        <vt:lpwstr>_Toc480556748</vt:lpwstr>
      </vt:variant>
      <vt:variant>
        <vt:i4>1572918</vt:i4>
      </vt:variant>
      <vt:variant>
        <vt:i4>248</vt:i4>
      </vt:variant>
      <vt:variant>
        <vt:i4>0</vt:i4>
      </vt:variant>
      <vt:variant>
        <vt:i4>5</vt:i4>
      </vt:variant>
      <vt:variant>
        <vt:lpwstr/>
      </vt:variant>
      <vt:variant>
        <vt:lpwstr>_Toc480556747</vt:lpwstr>
      </vt:variant>
      <vt:variant>
        <vt:i4>1572918</vt:i4>
      </vt:variant>
      <vt:variant>
        <vt:i4>242</vt:i4>
      </vt:variant>
      <vt:variant>
        <vt:i4>0</vt:i4>
      </vt:variant>
      <vt:variant>
        <vt:i4>5</vt:i4>
      </vt:variant>
      <vt:variant>
        <vt:lpwstr/>
      </vt:variant>
      <vt:variant>
        <vt:lpwstr>_Toc480556746</vt:lpwstr>
      </vt:variant>
      <vt:variant>
        <vt:i4>1572918</vt:i4>
      </vt:variant>
      <vt:variant>
        <vt:i4>236</vt:i4>
      </vt:variant>
      <vt:variant>
        <vt:i4>0</vt:i4>
      </vt:variant>
      <vt:variant>
        <vt:i4>5</vt:i4>
      </vt:variant>
      <vt:variant>
        <vt:lpwstr/>
      </vt:variant>
      <vt:variant>
        <vt:lpwstr>_Toc480556745</vt:lpwstr>
      </vt:variant>
      <vt:variant>
        <vt:i4>1572918</vt:i4>
      </vt:variant>
      <vt:variant>
        <vt:i4>230</vt:i4>
      </vt:variant>
      <vt:variant>
        <vt:i4>0</vt:i4>
      </vt:variant>
      <vt:variant>
        <vt:i4>5</vt:i4>
      </vt:variant>
      <vt:variant>
        <vt:lpwstr/>
      </vt:variant>
      <vt:variant>
        <vt:lpwstr>_Toc480556744</vt:lpwstr>
      </vt:variant>
      <vt:variant>
        <vt:i4>1572918</vt:i4>
      </vt:variant>
      <vt:variant>
        <vt:i4>224</vt:i4>
      </vt:variant>
      <vt:variant>
        <vt:i4>0</vt:i4>
      </vt:variant>
      <vt:variant>
        <vt:i4>5</vt:i4>
      </vt:variant>
      <vt:variant>
        <vt:lpwstr/>
      </vt:variant>
      <vt:variant>
        <vt:lpwstr>_Toc480556743</vt:lpwstr>
      </vt:variant>
      <vt:variant>
        <vt:i4>1572918</vt:i4>
      </vt:variant>
      <vt:variant>
        <vt:i4>218</vt:i4>
      </vt:variant>
      <vt:variant>
        <vt:i4>0</vt:i4>
      </vt:variant>
      <vt:variant>
        <vt:i4>5</vt:i4>
      </vt:variant>
      <vt:variant>
        <vt:lpwstr/>
      </vt:variant>
      <vt:variant>
        <vt:lpwstr>_Toc480556742</vt:lpwstr>
      </vt:variant>
      <vt:variant>
        <vt:i4>1572918</vt:i4>
      </vt:variant>
      <vt:variant>
        <vt:i4>212</vt:i4>
      </vt:variant>
      <vt:variant>
        <vt:i4>0</vt:i4>
      </vt:variant>
      <vt:variant>
        <vt:i4>5</vt:i4>
      </vt:variant>
      <vt:variant>
        <vt:lpwstr/>
      </vt:variant>
      <vt:variant>
        <vt:lpwstr>_Toc480556741</vt:lpwstr>
      </vt:variant>
      <vt:variant>
        <vt:i4>1572918</vt:i4>
      </vt:variant>
      <vt:variant>
        <vt:i4>206</vt:i4>
      </vt:variant>
      <vt:variant>
        <vt:i4>0</vt:i4>
      </vt:variant>
      <vt:variant>
        <vt:i4>5</vt:i4>
      </vt:variant>
      <vt:variant>
        <vt:lpwstr/>
      </vt:variant>
      <vt:variant>
        <vt:lpwstr>_Toc480556740</vt:lpwstr>
      </vt:variant>
      <vt:variant>
        <vt:i4>2031670</vt:i4>
      </vt:variant>
      <vt:variant>
        <vt:i4>200</vt:i4>
      </vt:variant>
      <vt:variant>
        <vt:i4>0</vt:i4>
      </vt:variant>
      <vt:variant>
        <vt:i4>5</vt:i4>
      </vt:variant>
      <vt:variant>
        <vt:lpwstr/>
      </vt:variant>
      <vt:variant>
        <vt:lpwstr>_Toc480556739</vt:lpwstr>
      </vt:variant>
      <vt:variant>
        <vt:i4>2031670</vt:i4>
      </vt:variant>
      <vt:variant>
        <vt:i4>194</vt:i4>
      </vt:variant>
      <vt:variant>
        <vt:i4>0</vt:i4>
      </vt:variant>
      <vt:variant>
        <vt:i4>5</vt:i4>
      </vt:variant>
      <vt:variant>
        <vt:lpwstr/>
      </vt:variant>
      <vt:variant>
        <vt:lpwstr>_Toc480556738</vt:lpwstr>
      </vt:variant>
      <vt:variant>
        <vt:i4>2031670</vt:i4>
      </vt:variant>
      <vt:variant>
        <vt:i4>188</vt:i4>
      </vt:variant>
      <vt:variant>
        <vt:i4>0</vt:i4>
      </vt:variant>
      <vt:variant>
        <vt:i4>5</vt:i4>
      </vt:variant>
      <vt:variant>
        <vt:lpwstr/>
      </vt:variant>
      <vt:variant>
        <vt:lpwstr>_Toc480556737</vt:lpwstr>
      </vt:variant>
      <vt:variant>
        <vt:i4>2031670</vt:i4>
      </vt:variant>
      <vt:variant>
        <vt:i4>182</vt:i4>
      </vt:variant>
      <vt:variant>
        <vt:i4>0</vt:i4>
      </vt:variant>
      <vt:variant>
        <vt:i4>5</vt:i4>
      </vt:variant>
      <vt:variant>
        <vt:lpwstr/>
      </vt:variant>
      <vt:variant>
        <vt:lpwstr>_Toc480556736</vt:lpwstr>
      </vt:variant>
      <vt:variant>
        <vt:i4>2031670</vt:i4>
      </vt:variant>
      <vt:variant>
        <vt:i4>176</vt:i4>
      </vt:variant>
      <vt:variant>
        <vt:i4>0</vt:i4>
      </vt:variant>
      <vt:variant>
        <vt:i4>5</vt:i4>
      </vt:variant>
      <vt:variant>
        <vt:lpwstr/>
      </vt:variant>
      <vt:variant>
        <vt:lpwstr>_Toc480556735</vt:lpwstr>
      </vt:variant>
      <vt:variant>
        <vt:i4>2031670</vt:i4>
      </vt:variant>
      <vt:variant>
        <vt:i4>170</vt:i4>
      </vt:variant>
      <vt:variant>
        <vt:i4>0</vt:i4>
      </vt:variant>
      <vt:variant>
        <vt:i4>5</vt:i4>
      </vt:variant>
      <vt:variant>
        <vt:lpwstr/>
      </vt:variant>
      <vt:variant>
        <vt:lpwstr>_Toc480556734</vt:lpwstr>
      </vt:variant>
      <vt:variant>
        <vt:i4>2031670</vt:i4>
      </vt:variant>
      <vt:variant>
        <vt:i4>164</vt:i4>
      </vt:variant>
      <vt:variant>
        <vt:i4>0</vt:i4>
      </vt:variant>
      <vt:variant>
        <vt:i4>5</vt:i4>
      </vt:variant>
      <vt:variant>
        <vt:lpwstr/>
      </vt:variant>
      <vt:variant>
        <vt:lpwstr>_Toc480556733</vt:lpwstr>
      </vt:variant>
      <vt:variant>
        <vt:i4>2031670</vt:i4>
      </vt:variant>
      <vt:variant>
        <vt:i4>158</vt:i4>
      </vt:variant>
      <vt:variant>
        <vt:i4>0</vt:i4>
      </vt:variant>
      <vt:variant>
        <vt:i4>5</vt:i4>
      </vt:variant>
      <vt:variant>
        <vt:lpwstr/>
      </vt:variant>
      <vt:variant>
        <vt:lpwstr>_Toc480556732</vt:lpwstr>
      </vt:variant>
      <vt:variant>
        <vt:i4>2031670</vt:i4>
      </vt:variant>
      <vt:variant>
        <vt:i4>152</vt:i4>
      </vt:variant>
      <vt:variant>
        <vt:i4>0</vt:i4>
      </vt:variant>
      <vt:variant>
        <vt:i4>5</vt:i4>
      </vt:variant>
      <vt:variant>
        <vt:lpwstr/>
      </vt:variant>
      <vt:variant>
        <vt:lpwstr>_Toc480556731</vt:lpwstr>
      </vt:variant>
      <vt:variant>
        <vt:i4>2031670</vt:i4>
      </vt:variant>
      <vt:variant>
        <vt:i4>146</vt:i4>
      </vt:variant>
      <vt:variant>
        <vt:i4>0</vt:i4>
      </vt:variant>
      <vt:variant>
        <vt:i4>5</vt:i4>
      </vt:variant>
      <vt:variant>
        <vt:lpwstr/>
      </vt:variant>
      <vt:variant>
        <vt:lpwstr>_Toc480556730</vt:lpwstr>
      </vt:variant>
      <vt:variant>
        <vt:i4>1966134</vt:i4>
      </vt:variant>
      <vt:variant>
        <vt:i4>140</vt:i4>
      </vt:variant>
      <vt:variant>
        <vt:i4>0</vt:i4>
      </vt:variant>
      <vt:variant>
        <vt:i4>5</vt:i4>
      </vt:variant>
      <vt:variant>
        <vt:lpwstr/>
      </vt:variant>
      <vt:variant>
        <vt:lpwstr>_Toc480556729</vt:lpwstr>
      </vt:variant>
      <vt:variant>
        <vt:i4>1966134</vt:i4>
      </vt:variant>
      <vt:variant>
        <vt:i4>134</vt:i4>
      </vt:variant>
      <vt:variant>
        <vt:i4>0</vt:i4>
      </vt:variant>
      <vt:variant>
        <vt:i4>5</vt:i4>
      </vt:variant>
      <vt:variant>
        <vt:lpwstr/>
      </vt:variant>
      <vt:variant>
        <vt:lpwstr>_Toc480556728</vt:lpwstr>
      </vt:variant>
      <vt:variant>
        <vt:i4>1966134</vt:i4>
      </vt:variant>
      <vt:variant>
        <vt:i4>128</vt:i4>
      </vt:variant>
      <vt:variant>
        <vt:i4>0</vt:i4>
      </vt:variant>
      <vt:variant>
        <vt:i4>5</vt:i4>
      </vt:variant>
      <vt:variant>
        <vt:lpwstr/>
      </vt:variant>
      <vt:variant>
        <vt:lpwstr>_Toc480556727</vt:lpwstr>
      </vt:variant>
      <vt:variant>
        <vt:i4>1966134</vt:i4>
      </vt:variant>
      <vt:variant>
        <vt:i4>122</vt:i4>
      </vt:variant>
      <vt:variant>
        <vt:i4>0</vt:i4>
      </vt:variant>
      <vt:variant>
        <vt:i4>5</vt:i4>
      </vt:variant>
      <vt:variant>
        <vt:lpwstr/>
      </vt:variant>
      <vt:variant>
        <vt:lpwstr>_Toc480556726</vt:lpwstr>
      </vt:variant>
      <vt:variant>
        <vt:i4>1966134</vt:i4>
      </vt:variant>
      <vt:variant>
        <vt:i4>116</vt:i4>
      </vt:variant>
      <vt:variant>
        <vt:i4>0</vt:i4>
      </vt:variant>
      <vt:variant>
        <vt:i4>5</vt:i4>
      </vt:variant>
      <vt:variant>
        <vt:lpwstr/>
      </vt:variant>
      <vt:variant>
        <vt:lpwstr>_Toc480556725</vt:lpwstr>
      </vt:variant>
      <vt:variant>
        <vt:i4>1966134</vt:i4>
      </vt:variant>
      <vt:variant>
        <vt:i4>110</vt:i4>
      </vt:variant>
      <vt:variant>
        <vt:i4>0</vt:i4>
      </vt:variant>
      <vt:variant>
        <vt:i4>5</vt:i4>
      </vt:variant>
      <vt:variant>
        <vt:lpwstr/>
      </vt:variant>
      <vt:variant>
        <vt:lpwstr>_Toc480556724</vt:lpwstr>
      </vt:variant>
      <vt:variant>
        <vt:i4>1966134</vt:i4>
      </vt:variant>
      <vt:variant>
        <vt:i4>104</vt:i4>
      </vt:variant>
      <vt:variant>
        <vt:i4>0</vt:i4>
      </vt:variant>
      <vt:variant>
        <vt:i4>5</vt:i4>
      </vt:variant>
      <vt:variant>
        <vt:lpwstr/>
      </vt:variant>
      <vt:variant>
        <vt:lpwstr>_Toc480556723</vt:lpwstr>
      </vt:variant>
      <vt:variant>
        <vt:i4>1966134</vt:i4>
      </vt:variant>
      <vt:variant>
        <vt:i4>98</vt:i4>
      </vt:variant>
      <vt:variant>
        <vt:i4>0</vt:i4>
      </vt:variant>
      <vt:variant>
        <vt:i4>5</vt:i4>
      </vt:variant>
      <vt:variant>
        <vt:lpwstr/>
      </vt:variant>
      <vt:variant>
        <vt:lpwstr>_Toc480556722</vt:lpwstr>
      </vt:variant>
      <vt:variant>
        <vt:i4>1966134</vt:i4>
      </vt:variant>
      <vt:variant>
        <vt:i4>92</vt:i4>
      </vt:variant>
      <vt:variant>
        <vt:i4>0</vt:i4>
      </vt:variant>
      <vt:variant>
        <vt:i4>5</vt:i4>
      </vt:variant>
      <vt:variant>
        <vt:lpwstr/>
      </vt:variant>
      <vt:variant>
        <vt:lpwstr>_Toc480556721</vt:lpwstr>
      </vt:variant>
      <vt:variant>
        <vt:i4>1966134</vt:i4>
      </vt:variant>
      <vt:variant>
        <vt:i4>86</vt:i4>
      </vt:variant>
      <vt:variant>
        <vt:i4>0</vt:i4>
      </vt:variant>
      <vt:variant>
        <vt:i4>5</vt:i4>
      </vt:variant>
      <vt:variant>
        <vt:lpwstr/>
      </vt:variant>
      <vt:variant>
        <vt:lpwstr>_Toc480556720</vt:lpwstr>
      </vt:variant>
      <vt:variant>
        <vt:i4>1900598</vt:i4>
      </vt:variant>
      <vt:variant>
        <vt:i4>80</vt:i4>
      </vt:variant>
      <vt:variant>
        <vt:i4>0</vt:i4>
      </vt:variant>
      <vt:variant>
        <vt:i4>5</vt:i4>
      </vt:variant>
      <vt:variant>
        <vt:lpwstr/>
      </vt:variant>
      <vt:variant>
        <vt:lpwstr>_Toc480556719</vt:lpwstr>
      </vt:variant>
      <vt:variant>
        <vt:i4>1900598</vt:i4>
      </vt:variant>
      <vt:variant>
        <vt:i4>74</vt:i4>
      </vt:variant>
      <vt:variant>
        <vt:i4>0</vt:i4>
      </vt:variant>
      <vt:variant>
        <vt:i4>5</vt:i4>
      </vt:variant>
      <vt:variant>
        <vt:lpwstr/>
      </vt:variant>
      <vt:variant>
        <vt:lpwstr>_Toc480556718</vt:lpwstr>
      </vt:variant>
      <vt:variant>
        <vt:i4>1900598</vt:i4>
      </vt:variant>
      <vt:variant>
        <vt:i4>68</vt:i4>
      </vt:variant>
      <vt:variant>
        <vt:i4>0</vt:i4>
      </vt:variant>
      <vt:variant>
        <vt:i4>5</vt:i4>
      </vt:variant>
      <vt:variant>
        <vt:lpwstr/>
      </vt:variant>
      <vt:variant>
        <vt:lpwstr>_Toc480556717</vt:lpwstr>
      </vt:variant>
      <vt:variant>
        <vt:i4>1900598</vt:i4>
      </vt:variant>
      <vt:variant>
        <vt:i4>62</vt:i4>
      </vt:variant>
      <vt:variant>
        <vt:i4>0</vt:i4>
      </vt:variant>
      <vt:variant>
        <vt:i4>5</vt:i4>
      </vt:variant>
      <vt:variant>
        <vt:lpwstr/>
      </vt:variant>
      <vt:variant>
        <vt:lpwstr>_Toc480556716</vt:lpwstr>
      </vt:variant>
      <vt:variant>
        <vt:i4>1900598</vt:i4>
      </vt:variant>
      <vt:variant>
        <vt:i4>56</vt:i4>
      </vt:variant>
      <vt:variant>
        <vt:i4>0</vt:i4>
      </vt:variant>
      <vt:variant>
        <vt:i4>5</vt:i4>
      </vt:variant>
      <vt:variant>
        <vt:lpwstr/>
      </vt:variant>
      <vt:variant>
        <vt:lpwstr>_Toc480556715</vt:lpwstr>
      </vt:variant>
      <vt:variant>
        <vt:i4>1900598</vt:i4>
      </vt:variant>
      <vt:variant>
        <vt:i4>50</vt:i4>
      </vt:variant>
      <vt:variant>
        <vt:i4>0</vt:i4>
      </vt:variant>
      <vt:variant>
        <vt:i4>5</vt:i4>
      </vt:variant>
      <vt:variant>
        <vt:lpwstr/>
      </vt:variant>
      <vt:variant>
        <vt:lpwstr>_Toc480556714</vt:lpwstr>
      </vt:variant>
      <vt:variant>
        <vt:i4>1900598</vt:i4>
      </vt:variant>
      <vt:variant>
        <vt:i4>44</vt:i4>
      </vt:variant>
      <vt:variant>
        <vt:i4>0</vt:i4>
      </vt:variant>
      <vt:variant>
        <vt:i4>5</vt:i4>
      </vt:variant>
      <vt:variant>
        <vt:lpwstr/>
      </vt:variant>
      <vt:variant>
        <vt:lpwstr>_Toc480556713</vt:lpwstr>
      </vt:variant>
      <vt:variant>
        <vt:i4>1900598</vt:i4>
      </vt:variant>
      <vt:variant>
        <vt:i4>38</vt:i4>
      </vt:variant>
      <vt:variant>
        <vt:i4>0</vt:i4>
      </vt:variant>
      <vt:variant>
        <vt:i4>5</vt:i4>
      </vt:variant>
      <vt:variant>
        <vt:lpwstr/>
      </vt:variant>
      <vt:variant>
        <vt:lpwstr>_Toc480556712</vt:lpwstr>
      </vt:variant>
      <vt:variant>
        <vt:i4>1900598</vt:i4>
      </vt:variant>
      <vt:variant>
        <vt:i4>32</vt:i4>
      </vt:variant>
      <vt:variant>
        <vt:i4>0</vt:i4>
      </vt:variant>
      <vt:variant>
        <vt:i4>5</vt:i4>
      </vt:variant>
      <vt:variant>
        <vt:lpwstr/>
      </vt:variant>
      <vt:variant>
        <vt:lpwstr>_Toc480556711</vt:lpwstr>
      </vt:variant>
      <vt:variant>
        <vt:i4>1900598</vt:i4>
      </vt:variant>
      <vt:variant>
        <vt:i4>26</vt:i4>
      </vt:variant>
      <vt:variant>
        <vt:i4>0</vt:i4>
      </vt:variant>
      <vt:variant>
        <vt:i4>5</vt:i4>
      </vt:variant>
      <vt:variant>
        <vt:lpwstr/>
      </vt:variant>
      <vt:variant>
        <vt:lpwstr>_Toc480556710</vt:lpwstr>
      </vt:variant>
      <vt:variant>
        <vt:i4>1835062</vt:i4>
      </vt:variant>
      <vt:variant>
        <vt:i4>20</vt:i4>
      </vt:variant>
      <vt:variant>
        <vt:i4>0</vt:i4>
      </vt:variant>
      <vt:variant>
        <vt:i4>5</vt:i4>
      </vt:variant>
      <vt:variant>
        <vt:lpwstr/>
      </vt:variant>
      <vt:variant>
        <vt:lpwstr>_Toc480556709</vt:lpwstr>
      </vt:variant>
      <vt:variant>
        <vt:i4>1835062</vt:i4>
      </vt:variant>
      <vt:variant>
        <vt:i4>14</vt:i4>
      </vt:variant>
      <vt:variant>
        <vt:i4>0</vt:i4>
      </vt:variant>
      <vt:variant>
        <vt:i4>5</vt:i4>
      </vt:variant>
      <vt:variant>
        <vt:lpwstr/>
      </vt:variant>
      <vt:variant>
        <vt:lpwstr>_Toc480556708</vt:lpwstr>
      </vt:variant>
      <vt:variant>
        <vt:i4>1835062</vt:i4>
      </vt:variant>
      <vt:variant>
        <vt:i4>8</vt:i4>
      </vt:variant>
      <vt:variant>
        <vt:i4>0</vt:i4>
      </vt:variant>
      <vt:variant>
        <vt:i4>5</vt:i4>
      </vt:variant>
      <vt:variant>
        <vt:lpwstr/>
      </vt:variant>
      <vt:variant>
        <vt:lpwstr>_Toc480556707</vt:lpwstr>
      </vt:variant>
      <vt:variant>
        <vt:i4>1835062</vt:i4>
      </vt:variant>
      <vt:variant>
        <vt:i4>2</vt:i4>
      </vt:variant>
      <vt:variant>
        <vt:i4>0</vt:i4>
      </vt:variant>
      <vt:variant>
        <vt:i4>5</vt:i4>
      </vt:variant>
      <vt:variant>
        <vt:lpwstr/>
      </vt:variant>
      <vt:variant>
        <vt:lpwstr>_Toc480556706</vt:lpwstr>
      </vt:variant>
      <vt:variant>
        <vt:i4>983061</vt:i4>
      </vt:variant>
      <vt:variant>
        <vt:i4>444</vt:i4>
      </vt:variant>
      <vt:variant>
        <vt:i4>0</vt:i4>
      </vt:variant>
      <vt:variant>
        <vt:i4>5</vt:i4>
      </vt:variant>
      <vt:variant>
        <vt:lpwstr>https://www.cph.co.nz/your-health/health-in-all-policies/</vt:lpwstr>
      </vt:variant>
      <vt:variant>
        <vt:lpwstr/>
      </vt:variant>
      <vt:variant>
        <vt:i4>1638495</vt:i4>
      </vt:variant>
      <vt:variant>
        <vt:i4>441</vt:i4>
      </vt:variant>
      <vt:variant>
        <vt:i4>0</vt:i4>
      </vt:variant>
      <vt:variant>
        <vt:i4>5</vt:i4>
      </vt:variant>
      <vt:variant>
        <vt:lpwstr>https://www.health.govt.nz/our-work/health-impact-assessment</vt:lpwstr>
      </vt:variant>
      <vt:variant>
        <vt:lpwstr/>
      </vt:variant>
      <vt:variant>
        <vt:i4>720906</vt:i4>
      </vt:variant>
      <vt:variant>
        <vt:i4>438</vt:i4>
      </vt:variant>
      <vt:variant>
        <vt:i4>0</vt:i4>
      </vt:variant>
      <vt:variant>
        <vt:i4>5</vt:i4>
      </vt:variant>
      <vt:variant>
        <vt:lpwstr>https://sustainable.org.nz/sustainable-business-news/the-national-good-food-network/</vt:lpwstr>
      </vt:variant>
      <vt:variant>
        <vt:lpwstr/>
      </vt:variant>
      <vt:variant>
        <vt:i4>7143483</vt:i4>
      </vt:variant>
      <vt:variant>
        <vt:i4>435</vt:i4>
      </vt:variant>
      <vt:variant>
        <vt:i4>0</vt:i4>
      </vt:variant>
      <vt:variant>
        <vt:i4>5</vt:i4>
      </vt:variant>
      <vt:variant>
        <vt:lpwstr>http://www.healthyaucklandtogether.org.nz/</vt:lpwstr>
      </vt:variant>
      <vt:variant>
        <vt:lpwstr/>
      </vt:variant>
      <vt:variant>
        <vt:i4>1835019</vt:i4>
      </vt:variant>
      <vt:variant>
        <vt:i4>432</vt:i4>
      </vt:variant>
      <vt:variant>
        <vt:i4>0</vt:i4>
      </vt:variant>
      <vt:variant>
        <vt:i4>5</vt:i4>
      </vt:variant>
      <vt:variant>
        <vt:lpwstr>https://www.stuff.co.nz/life-style/well-good/inspire-me/89835416/project-energize-targeting-childhood-obesity</vt:lpwstr>
      </vt:variant>
      <vt:variant>
        <vt:lpwstr/>
      </vt:variant>
      <vt:variant>
        <vt:i4>4194396</vt:i4>
      </vt:variant>
      <vt:variant>
        <vt:i4>429</vt:i4>
      </vt:variant>
      <vt:variant>
        <vt:i4>0</vt:i4>
      </vt:variant>
      <vt:variant>
        <vt:i4>5</vt:i4>
      </vt:variant>
      <vt:variant>
        <vt:lpwstr>https://www.sportwaikato.org.nz/programmes/team-energize.aspx</vt:lpwstr>
      </vt:variant>
      <vt:variant>
        <vt:lpwstr/>
      </vt:variant>
      <vt:variant>
        <vt:i4>8126560</vt:i4>
      </vt:variant>
      <vt:variant>
        <vt:i4>426</vt:i4>
      </vt:variant>
      <vt:variant>
        <vt:i4>0</vt:i4>
      </vt:variant>
      <vt:variant>
        <vt:i4>5</vt:i4>
      </vt:variant>
      <vt:variant>
        <vt:lpwstr>https://www.coca-colajourney.co.nz/content/dam/journey/nz/en/private/2018/sugar-reduction/Coca-Cola-Reduction-in-Sugar.pdf</vt:lpwstr>
      </vt:variant>
      <vt:variant>
        <vt:lpwstr/>
      </vt:variant>
      <vt:variant>
        <vt:i4>5636165</vt:i4>
      </vt:variant>
      <vt:variant>
        <vt:i4>423</vt:i4>
      </vt:variant>
      <vt:variant>
        <vt:i4>0</vt:i4>
      </vt:variant>
      <vt:variant>
        <vt:i4>5</vt:i4>
      </vt:variant>
      <vt:variant>
        <vt:lpwstr>https://www.beehive.govt.nz/release/full-sugar-fizzy-drinks-out-schools-2009</vt:lpwstr>
      </vt:variant>
      <vt:variant>
        <vt:lpwstr/>
      </vt:variant>
      <vt:variant>
        <vt:i4>7602300</vt:i4>
      </vt:variant>
      <vt:variant>
        <vt:i4>420</vt:i4>
      </vt:variant>
      <vt:variant>
        <vt:i4>0</vt:i4>
      </vt:variant>
      <vt:variant>
        <vt:i4>5</vt:i4>
      </vt:variant>
      <vt:variant>
        <vt:lpwstr>https://www.foodforthought.co.nz/our-impact</vt:lpwstr>
      </vt:variant>
      <vt:variant>
        <vt:lpwstr/>
      </vt:variant>
      <vt:variant>
        <vt:i4>4980829</vt:i4>
      </vt:variant>
      <vt:variant>
        <vt:i4>417</vt:i4>
      </vt:variant>
      <vt:variant>
        <vt:i4>0</vt:i4>
      </vt:variant>
      <vt:variant>
        <vt:i4>5</vt:i4>
      </vt:variant>
      <vt:variant>
        <vt:lpwstr>https://www.heartfoundation.org.nz/documents/food-industry/food-reformulation/heart-foundation-food-reformulation-targets-2018-08-21.pdf</vt:lpwstr>
      </vt:variant>
      <vt:variant>
        <vt:lpwstr/>
      </vt:variant>
      <vt:variant>
        <vt:i4>3932193</vt:i4>
      </vt:variant>
      <vt:variant>
        <vt:i4>414</vt:i4>
      </vt:variant>
      <vt:variant>
        <vt:i4>0</vt:i4>
      </vt:variant>
      <vt:variant>
        <vt:i4>5</vt:i4>
      </vt:variant>
      <vt:variant>
        <vt:lpwstr>https://www.heartfoundation.org.nz/about-us/news/blogs/upping-the-ante-on-hidden-sugar</vt:lpwstr>
      </vt:variant>
      <vt:variant>
        <vt:lpwstr/>
      </vt:variant>
      <vt:variant>
        <vt:i4>7471151</vt:i4>
      </vt:variant>
      <vt:variant>
        <vt:i4>411</vt:i4>
      </vt:variant>
      <vt:variant>
        <vt:i4>0</vt:i4>
      </vt:variant>
      <vt:variant>
        <vt:i4>5</vt:i4>
      </vt:variant>
      <vt:variant>
        <vt:lpwstr>https://www.health.govt.nz/our-work/diseases-and-conditions/obesity/childhood-obesity-plan/healthy-kids-industry-pledge</vt:lpwstr>
      </vt:variant>
      <vt:variant>
        <vt:lpwstr/>
      </vt:variant>
      <vt:variant>
        <vt:i4>3932204</vt:i4>
      </vt:variant>
      <vt:variant>
        <vt:i4>408</vt:i4>
      </vt:variant>
      <vt:variant>
        <vt:i4>0</vt:i4>
      </vt:variant>
      <vt:variant>
        <vt:i4>5</vt:i4>
      </vt:variant>
      <vt:variant>
        <vt:lpwstr>https://www.health.govt.nz/nz-health-statistics/national-collections-and-surveys/surveys/new-zealand-health-survey/improving-health-new-zealanders</vt:lpwstr>
      </vt:variant>
      <vt:variant>
        <vt:lpwstr/>
      </vt:variant>
      <vt:variant>
        <vt:i4>4915205</vt:i4>
      </vt:variant>
      <vt:variant>
        <vt:i4>405</vt:i4>
      </vt:variant>
      <vt:variant>
        <vt:i4>0</vt:i4>
      </vt:variant>
      <vt:variant>
        <vt:i4>5</vt:i4>
      </vt:variant>
      <vt:variant>
        <vt:lpwstr>https://healthierlives.co.nz/</vt:lpwstr>
      </vt:variant>
      <vt:variant>
        <vt:lpwstr/>
      </vt:variant>
      <vt:variant>
        <vt:i4>3801124</vt:i4>
      </vt:variant>
      <vt:variant>
        <vt:i4>402</vt:i4>
      </vt:variant>
      <vt:variant>
        <vt:i4>0</vt:i4>
      </vt:variant>
      <vt:variant>
        <vt:i4>5</vt:i4>
      </vt:variant>
      <vt:variant>
        <vt:lpwstr>https://www.health.govt.nz/system/files/documents/publications/new-zealand-maternity-clinical-indicators-2017-jul19.pdf</vt:lpwstr>
      </vt:variant>
      <vt:variant>
        <vt:lpwstr/>
      </vt:variant>
      <vt:variant>
        <vt:i4>327773</vt:i4>
      </vt:variant>
      <vt:variant>
        <vt:i4>399</vt:i4>
      </vt:variant>
      <vt:variant>
        <vt:i4>0</vt:i4>
      </vt:variant>
      <vt:variant>
        <vt:i4>5</vt:i4>
      </vt:variant>
      <vt:variant>
        <vt:lpwstr>https://www.healthnavigator.org.nz/healthy-living/parenting-children/before-school-check/</vt:lpwstr>
      </vt:variant>
      <vt:variant>
        <vt:lpwstr/>
      </vt:variant>
      <vt:variant>
        <vt:i4>4980799</vt:i4>
      </vt:variant>
      <vt:variant>
        <vt:i4>396</vt:i4>
      </vt:variant>
      <vt:variant>
        <vt:i4>0</vt:i4>
      </vt:variant>
      <vt:variant>
        <vt:i4>5</vt:i4>
      </vt:variant>
      <vt:variant>
        <vt:lpwstr>https://www.hpa.org.nz/sites/default/files/6.1 HPA132 Annual Report 2018_Full.pdf</vt:lpwstr>
      </vt:variant>
      <vt:variant>
        <vt:lpwstr/>
      </vt:variant>
      <vt:variant>
        <vt:i4>7471140</vt:i4>
      </vt:variant>
      <vt:variant>
        <vt:i4>393</vt:i4>
      </vt:variant>
      <vt:variant>
        <vt:i4>0</vt:i4>
      </vt:variant>
      <vt:variant>
        <vt:i4>5</vt:i4>
      </vt:variant>
      <vt:variant>
        <vt:lpwstr>http://dx.doi.org/10.1038/s41430-018-0176-0</vt:lpwstr>
      </vt:variant>
      <vt:variant>
        <vt:lpwstr/>
      </vt:variant>
      <vt:variant>
        <vt:i4>2359359</vt:i4>
      </vt:variant>
      <vt:variant>
        <vt:i4>390</vt:i4>
      </vt:variant>
      <vt:variant>
        <vt:i4>0</vt:i4>
      </vt:variant>
      <vt:variant>
        <vt:i4>5</vt:i4>
      </vt:variant>
      <vt:variant>
        <vt:lpwstr>http://dx.doi.org/10.3390/nu9121292</vt:lpwstr>
      </vt:variant>
      <vt:variant>
        <vt:lpwstr/>
      </vt:variant>
      <vt:variant>
        <vt:i4>2949181</vt:i4>
      </vt:variant>
      <vt:variant>
        <vt:i4>387</vt:i4>
      </vt:variant>
      <vt:variant>
        <vt:i4>0</vt:i4>
      </vt:variant>
      <vt:variant>
        <vt:i4>5</vt:i4>
      </vt:variant>
      <vt:variant>
        <vt:lpwstr>https://www.health.govt.nz/nz-health-statistics/national-collections-and-surveys/surveys/new-zealand-health-survey</vt:lpwstr>
      </vt:variant>
      <vt:variant>
        <vt:lpwstr/>
      </vt:variant>
      <vt:variant>
        <vt:i4>88</vt:i4>
      </vt:variant>
      <vt:variant>
        <vt:i4>384</vt:i4>
      </vt:variant>
      <vt:variant>
        <vt:i4>0</vt:i4>
      </vt:variant>
      <vt:variant>
        <vt:i4>5</vt:i4>
      </vt:variant>
      <vt:variant>
        <vt:lpwstr>https://www.ero.govt.nz/assets/Uploads/Effective-practice-report-Food-Nutrition-and-Physcial-Activity-in-NZ-Schools-and-ELS2.pdf</vt:lpwstr>
      </vt:variant>
      <vt:variant>
        <vt:lpwstr/>
      </vt:variant>
      <vt:variant>
        <vt:i4>3145761</vt:i4>
      </vt:variant>
      <vt:variant>
        <vt:i4>381</vt:i4>
      </vt:variant>
      <vt:variant>
        <vt:i4>0</vt:i4>
      </vt:variant>
      <vt:variant>
        <vt:i4>5</vt:i4>
      </vt:variant>
      <vt:variant>
        <vt:lpwstr>http://www.rph.org.nz/public-health-topics/schools/water-only-schools/</vt:lpwstr>
      </vt:variant>
      <vt:variant>
        <vt:lpwstr/>
      </vt:variant>
      <vt:variant>
        <vt:i4>3407985</vt:i4>
      </vt:variant>
      <vt:variant>
        <vt:i4>378</vt:i4>
      </vt:variant>
      <vt:variant>
        <vt:i4>0</vt:i4>
      </vt:variant>
      <vt:variant>
        <vt:i4>5</vt:i4>
      </vt:variant>
      <vt:variant>
        <vt:lpwstr>https://www.foodcomposition.co.nz/</vt:lpwstr>
      </vt:variant>
      <vt:variant>
        <vt:lpwstr/>
      </vt:variant>
      <vt:variant>
        <vt:i4>589892</vt:i4>
      </vt:variant>
      <vt:variant>
        <vt:i4>375</vt:i4>
      </vt:variant>
      <vt:variant>
        <vt:i4>0</vt:i4>
      </vt:variant>
      <vt:variant>
        <vt:i4>5</vt:i4>
      </vt:variant>
      <vt:variant>
        <vt:lpwstr>https://www.foodstandards.gov.au/publications/Documents/Assessment of Trans Fatty Acids in Imported Oils.pdf</vt:lpwstr>
      </vt:variant>
      <vt:variant>
        <vt:lpwstr/>
      </vt:variant>
      <vt:variant>
        <vt:i4>7471224</vt:i4>
      </vt:variant>
      <vt:variant>
        <vt:i4>372</vt:i4>
      </vt:variant>
      <vt:variant>
        <vt:i4>0</vt:i4>
      </vt:variant>
      <vt:variant>
        <vt:i4>5</vt:i4>
      </vt:variant>
      <vt:variant>
        <vt:lpwstr>https://www.mpi.govt.nz/food-safety/food-monitoring-and-surveillance/new-zealand-total-diet-study/</vt:lpwstr>
      </vt:variant>
      <vt:variant>
        <vt:lpwstr/>
      </vt:variant>
      <vt:variant>
        <vt:i4>4456519</vt:i4>
      </vt:variant>
      <vt:variant>
        <vt:i4>369</vt:i4>
      </vt:variant>
      <vt:variant>
        <vt:i4>0</vt:i4>
      </vt:variant>
      <vt:variant>
        <vt:i4>5</vt:i4>
      </vt:variant>
      <vt:variant>
        <vt:lpwstr>https://opendatabarometer.org/doc/4thEdition/ODB-4thEdition-GlobalReport.pdf</vt:lpwstr>
      </vt:variant>
      <vt:variant>
        <vt:lpwstr/>
      </vt:variant>
      <vt:variant>
        <vt:i4>4456519</vt:i4>
      </vt:variant>
      <vt:variant>
        <vt:i4>366</vt:i4>
      </vt:variant>
      <vt:variant>
        <vt:i4>0</vt:i4>
      </vt:variant>
      <vt:variant>
        <vt:i4>5</vt:i4>
      </vt:variant>
      <vt:variant>
        <vt:lpwstr>https://opendatabarometer.org/doc/4thEdition/ODB-4thEdition-GlobalReport.pdf</vt:lpwstr>
      </vt:variant>
      <vt:variant>
        <vt:lpwstr/>
      </vt:variant>
      <vt:variant>
        <vt:i4>4915265</vt:i4>
      </vt:variant>
      <vt:variant>
        <vt:i4>363</vt:i4>
      </vt:variant>
      <vt:variant>
        <vt:i4>0</vt:i4>
      </vt:variant>
      <vt:variant>
        <vt:i4>5</vt:i4>
      </vt:variant>
      <vt:variant>
        <vt:lpwstr>https://www.transparency.org/cpi2018</vt:lpwstr>
      </vt:variant>
      <vt:variant>
        <vt:lpwstr/>
      </vt:variant>
      <vt:variant>
        <vt:i4>458765</vt:i4>
      </vt:variant>
      <vt:variant>
        <vt:i4>360</vt:i4>
      </vt:variant>
      <vt:variant>
        <vt:i4>0</vt:i4>
      </vt:variant>
      <vt:variant>
        <vt:i4>5</vt:i4>
      </vt:variant>
      <vt:variant>
        <vt:lpwstr>https://ssc.govt.nz/resources/pif-reports-announcements/</vt:lpwstr>
      </vt:variant>
      <vt:variant>
        <vt:lpwstr/>
      </vt:variant>
      <vt:variant>
        <vt:i4>655373</vt:i4>
      </vt:variant>
      <vt:variant>
        <vt:i4>357</vt:i4>
      </vt:variant>
      <vt:variant>
        <vt:i4>0</vt:i4>
      </vt:variant>
      <vt:variant>
        <vt:i4>5</vt:i4>
      </vt:variant>
      <vt:variant>
        <vt:lpwstr>https://www.health.govt.nz/about-ministry/what-we-do/performance-improvement-framework-pif-review</vt:lpwstr>
      </vt:variant>
      <vt:variant>
        <vt:lpwstr/>
      </vt:variant>
      <vt:variant>
        <vt:i4>8061036</vt:i4>
      </vt:variant>
      <vt:variant>
        <vt:i4>354</vt:i4>
      </vt:variant>
      <vt:variant>
        <vt:i4>0</vt:i4>
      </vt:variant>
      <vt:variant>
        <vt:i4>5</vt:i4>
      </vt:variant>
      <vt:variant>
        <vt:lpwstr>https://fyi.org.nz/request/5737-appointment-process-of-grant-schofield-chief-education-health-and-nutrition-advisor</vt:lpwstr>
      </vt:variant>
      <vt:variant>
        <vt:lpwstr/>
      </vt:variant>
      <vt:variant>
        <vt:i4>8257652</vt:i4>
      </vt:variant>
      <vt:variant>
        <vt:i4>351</vt:i4>
      </vt:variant>
      <vt:variant>
        <vt:i4>0</vt:i4>
      </vt:variant>
      <vt:variant>
        <vt:i4>5</vt:i4>
      </vt:variant>
      <vt:variant>
        <vt:lpwstr>https://www.pmcsa.org.nz/wp-content/uploads/17-07-07-Enhancing-evidence-informed-policy-making.pdf</vt:lpwstr>
      </vt:variant>
      <vt:variant>
        <vt:lpwstr/>
      </vt:variant>
      <vt:variant>
        <vt:i4>7733345</vt:i4>
      </vt:variant>
      <vt:variant>
        <vt:i4>348</vt:i4>
      </vt:variant>
      <vt:variant>
        <vt:i4>0</vt:i4>
      </vt:variant>
      <vt:variant>
        <vt:i4>5</vt:i4>
      </vt:variant>
      <vt:variant>
        <vt:lpwstr>https://www.health.govt.nz/our-work/who-code-nz/background-breast-milk-substitutes-code</vt:lpwstr>
      </vt:variant>
      <vt:variant>
        <vt:lpwstr/>
      </vt:variant>
      <vt:variant>
        <vt:i4>4325442</vt:i4>
      </vt:variant>
      <vt:variant>
        <vt:i4>345</vt:i4>
      </vt:variant>
      <vt:variant>
        <vt:i4>0</vt:i4>
      </vt:variant>
      <vt:variant>
        <vt:i4>5</vt:i4>
      </vt:variant>
      <vt:variant>
        <vt:lpwstr>https://ssc.govt.nz/our-work/integrityandconduct/</vt:lpwstr>
      </vt:variant>
      <vt:variant>
        <vt:lpwstr/>
      </vt:variant>
      <vt:variant>
        <vt:i4>1835077</vt:i4>
      </vt:variant>
      <vt:variant>
        <vt:i4>342</vt:i4>
      </vt:variant>
      <vt:variant>
        <vt:i4>0</vt:i4>
      </vt:variant>
      <vt:variant>
        <vt:i4>5</vt:i4>
      </vt:variant>
      <vt:variant>
        <vt:lpwstr>https://www.mpi.govt.nz/food-safety/food-safety-for-consumers/understanding-food-labels/health-star-ratings/how-health-star-ratings-work/</vt:lpwstr>
      </vt:variant>
      <vt:variant>
        <vt:lpwstr/>
      </vt:variant>
      <vt:variant>
        <vt:i4>4325442</vt:i4>
      </vt:variant>
      <vt:variant>
        <vt:i4>339</vt:i4>
      </vt:variant>
      <vt:variant>
        <vt:i4>0</vt:i4>
      </vt:variant>
      <vt:variant>
        <vt:i4>5</vt:i4>
      </vt:variant>
      <vt:variant>
        <vt:lpwstr>https://ssc.govt.nz/our-work/integrityandconduct/</vt:lpwstr>
      </vt:variant>
      <vt:variant>
        <vt:lpwstr/>
      </vt:variant>
      <vt:variant>
        <vt:i4>7405695</vt:i4>
      </vt:variant>
      <vt:variant>
        <vt:i4>336</vt:i4>
      </vt:variant>
      <vt:variant>
        <vt:i4>0</vt:i4>
      </vt:variant>
      <vt:variant>
        <vt:i4>5</vt:i4>
      </vt:variant>
      <vt:variant>
        <vt:lpwstr>https://www.mbie.govt.nz/science-and-technology/science-and-innovation/funding-information-and-opportunities/investment-funds/national-science-challenges/</vt:lpwstr>
      </vt:variant>
      <vt:variant>
        <vt:lpwstr/>
      </vt:variant>
      <vt:variant>
        <vt:i4>6750267</vt:i4>
      </vt:variant>
      <vt:variant>
        <vt:i4>333</vt:i4>
      </vt:variant>
      <vt:variant>
        <vt:i4>0</vt:i4>
      </vt:variant>
      <vt:variant>
        <vt:i4>5</vt:i4>
      </vt:variant>
      <vt:variant>
        <vt:lpwstr>https://www.healthyfamilies.govt.nz/</vt:lpwstr>
      </vt:variant>
      <vt:variant>
        <vt:lpwstr>home-2</vt:lpwstr>
      </vt:variant>
      <vt:variant>
        <vt:i4>2949181</vt:i4>
      </vt:variant>
      <vt:variant>
        <vt:i4>330</vt:i4>
      </vt:variant>
      <vt:variant>
        <vt:i4>0</vt:i4>
      </vt:variant>
      <vt:variant>
        <vt:i4>5</vt:i4>
      </vt:variant>
      <vt:variant>
        <vt:lpwstr>https://www.health.govt.nz/nz-health-statistics/national-collections-and-surveys/surveys/new-zealand-health-survey</vt:lpwstr>
      </vt:variant>
      <vt:variant>
        <vt:lpwstr/>
      </vt:variant>
      <vt:variant>
        <vt:i4>3145768</vt:i4>
      </vt:variant>
      <vt:variant>
        <vt:i4>327</vt:i4>
      </vt:variant>
      <vt:variant>
        <vt:i4>0</vt:i4>
      </vt:variant>
      <vt:variant>
        <vt:i4>5</vt:i4>
      </vt:variant>
      <vt:variant>
        <vt:lpwstr>https://www.health.govt.nz/nz-health-statistics/national-collections-and-surveys/surveys/past-surveys/nutrition-survey</vt:lpwstr>
      </vt:variant>
      <vt:variant>
        <vt:lpwstr/>
      </vt:variant>
      <vt:variant>
        <vt:i4>131099</vt:i4>
      </vt:variant>
      <vt:variant>
        <vt:i4>324</vt:i4>
      </vt:variant>
      <vt:variant>
        <vt:i4>0</vt:i4>
      </vt:variant>
      <vt:variant>
        <vt:i4>5</vt:i4>
      </vt:variant>
      <vt:variant>
        <vt:lpwstr>https://www.health.govt.nz/our-work/populations/maori-health/maori-health-providers/2019-20-maori-provider-development-scheme</vt:lpwstr>
      </vt:variant>
      <vt:variant>
        <vt:lpwstr/>
      </vt:variant>
      <vt:variant>
        <vt:i4>2293795</vt:i4>
      </vt:variant>
      <vt:variant>
        <vt:i4>321</vt:i4>
      </vt:variant>
      <vt:variant>
        <vt:i4>0</vt:i4>
      </vt:variant>
      <vt:variant>
        <vt:i4>5</vt:i4>
      </vt:variant>
      <vt:variant>
        <vt:lpwstr>https://www.health.govt.nz/our-work/populations/maori-health/he-korowai-oranga</vt:lpwstr>
      </vt:variant>
      <vt:variant>
        <vt:lpwstr/>
      </vt:variant>
      <vt:variant>
        <vt:i4>8060978</vt:i4>
      </vt:variant>
      <vt:variant>
        <vt:i4>318</vt:i4>
      </vt:variant>
      <vt:variant>
        <vt:i4>0</vt:i4>
      </vt:variant>
      <vt:variant>
        <vt:i4>5</vt:i4>
      </vt:variant>
      <vt:variant>
        <vt:lpwstr>https://www.health.govt.nz/publication/ala-moui-progress-report-pacific-health-care-utilisation</vt:lpwstr>
      </vt:variant>
      <vt:variant>
        <vt:lpwstr/>
      </vt:variant>
      <vt:variant>
        <vt:i4>3670112</vt:i4>
      </vt:variant>
      <vt:variant>
        <vt:i4>315</vt:i4>
      </vt:variant>
      <vt:variant>
        <vt:i4>0</vt:i4>
      </vt:variant>
      <vt:variant>
        <vt:i4>5</vt:i4>
      </vt:variant>
      <vt:variant>
        <vt:lpwstr>https://www.health.govt.nz/publication/statement-strategic-intentions-2017-2021</vt:lpwstr>
      </vt:variant>
      <vt:variant>
        <vt:lpwstr/>
      </vt:variant>
      <vt:variant>
        <vt:i4>7471224</vt:i4>
      </vt:variant>
      <vt:variant>
        <vt:i4>312</vt:i4>
      </vt:variant>
      <vt:variant>
        <vt:i4>0</vt:i4>
      </vt:variant>
      <vt:variant>
        <vt:i4>5</vt:i4>
      </vt:variant>
      <vt:variant>
        <vt:lpwstr>https://www.mpi.govt.nz/food-safety/food-monitoring-and-surveillance/new-zealand-total-diet-study/</vt:lpwstr>
      </vt:variant>
      <vt:variant>
        <vt:lpwstr/>
      </vt:variant>
      <vt:variant>
        <vt:i4>1638429</vt:i4>
      </vt:variant>
      <vt:variant>
        <vt:i4>309</vt:i4>
      </vt:variant>
      <vt:variant>
        <vt:i4>0</vt:i4>
      </vt:variant>
      <vt:variant>
        <vt:i4>5</vt:i4>
      </vt:variant>
      <vt:variant>
        <vt:lpwstr>http://www.healthnavigator.org.nz/healthy-living/parenting-children/before-school-check/</vt:lpwstr>
      </vt:variant>
      <vt:variant>
        <vt:lpwstr/>
      </vt:variant>
      <vt:variant>
        <vt:i4>4980799</vt:i4>
      </vt:variant>
      <vt:variant>
        <vt:i4>306</vt:i4>
      </vt:variant>
      <vt:variant>
        <vt:i4>0</vt:i4>
      </vt:variant>
      <vt:variant>
        <vt:i4>5</vt:i4>
      </vt:variant>
      <vt:variant>
        <vt:lpwstr>https://www.hpa.org.nz/sites/default/files/6.1 HPA132 Annual Report 2018_Full.pdf</vt:lpwstr>
      </vt:variant>
      <vt:variant>
        <vt:lpwstr/>
      </vt:variant>
      <vt:variant>
        <vt:i4>4718598</vt:i4>
      </vt:variant>
      <vt:variant>
        <vt:i4>303</vt:i4>
      </vt:variant>
      <vt:variant>
        <vt:i4>0</vt:i4>
      </vt:variant>
      <vt:variant>
        <vt:i4>5</vt:i4>
      </vt:variant>
      <vt:variant>
        <vt:lpwstr>https://www.who.int/publications/guidelines/nutrition/en/</vt:lpwstr>
      </vt:variant>
      <vt:variant>
        <vt:lpwstr/>
      </vt:variant>
      <vt:variant>
        <vt:i4>7012473</vt:i4>
      </vt:variant>
      <vt:variant>
        <vt:i4>300</vt:i4>
      </vt:variant>
      <vt:variant>
        <vt:i4>0</vt:i4>
      </vt:variant>
      <vt:variant>
        <vt:i4>5</vt:i4>
      </vt:variant>
      <vt:variant>
        <vt:lpwstr>https://www.health.govt.nz/our-work/eating-and-activity-guidelines</vt:lpwstr>
      </vt:variant>
      <vt:variant>
        <vt:lpwstr/>
      </vt:variant>
      <vt:variant>
        <vt:i4>2097192</vt:i4>
      </vt:variant>
      <vt:variant>
        <vt:i4>297</vt:i4>
      </vt:variant>
      <vt:variant>
        <vt:i4>0</vt:i4>
      </vt:variant>
      <vt:variant>
        <vt:i4>5</vt:i4>
      </vt:variant>
      <vt:variant>
        <vt:lpwstr>https://www.nrv.gov.au/</vt:lpwstr>
      </vt:variant>
      <vt:variant>
        <vt:lpwstr/>
      </vt:variant>
      <vt:variant>
        <vt:i4>7012473</vt:i4>
      </vt:variant>
      <vt:variant>
        <vt:i4>294</vt:i4>
      </vt:variant>
      <vt:variant>
        <vt:i4>0</vt:i4>
      </vt:variant>
      <vt:variant>
        <vt:i4>5</vt:i4>
      </vt:variant>
      <vt:variant>
        <vt:lpwstr>https://www.health.govt.nz/our-work/eating-and-activity-guidelines</vt:lpwstr>
      </vt:variant>
      <vt:variant>
        <vt:lpwstr/>
      </vt:variant>
      <vt:variant>
        <vt:i4>2687102</vt:i4>
      </vt:variant>
      <vt:variant>
        <vt:i4>291</vt:i4>
      </vt:variant>
      <vt:variant>
        <vt:i4>0</vt:i4>
      </vt:variant>
      <vt:variant>
        <vt:i4>5</vt:i4>
      </vt:variant>
      <vt:variant>
        <vt:lpwstr>https://www.nrv.gov.au/chronic-disease/summary</vt:lpwstr>
      </vt:variant>
      <vt:variant>
        <vt:lpwstr/>
      </vt:variant>
      <vt:variant>
        <vt:i4>7012473</vt:i4>
      </vt:variant>
      <vt:variant>
        <vt:i4>288</vt:i4>
      </vt:variant>
      <vt:variant>
        <vt:i4>0</vt:i4>
      </vt:variant>
      <vt:variant>
        <vt:i4>5</vt:i4>
      </vt:variant>
      <vt:variant>
        <vt:lpwstr>https://www.health.govt.nz/our-work/eating-and-activity-guidelines</vt:lpwstr>
      </vt:variant>
      <vt:variant>
        <vt:lpwstr/>
      </vt:variant>
      <vt:variant>
        <vt:i4>2687076</vt:i4>
      </vt:variant>
      <vt:variant>
        <vt:i4>285</vt:i4>
      </vt:variant>
      <vt:variant>
        <vt:i4>0</vt:i4>
      </vt:variant>
      <vt:variant>
        <vt:i4>5</vt:i4>
      </vt:variant>
      <vt:variant>
        <vt:lpwstr>https://www.hpa.org.nz/sites/default/files/SPE 2018-19.pdf</vt:lpwstr>
      </vt:variant>
      <vt:variant>
        <vt:lpwstr/>
      </vt:variant>
      <vt:variant>
        <vt:i4>131133</vt:i4>
      </vt:variant>
      <vt:variant>
        <vt:i4>282</vt:i4>
      </vt:variant>
      <vt:variant>
        <vt:i4>0</vt:i4>
      </vt:variant>
      <vt:variant>
        <vt:i4>5</vt:i4>
      </vt:variant>
      <vt:variant>
        <vt:lpwstr>https://www.hpa.org.nz/sites/default/files/soi_0.pdf</vt:lpwstr>
      </vt:variant>
      <vt:variant>
        <vt:lpwstr/>
      </vt:variant>
      <vt:variant>
        <vt:i4>4784143</vt:i4>
      </vt:variant>
      <vt:variant>
        <vt:i4>279</vt:i4>
      </vt:variant>
      <vt:variant>
        <vt:i4>0</vt:i4>
      </vt:variant>
      <vt:variant>
        <vt:i4>5</vt:i4>
      </vt:variant>
      <vt:variant>
        <vt:lpwstr>https://www.hpa.org.nz/about/our-role</vt:lpwstr>
      </vt:variant>
      <vt:variant>
        <vt:lpwstr/>
      </vt:variant>
      <vt:variant>
        <vt:i4>2424953</vt:i4>
      </vt:variant>
      <vt:variant>
        <vt:i4>276</vt:i4>
      </vt:variant>
      <vt:variant>
        <vt:i4>0</vt:i4>
      </vt:variant>
      <vt:variant>
        <vt:i4>5</vt:i4>
      </vt:variant>
      <vt:variant>
        <vt:lpwstr>https://www.health.govt.nz/our-work/life-stages/health-older-people/healthy-ageing-strategy-update</vt:lpwstr>
      </vt:variant>
      <vt:variant>
        <vt:lpwstr/>
      </vt:variant>
      <vt:variant>
        <vt:i4>4587525</vt:i4>
      </vt:variant>
      <vt:variant>
        <vt:i4>273</vt:i4>
      </vt:variant>
      <vt:variant>
        <vt:i4>0</vt:i4>
      </vt:variant>
      <vt:variant>
        <vt:i4>5</vt:i4>
      </vt:variant>
      <vt:variant>
        <vt:lpwstr>https://www.health.govt.nz/new-zealand-health-system/new-zealand-health-strategy-future-direction/why-health-strategy</vt:lpwstr>
      </vt:variant>
      <vt:variant>
        <vt:lpwstr/>
      </vt:variant>
      <vt:variant>
        <vt:i4>1704000</vt:i4>
      </vt:variant>
      <vt:variant>
        <vt:i4>270</vt:i4>
      </vt:variant>
      <vt:variant>
        <vt:i4>0</vt:i4>
      </vt:variant>
      <vt:variant>
        <vt:i4>5</vt:i4>
      </vt:variant>
      <vt:variant>
        <vt:lpwstr>https://www.health.govt.nz/system/files/documents/publications/update-nz-health-strategy-consultation-draft-part-ii-roadmap-of-actions-oct15.pdf</vt:lpwstr>
      </vt:variant>
      <vt:variant>
        <vt:lpwstr/>
      </vt:variant>
      <vt:variant>
        <vt:i4>4653147</vt:i4>
      </vt:variant>
      <vt:variant>
        <vt:i4>267</vt:i4>
      </vt:variant>
      <vt:variant>
        <vt:i4>0</vt:i4>
      </vt:variant>
      <vt:variant>
        <vt:i4>5</vt:i4>
      </vt:variant>
      <vt:variant>
        <vt:lpwstr>https://www.health.govt.nz/system/files/documents/publications/health-and-independence-report-2017-v2.pdf</vt:lpwstr>
      </vt:variant>
      <vt:variant>
        <vt:lpwstr/>
      </vt:variant>
      <vt:variant>
        <vt:i4>3670112</vt:i4>
      </vt:variant>
      <vt:variant>
        <vt:i4>264</vt:i4>
      </vt:variant>
      <vt:variant>
        <vt:i4>0</vt:i4>
      </vt:variant>
      <vt:variant>
        <vt:i4>5</vt:i4>
      </vt:variant>
      <vt:variant>
        <vt:lpwstr>https://www.health.govt.nz/publication/statement-strategic-intentions-2017-2021</vt:lpwstr>
      </vt:variant>
      <vt:variant>
        <vt:lpwstr/>
      </vt:variant>
      <vt:variant>
        <vt:i4>2555940</vt:i4>
      </vt:variant>
      <vt:variant>
        <vt:i4>261</vt:i4>
      </vt:variant>
      <vt:variant>
        <vt:i4>0</vt:i4>
      </vt:variant>
      <vt:variant>
        <vt:i4>5</vt:i4>
      </vt:variant>
      <vt:variant>
        <vt:lpwstr>http://www.rph.org.nz/public-health-topics/long-term-condition-prevention/</vt:lpwstr>
      </vt:variant>
      <vt:variant>
        <vt:lpwstr/>
      </vt:variant>
      <vt:variant>
        <vt:i4>6226009</vt:i4>
      </vt:variant>
      <vt:variant>
        <vt:i4>258</vt:i4>
      </vt:variant>
      <vt:variant>
        <vt:i4>0</vt:i4>
      </vt:variant>
      <vt:variant>
        <vt:i4>5</vt:i4>
      </vt:variant>
      <vt:variant>
        <vt:lpwstr>http://www.rph.org.nz/public-health-topics/long-term-condition-prevention/strategic-and-operational-ltc-prevention-plan-for-distribution.pdf</vt:lpwstr>
      </vt:variant>
      <vt:variant>
        <vt:lpwstr/>
      </vt:variant>
      <vt:variant>
        <vt:i4>7471211</vt:i4>
      </vt:variant>
      <vt:variant>
        <vt:i4>255</vt:i4>
      </vt:variant>
      <vt:variant>
        <vt:i4>0</vt:i4>
      </vt:variant>
      <vt:variant>
        <vt:i4>5</vt:i4>
      </vt:variant>
      <vt:variant>
        <vt:lpwstr>https://ana.org.nz/resource/global-ncd-action-plan/</vt:lpwstr>
      </vt:variant>
      <vt:variant>
        <vt:lpwstr/>
      </vt:variant>
      <vt:variant>
        <vt:i4>7536750</vt:i4>
      </vt:variant>
      <vt:variant>
        <vt:i4>252</vt:i4>
      </vt:variant>
      <vt:variant>
        <vt:i4>0</vt:i4>
      </vt:variant>
      <vt:variant>
        <vt:i4>5</vt:i4>
      </vt:variant>
      <vt:variant>
        <vt:lpwstr>https://www.nzcphm.org.nz/media/126101/2019_02_20_ph_as_an_investment_policy_statement.pdf</vt:lpwstr>
      </vt:variant>
      <vt:variant>
        <vt:lpwstr/>
      </vt:variant>
      <vt:variant>
        <vt:i4>1310736</vt:i4>
      </vt:variant>
      <vt:variant>
        <vt:i4>249</vt:i4>
      </vt:variant>
      <vt:variant>
        <vt:i4>0</vt:i4>
      </vt:variant>
      <vt:variant>
        <vt:i4>5</vt:i4>
      </vt:variant>
      <vt:variant>
        <vt:lpwstr>C:\Users\User\Downloads\Food Act 2014.pdf</vt:lpwstr>
      </vt:variant>
      <vt:variant>
        <vt:lpwstr/>
      </vt:variant>
      <vt:variant>
        <vt:i4>2359350</vt:i4>
      </vt:variant>
      <vt:variant>
        <vt:i4>246</vt:i4>
      </vt:variant>
      <vt:variant>
        <vt:i4>0</vt:i4>
      </vt:variant>
      <vt:variant>
        <vt:i4>5</vt:i4>
      </vt:variant>
      <vt:variant>
        <vt:lpwstr>https://www.mfat.govt.nz/assets/MFAT-Corporate-publications/MFAT-Annual-Report-2019/Annual-report-2019-Web-Edition.pdf</vt:lpwstr>
      </vt:variant>
      <vt:variant>
        <vt:lpwstr/>
      </vt:variant>
      <vt:variant>
        <vt:i4>7602288</vt:i4>
      </vt:variant>
      <vt:variant>
        <vt:i4>243</vt:i4>
      </vt:variant>
      <vt:variant>
        <vt:i4>0</vt:i4>
      </vt:variant>
      <vt:variant>
        <vt:i4>5</vt:i4>
      </vt:variant>
      <vt:variant>
        <vt:lpwstr>https://www.mfat.govt.nz/assets/MFAT-Corporate-publications/MFAT-Strategic-Intentions-2018-2022.pdf</vt:lpwstr>
      </vt:variant>
      <vt:variant>
        <vt:lpwstr/>
      </vt:variant>
      <vt:variant>
        <vt:i4>4063330</vt:i4>
      </vt:variant>
      <vt:variant>
        <vt:i4>240</vt:i4>
      </vt:variant>
      <vt:variant>
        <vt:i4>0</vt:i4>
      </vt:variant>
      <vt:variant>
        <vt:i4>5</vt:i4>
      </vt:variant>
      <vt:variant>
        <vt:lpwstr>https://www.nzte.govt.nz/common/market-access-international-agreements</vt:lpwstr>
      </vt:variant>
      <vt:variant>
        <vt:lpwstr/>
      </vt:variant>
      <vt:variant>
        <vt:i4>5439557</vt:i4>
      </vt:variant>
      <vt:variant>
        <vt:i4>237</vt:i4>
      </vt:variant>
      <vt:variant>
        <vt:i4>0</vt:i4>
      </vt:variant>
      <vt:variant>
        <vt:i4>5</vt:i4>
      </vt:variant>
      <vt:variant>
        <vt:lpwstr>https://www.heartfoundation.org.nz/professionals/food-industry-and-hospitality/healthy-menu-options-for-kids</vt:lpwstr>
      </vt:variant>
      <vt:variant>
        <vt:lpwstr/>
      </vt:variant>
      <vt:variant>
        <vt:i4>7471150</vt:i4>
      </vt:variant>
      <vt:variant>
        <vt:i4>234</vt:i4>
      </vt:variant>
      <vt:variant>
        <vt:i4>0</vt:i4>
      </vt:variant>
      <vt:variant>
        <vt:i4>5</vt:i4>
      </vt:variant>
      <vt:variant>
        <vt:lpwstr>https://www.heartfoundation.org.nz/professionals/food-industry-and-hospitality/hospitality-hub</vt:lpwstr>
      </vt:variant>
      <vt:variant>
        <vt:lpwstr/>
      </vt:variant>
      <vt:variant>
        <vt:i4>1638495</vt:i4>
      </vt:variant>
      <vt:variant>
        <vt:i4>231</vt:i4>
      </vt:variant>
      <vt:variant>
        <vt:i4>0</vt:i4>
      </vt:variant>
      <vt:variant>
        <vt:i4>5</vt:i4>
      </vt:variant>
      <vt:variant>
        <vt:lpwstr>https://ana.org.nz/resources/evidence-snapshots/</vt:lpwstr>
      </vt:variant>
      <vt:variant>
        <vt:lpwstr/>
      </vt:variant>
      <vt:variant>
        <vt:i4>917507</vt:i4>
      </vt:variant>
      <vt:variant>
        <vt:i4>228</vt:i4>
      </vt:variant>
      <vt:variant>
        <vt:i4>0</vt:i4>
      </vt:variant>
      <vt:variant>
        <vt:i4>5</vt:i4>
      </vt:variant>
      <vt:variant>
        <vt:lpwstr>http://www.healthyaucklandtogether.org.nz/reports/monitoring-report-2018/</vt:lpwstr>
      </vt:variant>
      <vt:variant>
        <vt:lpwstr/>
      </vt:variant>
      <vt:variant>
        <vt:i4>3145768</vt:i4>
      </vt:variant>
      <vt:variant>
        <vt:i4>225</vt:i4>
      </vt:variant>
      <vt:variant>
        <vt:i4>0</vt:i4>
      </vt:variant>
      <vt:variant>
        <vt:i4>5</vt:i4>
      </vt:variant>
      <vt:variant>
        <vt:lpwstr>http://www.healthyaucklandtogether.org.nz/assets/Summary-Reports/180620-HAT-Monitoring-Report-Nutrition-HR.pdf</vt:lpwstr>
      </vt:variant>
      <vt:variant>
        <vt:lpwstr/>
      </vt:variant>
      <vt:variant>
        <vt:i4>4391003</vt:i4>
      </vt:variant>
      <vt:variant>
        <vt:i4>222</vt:i4>
      </vt:variant>
      <vt:variant>
        <vt:i4>0</vt:i4>
      </vt:variant>
      <vt:variant>
        <vt:i4>5</vt:i4>
      </vt:variant>
      <vt:variant>
        <vt:lpwstr>https://www.business.govt.nz/news/law-change-new-rules-if-you-sell-food/</vt:lpwstr>
      </vt:variant>
      <vt:variant>
        <vt:lpwstr/>
      </vt:variant>
      <vt:variant>
        <vt:i4>5439556</vt:i4>
      </vt:variant>
      <vt:variant>
        <vt:i4>219</vt:i4>
      </vt:variant>
      <vt:variant>
        <vt:i4>0</vt:i4>
      </vt:variant>
      <vt:variant>
        <vt:i4>5</vt:i4>
      </vt:variant>
      <vt:variant>
        <vt:lpwstr>https://www.nzma.org.nz/journal/read-the-journal/all-issues/2010-2019/2017/vol-130-no-1450-17-february-2017/7163</vt:lpwstr>
      </vt:variant>
      <vt:variant>
        <vt:lpwstr/>
      </vt:variant>
      <vt:variant>
        <vt:i4>7143537</vt:i4>
      </vt:variant>
      <vt:variant>
        <vt:i4>216</vt:i4>
      </vt:variant>
      <vt:variant>
        <vt:i4>0</vt:i4>
      </vt:variant>
      <vt:variant>
        <vt:i4>5</vt:i4>
      </vt:variant>
      <vt:variant>
        <vt:lpwstr>C:\Users\User\Downloads\INFORMAS Food Environments 201B Full Report.pdf</vt:lpwstr>
      </vt:variant>
      <vt:variant>
        <vt:lpwstr/>
      </vt:variant>
      <vt:variant>
        <vt:i4>5046355</vt:i4>
      </vt:variant>
      <vt:variant>
        <vt:i4>213</vt:i4>
      </vt:variant>
      <vt:variant>
        <vt:i4>0</vt:i4>
      </vt:variant>
      <vt:variant>
        <vt:i4>5</vt:i4>
      </vt:variant>
      <vt:variant>
        <vt:lpwstr>https://www.sportnorthland.co.nz/get-active/active-workplaces</vt:lpwstr>
      </vt:variant>
      <vt:variant>
        <vt:lpwstr/>
      </vt:variant>
      <vt:variant>
        <vt:i4>458752</vt:i4>
      </vt:variant>
      <vt:variant>
        <vt:i4>210</vt:i4>
      </vt:variant>
      <vt:variant>
        <vt:i4>0</vt:i4>
      </vt:variant>
      <vt:variant>
        <vt:i4>5</vt:i4>
      </vt:variant>
      <vt:variant>
        <vt:lpwstr>https://ana.org.nz/resource-category/workplace-wellness/</vt:lpwstr>
      </vt:variant>
      <vt:variant>
        <vt:lpwstr/>
      </vt:variant>
      <vt:variant>
        <vt:i4>3014710</vt:i4>
      </vt:variant>
      <vt:variant>
        <vt:i4>207</vt:i4>
      </vt:variant>
      <vt:variant>
        <vt:i4>0</vt:i4>
      </vt:variant>
      <vt:variant>
        <vt:i4>5</vt:i4>
      </vt:variant>
      <vt:variant>
        <vt:lpwstr>https://health.tki.org.nz/Key-collections/Healthy-lifestyles/Guidelines-for-school-food-programmes/Guideline-4-Healthy-nutrition-in-schools</vt:lpwstr>
      </vt:variant>
      <vt:variant>
        <vt:lpwstr/>
      </vt:variant>
      <vt:variant>
        <vt:i4>4390977</vt:i4>
      </vt:variant>
      <vt:variant>
        <vt:i4>204</vt:i4>
      </vt:variant>
      <vt:variant>
        <vt:i4>0</vt:i4>
      </vt:variant>
      <vt:variant>
        <vt:i4>5</vt:i4>
      </vt:variant>
      <vt:variant>
        <vt:lpwstr>https://wellplace.nz/</vt:lpwstr>
      </vt:variant>
      <vt:variant>
        <vt:lpwstr/>
      </vt:variant>
      <vt:variant>
        <vt:i4>3604571</vt:i4>
      </vt:variant>
      <vt:variant>
        <vt:i4>201</vt:i4>
      </vt:variant>
      <vt:variant>
        <vt:i4>0</vt:i4>
      </vt:variant>
      <vt:variant>
        <vt:i4>5</vt:i4>
      </vt:variant>
      <vt:variant>
        <vt:lpwstr>https://www.workwell.health.nz/workwell_accreditation</vt:lpwstr>
      </vt:variant>
      <vt:variant>
        <vt:lpwstr/>
      </vt:variant>
      <vt:variant>
        <vt:i4>1179670</vt:i4>
      </vt:variant>
      <vt:variant>
        <vt:i4>198</vt:i4>
      </vt:variant>
      <vt:variant>
        <vt:i4>0</vt:i4>
      </vt:variant>
      <vt:variant>
        <vt:i4>5</vt:i4>
      </vt:variant>
      <vt:variant>
        <vt:lpwstr>https://www.good4work.nz/</vt:lpwstr>
      </vt:variant>
      <vt:variant>
        <vt:lpwstr/>
      </vt:variant>
      <vt:variant>
        <vt:i4>6225925</vt:i4>
      </vt:variant>
      <vt:variant>
        <vt:i4>195</vt:i4>
      </vt:variant>
      <vt:variant>
        <vt:i4>0</vt:i4>
      </vt:variant>
      <vt:variant>
        <vt:i4>5</vt:i4>
      </vt:variant>
      <vt:variant>
        <vt:lpwstr>https://www.health.govt.nz/our-work/life-stages/child-health/health-promoting-schools</vt:lpwstr>
      </vt:variant>
      <vt:variant>
        <vt:lpwstr/>
      </vt:variant>
      <vt:variant>
        <vt:i4>3080319</vt:i4>
      </vt:variant>
      <vt:variant>
        <vt:i4>192</vt:i4>
      </vt:variant>
      <vt:variant>
        <vt:i4>0</vt:i4>
      </vt:variant>
      <vt:variant>
        <vt:i4>5</vt:i4>
      </vt:variant>
      <vt:variant>
        <vt:lpwstr>https://www.nzqa.govt.nz/framework/explore/domain-full.do?frameworkId=75646</vt:lpwstr>
      </vt:variant>
      <vt:variant>
        <vt:lpwstr/>
      </vt:variant>
      <vt:variant>
        <vt:i4>1245191</vt:i4>
      </vt:variant>
      <vt:variant>
        <vt:i4>189</vt:i4>
      </vt:variant>
      <vt:variant>
        <vt:i4>0</vt:i4>
      </vt:variant>
      <vt:variant>
        <vt:i4>5</vt:i4>
      </vt:variant>
      <vt:variant>
        <vt:lpwstr>https://www.foodforthought.co.nz/</vt:lpwstr>
      </vt:variant>
      <vt:variant>
        <vt:lpwstr/>
      </vt:variant>
      <vt:variant>
        <vt:i4>6094915</vt:i4>
      </vt:variant>
      <vt:variant>
        <vt:i4>186</vt:i4>
      </vt:variant>
      <vt:variant>
        <vt:i4>0</vt:i4>
      </vt:variant>
      <vt:variant>
        <vt:i4>5</vt:i4>
      </vt:variant>
      <vt:variant>
        <vt:lpwstr>https://staging.learnbyheart.org.nz/index.php/heart-start</vt:lpwstr>
      </vt:variant>
      <vt:variant>
        <vt:lpwstr/>
      </vt:variant>
      <vt:variant>
        <vt:i4>5505097</vt:i4>
      </vt:variant>
      <vt:variant>
        <vt:i4>183</vt:i4>
      </vt:variant>
      <vt:variant>
        <vt:i4>0</vt:i4>
      </vt:variant>
      <vt:variant>
        <vt:i4>5</vt:i4>
      </vt:variant>
      <vt:variant>
        <vt:lpwstr>https://www.learnbyheart.org.nz/index.php/ece/healthy-heart-award</vt:lpwstr>
      </vt:variant>
      <vt:variant>
        <vt:lpwstr/>
      </vt:variant>
      <vt:variant>
        <vt:i4>2228338</vt:i4>
      </vt:variant>
      <vt:variant>
        <vt:i4>180</vt:i4>
      </vt:variant>
      <vt:variant>
        <vt:i4>0</vt:i4>
      </vt:variant>
      <vt:variant>
        <vt:i4>5</vt:i4>
      </vt:variant>
      <vt:variant>
        <vt:lpwstr>http://www.fuelled4life.org.nz/</vt:lpwstr>
      </vt:variant>
      <vt:variant>
        <vt:lpwstr/>
      </vt:variant>
      <vt:variant>
        <vt:i4>6488126</vt:i4>
      </vt:variant>
      <vt:variant>
        <vt:i4>177</vt:i4>
      </vt:variant>
      <vt:variant>
        <vt:i4>0</vt:i4>
      </vt:variant>
      <vt:variant>
        <vt:i4>5</vt:i4>
      </vt:variant>
      <vt:variant>
        <vt:lpwstr>https://health.tki.org.nz/Key-collections/Healthy-lifestyles/Food-and-nutrition-for-healthy-confident-kids</vt:lpwstr>
      </vt:variant>
      <vt:variant>
        <vt:lpwstr/>
      </vt:variant>
      <vt:variant>
        <vt:i4>1572956</vt:i4>
      </vt:variant>
      <vt:variant>
        <vt:i4>174</vt:i4>
      </vt:variant>
      <vt:variant>
        <vt:i4>0</vt:i4>
      </vt:variant>
      <vt:variant>
        <vt:i4>5</vt:i4>
      </vt:variant>
      <vt:variant>
        <vt:lpwstr>https://www.hapuhauora.health.nz/hh_healthy_food</vt:lpwstr>
      </vt:variant>
      <vt:variant>
        <vt:lpwstr/>
      </vt:variant>
      <vt:variant>
        <vt:i4>262210</vt:i4>
      </vt:variant>
      <vt:variant>
        <vt:i4>171</vt:i4>
      </vt:variant>
      <vt:variant>
        <vt:i4>0</vt:i4>
      </vt:variant>
      <vt:variant>
        <vt:i4>5</vt:i4>
      </vt:variant>
      <vt:variant>
        <vt:lpwstr>https://wellplace.nz/resource-library/myfamily-kiwi/</vt:lpwstr>
      </vt:variant>
      <vt:variant>
        <vt:lpwstr/>
      </vt:variant>
      <vt:variant>
        <vt:i4>262155</vt:i4>
      </vt:variant>
      <vt:variant>
        <vt:i4>168</vt:i4>
      </vt:variant>
      <vt:variant>
        <vt:i4>0</vt:i4>
      </vt:variant>
      <vt:variant>
        <vt:i4>5</vt:i4>
      </vt:variant>
      <vt:variant>
        <vt:lpwstr>https://www.health.govt.nz/your-health/healthy-living/food-activity-and-sleep/healthy-eating</vt:lpwstr>
      </vt:variant>
      <vt:variant>
        <vt:lpwstr/>
      </vt:variant>
      <vt:variant>
        <vt:i4>1900630</vt:i4>
      </vt:variant>
      <vt:variant>
        <vt:i4>165</vt:i4>
      </vt:variant>
      <vt:variant>
        <vt:i4>0</vt:i4>
      </vt:variant>
      <vt:variant>
        <vt:i4>5</vt:i4>
      </vt:variant>
      <vt:variant>
        <vt:lpwstr>https://www.healthnavigator.org.nz/healthy-living/eating-drinking/f/food-groups-serving-size/</vt:lpwstr>
      </vt:variant>
      <vt:variant>
        <vt:lpwstr/>
      </vt:variant>
      <vt:variant>
        <vt:i4>6881357</vt:i4>
      </vt:variant>
      <vt:variant>
        <vt:i4>162</vt:i4>
      </vt:variant>
      <vt:variant>
        <vt:i4>0</vt:i4>
      </vt:variant>
      <vt:variant>
        <vt:i4>5</vt:i4>
      </vt:variant>
      <vt:variant>
        <vt:lpwstr>https://www.corrections.govt.nz/resources/strategic_reports/annual-reports/annual_report_201819</vt:lpwstr>
      </vt:variant>
      <vt:variant>
        <vt:lpwstr/>
      </vt:variant>
      <vt:variant>
        <vt:i4>1245273</vt:i4>
      </vt:variant>
      <vt:variant>
        <vt:i4>159</vt:i4>
      </vt:variant>
      <vt:variant>
        <vt:i4>0</vt:i4>
      </vt:variant>
      <vt:variant>
        <vt:i4>5</vt:i4>
      </vt:variant>
      <vt:variant>
        <vt:lpwstr>https://www.health.govt.nz/publication/national-healthy-food-and-drink-policy</vt:lpwstr>
      </vt:variant>
      <vt:variant>
        <vt:lpwstr/>
      </vt:variant>
      <vt:variant>
        <vt:i4>3866656</vt:i4>
      </vt:variant>
      <vt:variant>
        <vt:i4>156</vt:i4>
      </vt:variant>
      <vt:variant>
        <vt:i4>0</vt:i4>
      </vt:variant>
      <vt:variant>
        <vt:i4>5</vt:i4>
      </vt:variant>
      <vt:variant>
        <vt:lpwstr>https://www.learnbyheart.org.nz/index.php/resources-school</vt:lpwstr>
      </vt:variant>
      <vt:variant>
        <vt:lpwstr/>
      </vt:variant>
      <vt:variant>
        <vt:i4>7536692</vt:i4>
      </vt:variant>
      <vt:variant>
        <vt:i4>153</vt:i4>
      </vt:variant>
      <vt:variant>
        <vt:i4>0</vt:i4>
      </vt:variant>
      <vt:variant>
        <vt:i4>5</vt:i4>
      </vt:variant>
      <vt:variant>
        <vt:lpwstr>https://www.education.govt.nz/assets/Documents/Early-Childhood/Licensing-criteria/ECE-Licensing-Booklet-Early-Childhood-Aug2018.pdf</vt:lpwstr>
      </vt:variant>
      <vt:variant>
        <vt:lpwstr/>
      </vt:variant>
      <vt:variant>
        <vt:i4>5570568</vt:i4>
      </vt:variant>
      <vt:variant>
        <vt:i4>150</vt:i4>
      </vt:variant>
      <vt:variant>
        <vt:i4>0</vt:i4>
      </vt:variant>
      <vt:variant>
        <vt:i4>5</vt:i4>
      </vt:variant>
      <vt:variant>
        <vt:lpwstr>http://health.tki.org.nz/Key-collections/Healthy-lifestyles/Food-and-nutrition-for-healthy-confident-kids</vt:lpwstr>
      </vt:variant>
      <vt:variant>
        <vt:lpwstr/>
      </vt:variant>
      <vt:variant>
        <vt:i4>3014710</vt:i4>
      </vt:variant>
      <vt:variant>
        <vt:i4>147</vt:i4>
      </vt:variant>
      <vt:variant>
        <vt:i4>0</vt:i4>
      </vt:variant>
      <vt:variant>
        <vt:i4>5</vt:i4>
      </vt:variant>
      <vt:variant>
        <vt:lpwstr>https://health.tki.org.nz/Key-collections/Healthy-lifestyles/Guidelines-for-school-food-programmes/Guideline-4-Healthy-nutrition-in-schools</vt:lpwstr>
      </vt:variant>
      <vt:variant>
        <vt:lpwstr/>
      </vt:variant>
      <vt:variant>
        <vt:i4>2162732</vt:i4>
      </vt:variant>
      <vt:variant>
        <vt:i4>144</vt:i4>
      </vt:variant>
      <vt:variant>
        <vt:i4>0</vt:i4>
      </vt:variant>
      <vt:variant>
        <vt:i4>5</vt:i4>
      </vt:variant>
      <vt:variant>
        <vt:lpwstr>https://www.heartfoundation.org.nz/educators/edu-resources/developing-nutrition-policy</vt:lpwstr>
      </vt:variant>
      <vt:variant>
        <vt:lpwstr/>
      </vt:variant>
      <vt:variant>
        <vt:i4>196703</vt:i4>
      </vt:variant>
      <vt:variant>
        <vt:i4>141</vt:i4>
      </vt:variant>
      <vt:variant>
        <vt:i4>0</vt:i4>
      </vt:variant>
      <vt:variant>
        <vt:i4>5</vt:i4>
      </vt:variant>
      <vt:variant>
        <vt:lpwstr>https://www.education.govt.nz/school/health-safety-and-wellbeing/student-and-staff-health/why-promote-healthy-lifestyles/</vt:lpwstr>
      </vt:variant>
      <vt:variant>
        <vt:lpwstr/>
      </vt:variant>
      <vt:variant>
        <vt:i4>88</vt:i4>
      </vt:variant>
      <vt:variant>
        <vt:i4>138</vt:i4>
      </vt:variant>
      <vt:variant>
        <vt:i4>0</vt:i4>
      </vt:variant>
      <vt:variant>
        <vt:i4>5</vt:i4>
      </vt:variant>
      <vt:variant>
        <vt:lpwstr>https://www.ero.govt.nz/assets/Uploads/Effective-practice-report-Food-Nutrition-and-Physcial-Activity-in-NZ-Schools-and-ELS2.pdf</vt:lpwstr>
      </vt:variant>
      <vt:variant>
        <vt:lpwstr/>
      </vt:variant>
      <vt:variant>
        <vt:i4>4456450</vt:i4>
      </vt:variant>
      <vt:variant>
        <vt:i4>135</vt:i4>
      </vt:variant>
      <vt:variant>
        <vt:i4>0</vt:i4>
      </vt:variant>
      <vt:variant>
        <vt:i4>5</vt:i4>
      </vt:variant>
      <vt:variant>
        <vt:lpwstr>https://www.education.govt.nz/our-work/legislation/nags/</vt:lpwstr>
      </vt:variant>
      <vt:variant>
        <vt:lpwstr/>
      </vt:variant>
      <vt:variant>
        <vt:i4>6553660</vt:i4>
      </vt:variant>
      <vt:variant>
        <vt:i4>132</vt:i4>
      </vt:variant>
      <vt:variant>
        <vt:i4>0</vt:i4>
      </vt:variant>
      <vt:variant>
        <vt:i4>5</vt:i4>
      </vt:variant>
      <vt:variant>
        <vt:lpwstr>http://www.fuelled4life.org.nz/tips/the-ultimate-guide-to-a-healthy-canteen</vt:lpwstr>
      </vt:variant>
      <vt:variant>
        <vt:lpwstr>.XdH2W1czY2w</vt:lpwstr>
      </vt:variant>
      <vt:variant>
        <vt:i4>4325487</vt:i4>
      </vt:variant>
      <vt:variant>
        <vt:i4>129</vt:i4>
      </vt:variant>
      <vt:variant>
        <vt:i4>0</vt:i4>
      </vt:variant>
      <vt:variant>
        <vt:i4>5</vt:i4>
      </vt:variant>
      <vt:variant>
        <vt:lpwstr>https://www.nzherald.co.nz/stratford-press/news/article.cfm?c_id=1503390&amp;objectid=12212667</vt:lpwstr>
      </vt:variant>
      <vt:variant>
        <vt:lpwstr/>
      </vt:variant>
      <vt:variant>
        <vt:i4>6160455</vt:i4>
      </vt:variant>
      <vt:variant>
        <vt:i4>126</vt:i4>
      </vt:variant>
      <vt:variant>
        <vt:i4>0</vt:i4>
      </vt:variant>
      <vt:variant>
        <vt:i4>5</vt:i4>
      </vt:variant>
      <vt:variant>
        <vt:lpwstr>https://kickstartbreakfast.co.nz/home</vt:lpwstr>
      </vt:variant>
      <vt:variant>
        <vt:lpwstr/>
      </vt:variant>
      <vt:variant>
        <vt:i4>7405616</vt:i4>
      </vt:variant>
      <vt:variant>
        <vt:i4>123</vt:i4>
      </vt:variant>
      <vt:variant>
        <vt:i4>0</vt:i4>
      </vt:variant>
      <vt:variant>
        <vt:i4>5</vt:i4>
      </vt:variant>
      <vt:variant>
        <vt:lpwstr>https://www.ttophs.govt.nz/vdb/document/741</vt:lpwstr>
      </vt:variant>
      <vt:variant>
        <vt:lpwstr/>
      </vt:variant>
      <vt:variant>
        <vt:i4>6553633</vt:i4>
      </vt:variant>
      <vt:variant>
        <vt:i4>120</vt:i4>
      </vt:variant>
      <vt:variant>
        <vt:i4>0</vt:i4>
      </vt:variant>
      <vt:variant>
        <vt:i4>5</vt:i4>
      </vt:variant>
      <vt:variant>
        <vt:lpwstr>https://www.govt.nz/browse/health/help-in-your-home/cooking-and-meals/</vt:lpwstr>
      </vt:variant>
      <vt:variant>
        <vt:lpwstr/>
      </vt:variant>
      <vt:variant>
        <vt:i4>4784148</vt:i4>
      </vt:variant>
      <vt:variant>
        <vt:i4>117</vt:i4>
      </vt:variant>
      <vt:variant>
        <vt:i4>0</vt:i4>
      </vt:variant>
      <vt:variant>
        <vt:i4>5</vt:i4>
      </vt:variant>
      <vt:variant>
        <vt:lpwstr>https://www.workandincome.govt.nz/eligibility/urgent-costs/food.html</vt:lpwstr>
      </vt:variant>
      <vt:variant>
        <vt:lpwstr>null</vt:lpwstr>
      </vt:variant>
      <vt:variant>
        <vt:i4>2883600</vt:i4>
      </vt:variant>
      <vt:variant>
        <vt:i4>114</vt:i4>
      </vt:variant>
      <vt:variant>
        <vt:i4>0</vt:i4>
      </vt:variant>
      <vt:variant>
        <vt:i4>5</vt:i4>
      </vt:variant>
      <vt:variant>
        <vt:lpwstr>https://www.nzherald.co.nz/nz/news/article.cfm?c_id=1&amp;objectid=12274928</vt:lpwstr>
      </vt:variant>
      <vt:variant>
        <vt:lpwstr/>
      </vt:variant>
      <vt:variant>
        <vt:i4>2818075</vt:i4>
      </vt:variant>
      <vt:variant>
        <vt:i4>111</vt:i4>
      </vt:variant>
      <vt:variant>
        <vt:i4>0</vt:i4>
      </vt:variant>
      <vt:variant>
        <vt:i4>5</vt:i4>
      </vt:variant>
      <vt:variant>
        <vt:lpwstr>https://www.nzherald.co.nz/nz/news/article.cfm?c_id=1&amp;objectid=12274252</vt:lpwstr>
      </vt:variant>
      <vt:variant>
        <vt:lpwstr/>
      </vt:variant>
      <vt:variant>
        <vt:i4>2359324</vt:i4>
      </vt:variant>
      <vt:variant>
        <vt:i4>108</vt:i4>
      </vt:variant>
      <vt:variant>
        <vt:i4>0</vt:i4>
      </vt:variant>
      <vt:variant>
        <vt:i4>5</vt:i4>
      </vt:variant>
      <vt:variant>
        <vt:lpwstr>https://www.nzherald.co.nz/nz/news/article.cfm?c_id=1&amp;objectid=3516837</vt:lpwstr>
      </vt:variant>
      <vt:variant>
        <vt:lpwstr/>
      </vt:variant>
      <vt:variant>
        <vt:i4>5701641</vt:i4>
      </vt:variant>
      <vt:variant>
        <vt:i4>105</vt:i4>
      </vt:variant>
      <vt:variant>
        <vt:i4>0</vt:i4>
      </vt:variant>
      <vt:variant>
        <vt:i4>5</vt:i4>
      </vt:variant>
      <vt:variant>
        <vt:lpwstr>https://www.nzbeveragecouncil.org.nz/positions/sugar-tax/</vt:lpwstr>
      </vt:variant>
      <vt:variant>
        <vt:lpwstr/>
      </vt:variant>
      <vt:variant>
        <vt:i4>3014672</vt:i4>
      </vt:variant>
      <vt:variant>
        <vt:i4>102</vt:i4>
      </vt:variant>
      <vt:variant>
        <vt:i4>0</vt:i4>
      </vt:variant>
      <vt:variant>
        <vt:i4>5</vt:i4>
      </vt:variant>
      <vt:variant>
        <vt:lpwstr>https://www.nzherald.co.nz/nz/news/article.cfm?c_id=1&amp;objectid=12285611</vt:lpwstr>
      </vt:variant>
      <vt:variant>
        <vt:lpwstr/>
      </vt:variant>
      <vt:variant>
        <vt:i4>3080221</vt:i4>
      </vt:variant>
      <vt:variant>
        <vt:i4>99</vt:i4>
      </vt:variant>
      <vt:variant>
        <vt:i4>0</vt:i4>
      </vt:variant>
      <vt:variant>
        <vt:i4>5</vt:i4>
      </vt:variant>
      <vt:variant>
        <vt:lpwstr>https://www.nzherald.co.nz/nz/news/article.cfm?c_id=1&amp;objectid=12217226</vt:lpwstr>
      </vt:variant>
      <vt:variant>
        <vt:lpwstr/>
      </vt:variant>
      <vt:variant>
        <vt:i4>5767190</vt:i4>
      </vt:variant>
      <vt:variant>
        <vt:i4>96</vt:i4>
      </vt:variant>
      <vt:variant>
        <vt:i4>0</vt:i4>
      </vt:variant>
      <vt:variant>
        <vt:i4>5</vt:i4>
      </vt:variant>
      <vt:variant>
        <vt:lpwstr>https://www.stuff.co.nz/national/health/115791305/kids-see-more-than-40-ads-for-unhealthy-products-a-day</vt:lpwstr>
      </vt:variant>
      <vt:variant>
        <vt:lpwstr/>
      </vt:variant>
      <vt:variant>
        <vt:i4>5701703</vt:i4>
      </vt:variant>
      <vt:variant>
        <vt:i4>93</vt:i4>
      </vt:variant>
      <vt:variant>
        <vt:i4>0</vt:i4>
      </vt:variant>
      <vt:variant>
        <vt:i4>5</vt:i4>
      </vt:variant>
      <vt:variant>
        <vt:lpwstr>https://www.nzma.org.nz/journal/read-the-journal/all-issues/2010-2019/2017/vol-130-no-1450-17-february-2017/7157</vt:lpwstr>
      </vt:variant>
      <vt:variant>
        <vt:lpwstr/>
      </vt:variant>
      <vt:variant>
        <vt:i4>3801114</vt:i4>
      </vt:variant>
      <vt:variant>
        <vt:i4>90</vt:i4>
      </vt:variant>
      <vt:variant>
        <vt:i4>0</vt:i4>
      </vt:variant>
      <vt:variant>
        <vt:i4>5</vt:i4>
      </vt:variant>
      <vt:variant>
        <vt:lpwstr>https://www.cambridge.org/core/services/aop-cambridge-core/content/view/DE1E6440757B1FBD25FE548A7B8EAAB8/S1368980017000775a.pdf/unhealthy_food_advertising_directed_to_children_on_new_zealand_television_extent_nature_impact_and_policy_implications.pdf</vt:lpwstr>
      </vt:variant>
      <vt:variant>
        <vt:lpwstr/>
      </vt:variant>
      <vt:variant>
        <vt:i4>1507396</vt:i4>
      </vt:variant>
      <vt:variant>
        <vt:i4>87</vt:i4>
      </vt:variant>
      <vt:variant>
        <vt:i4>0</vt:i4>
      </vt:variant>
      <vt:variant>
        <vt:i4>5</vt:i4>
      </vt:variant>
      <vt:variant>
        <vt:lpwstr>https://www.auckland.ac.nz/en/about/news-events-and-notices/news/news-2017/05/majority-tv-food-ads-unhealthy-and-target-children.html</vt:lpwstr>
      </vt:variant>
      <vt:variant>
        <vt:lpwstr/>
      </vt:variant>
      <vt:variant>
        <vt:i4>5439557</vt:i4>
      </vt:variant>
      <vt:variant>
        <vt:i4>84</vt:i4>
      </vt:variant>
      <vt:variant>
        <vt:i4>0</vt:i4>
      </vt:variant>
      <vt:variant>
        <vt:i4>5</vt:i4>
      </vt:variant>
      <vt:variant>
        <vt:lpwstr>https://www.heartfoundation.org.nz/professionals/food-industry-and-hospitality/healthy-menu-options-for-kids</vt:lpwstr>
      </vt:variant>
      <vt:variant>
        <vt:lpwstr/>
      </vt:variant>
      <vt:variant>
        <vt:i4>7602224</vt:i4>
      </vt:variant>
      <vt:variant>
        <vt:i4>81</vt:i4>
      </vt:variant>
      <vt:variant>
        <vt:i4>0</vt:i4>
      </vt:variant>
      <vt:variant>
        <vt:i4>5</vt:i4>
      </vt:variant>
      <vt:variant>
        <vt:lpwstr>http://www.moh.govt.nz/notebook/nbbooks.nsf/0/D534DDBDD158BE99CC256DE100029D14/$file/FoodandNutritionMonitoring.pdf</vt:lpwstr>
      </vt:variant>
      <vt:variant>
        <vt:lpwstr/>
      </vt:variant>
      <vt:variant>
        <vt:i4>6225992</vt:i4>
      </vt:variant>
      <vt:variant>
        <vt:i4>78</vt:i4>
      </vt:variant>
      <vt:variant>
        <vt:i4>0</vt:i4>
      </vt:variant>
      <vt:variant>
        <vt:i4>5</vt:i4>
      </vt:variant>
      <vt:variant>
        <vt:lpwstr>https://nutritionfoundation.org.nz/nutrition-facts/nutrition-a-z/health-star-rating-new-consumer-research</vt:lpwstr>
      </vt:variant>
      <vt:variant>
        <vt:lpwstr/>
      </vt:variant>
      <vt:variant>
        <vt:i4>2949151</vt:i4>
      </vt:variant>
      <vt:variant>
        <vt:i4>75</vt:i4>
      </vt:variant>
      <vt:variant>
        <vt:i4>0</vt:i4>
      </vt:variant>
      <vt:variant>
        <vt:i4>5</vt:i4>
      </vt:variant>
      <vt:variant>
        <vt:lpwstr>https://www.nzherald.co.nz/sponsored-stories/news/article.cfm?c_id=1503708&amp;objectid=11948390</vt:lpwstr>
      </vt:variant>
      <vt:variant>
        <vt:lpwstr/>
      </vt:variant>
      <vt:variant>
        <vt:i4>4915288</vt:i4>
      </vt:variant>
      <vt:variant>
        <vt:i4>72</vt:i4>
      </vt:variant>
      <vt:variant>
        <vt:i4>0</vt:i4>
      </vt:variant>
      <vt:variant>
        <vt:i4>5</vt:i4>
      </vt:variant>
      <vt:variant>
        <vt:lpwstr>https://www.consumer.org.nz/articles/health-star-ratings</vt:lpwstr>
      </vt:variant>
      <vt:variant>
        <vt:lpwstr/>
      </vt:variant>
      <vt:variant>
        <vt:i4>1835077</vt:i4>
      </vt:variant>
      <vt:variant>
        <vt:i4>69</vt:i4>
      </vt:variant>
      <vt:variant>
        <vt:i4>0</vt:i4>
      </vt:variant>
      <vt:variant>
        <vt:i4>5</vt:i4>
      </vt:variant>
      <vt:variant>
        <vt:lpwstr>https://www.mpi.govt.nz/food-safety/food-safety-for-consumers/understanding-food-labels/health-star-ratings/how-health-star-ratings-work/</vt:lpwstr>
      </vt:variant>
      <vt:variant>
        <vt:lpwstr/>
      </vt:variant>
      <vt:variant>
        <vt:i4>2621493</vt:i4>
      </vt:variant>
      <vt:variant>
        <vt:i4>66</vt:i4>
      </vt:variant>
      <vt:variant>
        <vt:i4>0</vt:i4>
      </vt:variant>
      <vt:variant>
        <vt:i4>5</vt:i4>
      </vt:variant>
      <vt:variant>
        <vt:lpwstr>https://www.foodstandards.govt.nz/code/changes/workplan/Documents/Food standards development Work Plan 10.01.20.pdf?csf=1&amp;e=izaVEw</vt:lpwstr>
      </vt:variant>
      <vt:variant>
        <vt:lpwstr/>
      </vt:variant>
      <vt:variant>
        <vt:i4>7274605</vt:i4>
      </vt:variant>
      <vt:variant>
        <vt:i4>63</vt:i4>
      </vt:variant>
      <vt:variant>
        <vt:i4>0</vt:i4>
      </vt:variant>
      <vt:variant>
        <vt:i4>5</vt:i4>
      </vt:variant>
      <vt:variant>
        <vt:lpwstr>https://www.foodstandards.govt.nz/consumer/labelling/review/Pages/default.aspx</vt:lpwstr>
      </vt:variant>
      <vt:variant>
        <vt:lpwstr/>
      </vt:variant>
      <vt:variant>
        <vt:i4>2883699</vt:i4>
      </vt:variant>
      <vt:variant>
        <vt:i4>60</vt:i4>
      </vt:variant>
      <vt:variant>
        <vt:i4>0</vt:i4>
      </vt:variant>
      <vt:variant>
        <vt:i4>5</vt:i4>
      </vt:variant>
      <vt:variant>
        <vt:lpwstr>https://foodregulation.gov.au/internet/fr/publishing.nsf/Content/31BDC68CEC4A1964CA25801B00166C1F/$File/Getting-Your-Claims-Right-2018.pdf</vt:lpwstr>
      </vt:variant>
      <vt:variant>
        <vt:lpwstr/>
      </vt:variant>
      <vt:variant>
        <vt:i4>1703961</vt:i4>
      </vt:variant>
      <vt:variant>
        <vt:i4>57</vt:i4>
      </vt:variant>
      <vt:variant>
        <vt:i4>0</vt:i4>
      </vt:variant>
      <vt:variant>
        <vt:i4>5</vt:i4>
      </vt:variant>
      <vt:variant>
        <vt:lpwstr>http://www.fao.org/3/Y2770E/y2770e07.htm</vt:lpwstr>
      </vt:variant>
      <vt:variant>
        <vt:lpwstr/>
      </vt:variant>
      <vt:variant>
        <vt:i4>524289</vt:i4>
      </vt:variant>
      <vt:variant>
        <vt:i4>54</vt:i4>
      </vt:variant>
      <vt:variant>
        <vt:i4>0</vt:i4>
      </vt:variant>
      <vt:variant>
        <vt:i4>5</vt:i4>
      </vt:variant>
      <vt:variant>
        <vt:lpwstr>http://www.foodstandards.govt.nz/science/expertise/Pages/Scientific-advisory-groups-.aspx</vt:lpwstr>
      </vt:variant>
      <vt:variant>
        <vt:lpwstr/>
      </vt:variant>
      <vt:variant>
        <vt:i4>720913</vt:i4>
      </vt:variant>
      <vt:variant>
        <vt:i4>51</vt:i4>
      </vt:variant>
      <vt:variant>
        <vt:i4>0</vt:i4>
      </vt:variant>
      <vt:variant>
        <vt:i4>5</vt:i4>
      </vt:variant>
      <vt:variant>
        <vt:lpwstr>http://www.foodstandards.gov.au/industry/labelling/pages/nutrientprofilingcalculator/default.aspx</vt:lpwstr>
      </vt:variant>
      <vt:variant>
        <vt:lpwstr/>
      </vt:variant>
      <vt:variant>
        <vt:i4>720913</vt:i4>
      </vt:variant>
      <vt:variant>
        <vt:i4>48</vt:i4>
      </vt:variant>
      <vt:variant>
        <vt:i4>0</vt:i4>
      </vt:variant>
      <vt:variant>
        <vt:i4>5</vt:i4>
      </vt:variant>
      <vt:variant>
        <vt:lpwstr>http://www.foodstandards.gov.au/industry/labelling/pages/nutrientprofilingcalculator/default.aspx</vt:lpwstr>
      </vt:variant>
      <vt:variant>
        <vt:lpwstr/>
      </vt:variant>
      <vt:variant>
        <vt:i4>7733282</vt:i4>
      </vt:variant>
      <vt:variant>
        <vt:i4>45</vt:i4>
      </vt:variant>
      <vt:variant>
        <vt:i4>0</vt:i4>
      </vt:variant>
      <vt:variant>
        <vt:i4>5</vt:i4>
      </vt:variant>
      <vt:variant>
        <vt:lpwstr>https://www.legislation.gov.au/Details/F2018C00942</vt:lpwstr>
      </vt:variant>
      <vt:variant>
        <vt:lpwstr/>
      </vt:variant>
      <vt:variant>
        <vt:i4>262174</vt:i4>
      </vt:variant>
      <vt:variant>
        <vt:i4>42</vt:i4>
      </vt:variant>
      <vt:variant>
        <vt:i4>0</vt:i4>
      </vt:variant>
      <vt:variant>
        <vt:i4>5</vt:i4>
      </vt:variant>
      <vt:variant>
        <vt:lpwstr>https://www.legislation.gov.au/Series/F2015L00394</vt:lpwstr>
      </vt:variant>
      <vt:variant>
        <vt:lpwstr/>
      </vt:variant>
      <vt:variant>
        <vt:i4>7274605</vt:i4>
      </vt:variant>
      <vt:variant>
        <vt:i4>39</vt:i4>
      </vt:variant>
      <vt:variant>
        <vt:i4>0</vt:i4>
      </vt:variant>
      <vt:variant>
        <vt:i4>5</vt:i4>
      </vt:variant>
      <vt:variant>
        <vt:lpwstr>https://www.foodstandards.govt.nz/consumer/labelling/review/Pages/default.aspx</vt:lpwstr>
      </vt:variant>
      <vt:variant>
        <vt:lpwstr/>
      </vt:variant>
      <vt:variant>
        <vt:i4>6422569</vt:i4>
      </vt:variant>
      <vt:variant>
        <vt:i4>36</vt:i4>
      </vt:variant>
      <vt:variant>
        <vt:i4>0</vt:i4>
      </vt:variant>
      <vt:variant>
        <vt:i4>5</vt:i4>
      </vt:variant>
      <vt:variant>
        <vt:lpwstr>https://foodregulation.gov.au/internet/fr/publishing.nsf/Content/Forum</vt:lpwstr>
      </vt:variant>
      <vt:variant>
        <vt:lpwstr/>
      </vt:variant>
      <vt:variant>
        <vt:i4>3539052</vt:i4>
      </vt:variant>
      <vt:variant>
        <vt:i4>33</vt:i4>
      </vt:variant>
      <vt:variant>
        <vt:i4>0</vt:i4>
      </vt:variant>
      <vt:variant>
        <vt:i4>5</vt:i4>
      </vt:variant>
      <vt:variant>
        <vt:lpwstr>http://www.foodstandards.govt.nz/consumer/labelling/Pages/interactive-labelling-poster.aspx</vt:lpwstr>
      </vt:variant>
      <vt:variant>
        <vt:lpwstr/>
      </vt:variant>
      <vt:variant>
        <vt:i4>6160460</vt:i4>
      </vt:variant>
      <vt:variant>
        <vt:i4>30</vt:i4>
      </vt:variant>
      <vt:variant>
        <vt:i4>0</vt:i4>
      </vt:variant>
      <vt:variant>
        <vt:i4>5</vt:i4>
      </vt:variant>
      <vt:variant>
        <vt:lpwstr>http://www.foodstandards.govt.nz/code/Pages/default.aspx</vt:lpwstr>
      </vt:variant>
      <vt:variant>
        <vt:lpwstr/>
      </vt:variant>
      <vt:variant>
        <vt:i4>8126526</vt:i4>
      </vt:variant>
      <vt:variant>
        <vt:i4>27</vt:i4>
      </vt:variant>
      <vt:variant>
        <vt:i4>0</vt:i4>
      </vt:variant>
      <vt:variant>
        <vt:i4>5</vt:i4>
      </vt:variant>
      <vt:variant>
        <vt:lpwstr>https://www.mpi.govt.nz/dmsdocument/9596/direct</vt:lpwstr>
      </vt:variant>
      <vt:variant>
        <vt:lpwstr/>
      </vt:variant>
      <vt:variant>
        <vt:i4>1507356</vt:i4>
      </vt:variant>
      <vt:variant>
        <vt:i4>24</vt:i4>
      </vt:variant>
      <vt:variant>
        <vt:i4>0</vt:i4>
      </vt:variant>
      <vt:variant>
        <vt:i4>5</vt:i4>
      </vt:variant>
      <vt:variant>
        <vt:lpwstr>https://www.mpi.govt.nz/law-and-policy/legal-overviews/food-safety/codex/</vt:lpwstr>
      </vt:variant>
      <vt:variant>
        <vt:lpwstr/>
      </vt:variant>
      <vt:variant>
        <vt:i4>5111875</vt:i4>
      </vt:variant>
      <vt:variant>
        <vt:i4>21</vt:i4>
      </vt:variant>
      <vt:variant>
        <vt:i4>0</vt:i4>
      </vt:variant>
      <vt:variant>
        <vt:i4>5</vt:i4>
      </vt:variant>
      <vt:variant>
        <vt:lpwstr>https://thechipgroup.co.nz/best-chip-shop-2019/about-the-competition/</vt:lpwstr>
      </vt:variant>
      <vt:variant>
        <vt:lpwstr/>
      </vt:variant>
      <vt:variant>
        <vt:i4>3932257</vt:i4>
      </vt:variant>
      <vt:variant>
        <vt:i4>18</vt:i4>
      </vt:variant>
      <vt:variant>
        <vt:i4>0</vt:i4>
      </vt:variant>
      <vt:variant>
        <vt:i4>5</vt:i4>
      </vt:variant>
      <vt:variant>
        <vt:lpwstr>https://thechipgroup.co.nz/</vt:lpwstr>
      </vt:variant>
      <vt:variant>
        <vt:lpwstr/>
      </vt:variant>
      <vt:variant>
        <vt:i4>4980829</vt:i4>
      </vt:variant>
      <vt:variant>
        <vt:i4>15</vt:i4>
      </vt:variant>
      <vt:variant>
        <vt:i4>0</vt:i4>
      </vt:variant>
      <vt:variant>
        <vt:i4>5</vt:i4>
      </vt:variant>
      <vt:variant>
        <vt:lpwstr>https://www.heartfoundation.org.nz/documents/food-industry/food-reformulation/heart-foundation-food-reformulation-targets-2018-08-21.pdf</vt:lpwstr>
      </vt:variant>
      <vt:variant>
        <vt:lpwstr/>
      </vt:variant>
      <vt:variant>
        <vt:i4>2949155</vt:i4>
      </vt:variant>
      <vt:variant>
        <vt:i4>12</vt:i4>
      </vt:variant>
      <vt:variant>
        <vt:i4>0</vt:i4>
      </vt:variant>
      <vt:variant>
        <vt:i4>5</vt:i4>
      </vt:variant>
      <vt:variant>
        <vt:lpwstr>https://www.heartfoundation.org.au/programs/heart-safe-communities</vt:lpwstr>
      </vt:variant>
      <vt:variant>
        <vt:lpwstr/>
      </vt:variant>
      <vt:variant>
        <vt:i4>4980829</vt:i4>
      </vt:variant>
      <vt:variant>
        <vt:i4>9</vt:i4>
      </vt:variant>
      <vt:variant>
        <vt:i4>0</vt:i4>
      </vt:variant>
      <vt:variant>
        <vt:i4>5</vt:i4>
      </vt:variant>
      <vt:variant>
        <vt:lpwstr>https://www.heartfoundation.org.nz/documents/food-industry/food-reformulation/heart-foundation-food-reformulation-targets-2018-08-21.pdf</vt:lpwstr>
      </vt:variant>
      <vt:variant>
        <vt:lpwstr/>
      </vt:variant>
      <vt:variant>
        <vt:i4>7471151</vt:i4>
      </vt:variant>
      <vt:variant>
        <vt:i4>6</vt:i4>
      </vt:variant>
      <vt:variant>
        <vt:i4>0</vt:i4>
      </vt:variant>
      <vt:variant>
        <vt:i4>5</vt:i4>
      </vt:variant>
      <vt:variant>
        <vt:lpwstr>https://www.health.govt.nz/our-work/diseases-and-conditions/obesity/childhood-obesity-plan/healthy-kids-industry-pledge</vt:lpwstr>
      </vt:variant>
      <vt:variant>
        <vt:lpwstr/>
      </vt:variant>
      <vt:variant>
        <vt:i4>7012473</vt:i4>
      </vt:variant>
      <vt:variant>
        <vt:i4>3</vt:i4>
      </vt:variant>
      <vt:variant>
        <vt:i4>0</vt:i4>
      </vt:variant>
      <vt:variant>
        <vt:i4>5</vt:i4>
      </vt:variant>
      <vt:variant>
        <vt:lpwstr>https://www.health.govt.nz/our-work/eating-and-activity-guidelines</vt:lpwstr>
      </vt:variant>
      <vt:variant>
        <vt:lpwstr/>
      </vt:variant>
      <vt:variant>
        <vt:i4>1835009</vt:i4>
      </vt:variant>
      <vt:variant>
        <vt:i4>0</vt:i4>
      </vt:variant>
      <vt:variant>
        <vt:i4>0</vt:i4>
      </vt:variant>
      <vt:variant>
        <vt:i4>5</vt:i4>
      </vt:variant>
      <vt:variant>
        <vt:lpwstr>https://www.foodcomposition.co.nz/foodfiles/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bkid550</dc:creator>
  <cp:keywords/>
  <dc:description/>
  <cp:lastModifiedBy>Sally Mackay</cp:lastModifiedBy>
  <cp:revision>15</cp:revision>
  <cp:lastPrinted>2017-04-22T19:08:00Z</cp:lastPrinted>
  <dcterms:created xsi:type="dcterms:W3CDTF">2020-02-17T20:23:00Z</dcterms:created>
  <dcterms:modified xsi:type="dcterms:W3CDTF">2020-02-25T19:48:00Z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https://csl.mendeley.com/styles/574656241/vancouver</vt:lpwstr>
  </property>
  <property fmtid="{D5CDD505-2E9C-101B-9397-08002B2CF9AE}" pid="4" name="Mendeley Unique User Id_1">
    <vt:lpwstr>8a0357d9-5110-3cfa-ae9b-28b576ecff42</vt:lpwstr>
  </property>
  <property fmtid="{D5CDD505-2E9C-101B-9397-08002B2CF9AE}" pid="5" name="Mendeley Recent Style Id 9_1">
    <vt:lpwstr>https://csl.mendeley.com/styles/574656241/vancouver</vt:lpwstr>
  </property>
  <property fmtid="{D5CDD505-2E9C-101B-9397-08002B2CF9AE}" pid="6" name="Mendeley Recent Style Name 9_1">
    <vt:lpwstr>Vancouver - Emily Brownie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8th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ies>
</file>